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A84C" w:val="clear"/>
            <w:tcMar>
              <w:top w:type="dxa" w:w="60"/>
              <w:left w:type="dxa" w:w="0"/>
              <w:bottom w:type="dxa" w:w="60"/>
              <w:right w:type="dxa" w:w="0"/>
            </w:tcMar>
          </w:tcPr>
          <w:p>
            <w:pPr>
              <w:spacing w:before="0" w:after="120"/>
              <w:jc w:val="center"/>
            </w:pPr>
            <w:r>
              <w:rPr>
                <w:rFonts w:ascii="Calibri" w:cs="Calibri" w:eastAsia="Calibri" w:hAnsi="Calibri"/>
                <w:b/>
                <w:bCs/>
                <w:i w:val="false"/>
                <w:iCs w:val="false"/>
                <w:color w:val="05101F"/>
                <w:spacing w:val="80"/>
                <w:sz w:val="14"/>
                <w:szCs w:val="14"/>
              </w:rPr>
              <w:t xml:space="preserve">CONFIDENTIAL  ·  PREPARED FOR INVEST INTERNATIONAL B.V.  ·  MARCH 2026</w:t>
            </w:r>
          </w:p>
        </w:tc>
      </w:tr>
    </w:tbl>
    <w:p>
      <w:pPr>
        <w:spacing w:before="600" w:after="120"/>
        <w:jc w:val="left"/>
      </w:pPr>
    </w:p>
    <w:p>
      <w:pPr>
        <w:spacing w:before="0" w:after="60"/>
        <w:jc w:val="center"/>
      </w:pPr>
      <w:r>
        <w:rPr>
          <w:rFonts w:ascii="Calibri" w:cs="Calibri" w:eastAsia="Calibri" w:hAnsi="Calibri"/>
          <w:b/>
          <w:bCs/>
          <w:i w:val="false"/>
          <w:iCs w:val="false"/>
          <w:color w:val="C9A84C"/>
          <w:spacing w:val="200"/>
          <w:sz w:val="22"/>
          <w:szCs w:val="22"/>
        </w:rPr>
        <w:t xml:space="preserve">APEX COMPLIANCE CONSULTANCY</w:t>
      </w:r>
    </w:p>
    <w:p>
      <w:pPr>
        <w:spacing w:before="0" w:after="320"/>
        <w:jc w:val="center"/>
      </w:pPr>
      <w:r>
        <w:rPr>
          <w:rFonts w:ascii="Calibri" w:cs="Calibri" w:eastAsia="Calibri" w:hAnsi="Calibri"/>
          <w:b w:val="false"/>
          <w:bCs w:val="false"/>
          <w:i/>
          <w:iCs/>
          <w:color w:val="5A7090"/>
          <w:sz w:val="18"/>
          <w:szCs w:val="18"/>
        </w:rPr>
        <w:t xml:space="preserve">ZE Compliance Development &amp; Consultancy</w:t>
      </w:r>
    </w:p>
    <w:p>
      <w:pPr>
        <w:spacing w:before="0" w:after="60"/>
        <w:jc w:val="center"/>
      </w:pPr>
      <w:r>
        <w:rPr>
          <w:rFonts w:ascii="Palatino Linotype" w:cs="Palatino Linotype" w:eastAsia="Palatino Linotype" w:hAnsi="Palatino Linotype"/>
          <w:b/>
          <w:bCs/>
          <w:i w:val="false"/>
          <w:iCs w:val="false"/>
          <w:color w:val="0B2040"/>
          <w:sz w:val="60"/>
          <w:szCs w:val="60"/>
        </w:rPr>
        <w:t xml:space="preserve">AMLR Implementation</w:t>
      </w:r>
    </w:p>
    <w:p>
      <w:pPr>
        <w:spacing w:before="0" w:after="80"/>
        <w:jc w:val="center"/>
      </w:pPr>
      <w:r>
        <w:rPr>
          <w:rFonts w:ascii="Palatino Linotype" w:cs="Palatino Linotype" w:eastAsia="Palatino Linotype" w:hAnsi="Palatino Linotype"/>
          <w:b/>
          <w:bCs/>
          <w:i/>
          <w:iCs/>
          <w:color w:val="C9A84C"/>
          <w:sz w:val="60"/>
          <w:szCs w:val="60"/>
        </w:rPr>
        <w:t xml:space="preserve">Proposal</w:t>
      </w:r>
    </w:p>
    <w:p>
      <w:pPr>
        <w:spacing w:before="0" w:after="400"/>
        <w:jc w:val="center"/>
      </w:pPr>
      <w:r>
        <w:rPr>
          <w:rFonts w:ascii="Calibri" w:cs="Calibri" w:eastAsia="Calibri" w:hAnsi="Calibri"/>
          <w:b w:val="false"/>
          <w:bCs w:val="false"/>
          <w:i/>
          <w:iCs/>
          <w:color w:val="5A7090"/>
          <w:sz w:val="22"/>
          <w:szCs w:val="22"/>
        </w:rPr>
        <w:t xml:space="preserve">Invest International B.V. — EU Anti-Money Laundering Regulation Transition</w:t>
      </w:r>
    </w:p>
    <w:p>
      <w:pPr>
        <w:pBdr>
          <w:bottom w:val="single" w:color="C9A84C" w:sz="8" w:space="1"/>
        </w:pBdr>
        <w:spacing w:before="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A84C" w:sz="4"/>
              <w:left w:val="single" w:color="C9A84C" w:sz="4"/>
              <w:bottom w:val="single" w:color="C9A84C" w:sz="4"/>
              <w:right w:val="single" w:color="C9A84C" w:sz="4"/>
            </w:tcBorders>
            <w:shd w:fill="0B2040" w:val="clear"/>
            <w:tcMar>
              <w:top w:type="dxa" w:w="120"/>
              <w:left w:type="dxa" w:w="160"/>
              <w:bottom w:type="dxa" w:w="120"/>
              <w:right w:type="dxa" w:w="160"/>
            </w:tcMar>
            <w:vAlign w:val="center"/>
          </w:tcPr>
          <w:p>
            <w:pPr>
              <w:spacing w:before="0" w:after="40"/>
              <w:jc w:val="center"/>
            </w:pPr>
            <w:r>
              <w:rPr>
                <w:rFonts w:ascii="Palatino Linotype" w:cs="Palatino Linotype" w:eastAsia="Palatino Linotype" w:hAnsi="Palatino Linotype"/>
                <w:b/>
                <w:bCs/>
                <w:i w:val="false"/>
                <w:iCs w:val="false"/>
                <w:color w:val="C9A84C"/>
                <w:sz w:val="34"/>
                <w:szCs w:val="34"/>
              </w:rPr>
              <w:t xml:space="preserve">€22,000</w:t>
            </w:r>
          </w:p>
          <w:p>
            <w:pPr>
              <w:spacing w:before="0" w:after="120"/>
              <w:jc w:val="center"/>
            </w:pPr>
            <w:r>
              <w:rPr>
                <w:rFonts w:ascii="Calibri" w:cs="Calibri" w:eastAsia="Calibri" w:hAnsi="Calibri"/>
                <w:b w:val="false"/>
                <w:bCs w:val="false"/>
                <w:i w:val="false"/>
                <w:iCs w:val="false"/>
                <w:color w:val="5A7090"/>
                <w:spacing w:val="60"/>
                <w:sz w:val="14"/>
                <w:szCs w:val="14"/>
              </w:rPr>
              <w:t xml:space="preserve">OPTION B FEE CAP</w:t>
            </w:r>
          </w:p>
        </w:tc>
        <w:tc>
          <w:tcPr>
            <w:tcW w:type="dxa" w:w="2340"/>
            <w:tcBorders>
              <w:top w:val="single" w:color="C9A84C" w:sz="4"/>
              <w:left w:val="single" w:color="C9A84C" w:sz="4"/>
              <w:bottom w:val="single" w:color="C9A84C" w:sz="4"/>
              <w:right w:val="single" w:color="C9A84C" w:sz="4"/>
            </w:tcBorders>
            <w:shd w:fill="0B2040" w:val="clear"/>
            <w:tcMar>
              <w:top w:type="dxa" w:w="120"/>
              <w:left w:type="dxa" w:w="160"/>
              <w:bottom w:type="dxa" w:w="120"/>
              <w:right w:type="dxa" w:w="160"/>
            </w:tcMar>
            <w:vAlign w:val="center"/>
          </w:tcPr>
          <w:p>
            <w:pPr>
              <w:spacing w:before="0" w:after="40"/>
              <w:jc w:val="center"/>
            </w:pPr>
            <w:r>
              <w:rPr>
                <w:rFonts w:ascii="Palatino Linotype" w:cs="Palatino Linotype" w:eastAsia="Palatino Linotype" w:hAnsi="Palatino Linotype"/>
                <w:b/>
                <w:bCs/>
                <w:i w:val="false"/>
                <w:iCs w:val="false"/>
                <w:color w:val="C9A84C"/>
                <w:sz w:val="34"/>
                <w:szCs w:val="34"/>
              </w:rPr>
              <w:t xml:space="preserve">10 Jul 2027</w:t>
            </w:r>
          </w:p>
          <w:p>
            <w:pPr>
              <w:spacing w:before="0" w:after="120"/>
              <w:jc w:val="center"/>
            </w:pPr>
            <w:r>
              <w:rPr>
                <w:rFonts w:ascii="Calibri" w:cs="Calibri" w:eastAsia="Calibri" w:hAnsi="Calibri"/>
                <w:b w:val="false"/>
                <w:bCs w:val="false"/>
                <w:i w:val="false"/>
                <w:iCs w:val="false"/>
                <w:color w:val="5A7090"/>
                <w:spacing w:val="60"/>
                <w:sz w:val="14"/>
                <w:szCs w:val="14"/>
              </w:rPr>
              <w:t xml:space="preserve">AMLR DEADLINE</w:t>
            </w:r>
          </w:p>
        </w:tc>
        <w:tc>
          <w:tcPr>
            <w:tcW w:type="dxa" w:w="2340"/>
            <w:tcBorders>
              <w:top w:val="single" w:color="C9A84C" w:sz="4"/>
              <w:left w:val="single" w:color="C9A84C" w:sz="4"/>
              <w:bottom w:val="single" w:color="C9A84C" w:sz="4"/>
              <w:right w:val="single" w:color="C9A84C" w:sz="4"/>
            </w:tcBorders>
            <w:shd w:fill="0B2040" w:val="clear"/>
            <w:tcMar>
              <w:top w:type="dxa" w:w="120"/>
              <w:left w:type="dxa" w:w="160"/>
              <w:bottom w:type="dxa" w:w="120"/>
              <w:right w:type="dxa" w:w="160"/>
            </w:tcMar>
            <w:vAlign w:val="center"/>
          </w:tcPr>
          <w:p>
            <w:pPr>
              <w:spacing w:before="0" w:after="40"/>
              <w:jc w:val="center"/>
            </w:pPr>
            <w:r>
              <w:rPr>
                <w:rFonts w:ascii="Palatino Linotype" w:cs="Palatino Linotype" w:eastAsia="Palatino Linotype" w:hAnsi="Palatino Linotype"/>
                <w:b/>
                <w:bCs/>
                <w:i w:val="false"/>
                <w:iCs w:val="false"/>
                <w:color w:val="C9A84C"/>
                <w:sz w:val="34"/>
                <w:szCs w:val="34"/>
              </w:rPr>
              <w:t xml:space="preserve">AFM</w:t>
            </w:r>
          </w:p>
          <w:p>
            <w:pPr>
              <w:spacing w:before="0" w:after="120"/>
              <w:jc w:val="center"/>
            </w:pPr>
            <w:r>
              <w:rPr>
                <w:rFonts w:ascii="Calibri" w:cs="Calibri" w:eastAsia="Calibri" w:hAnsi="Calibri"/>
                <w:b w:val="false"/>
                <w:bCs w:val="false"/>
                <w:i w:val="false"/>
                <w:iCs w:val="false"/>
                <w:color w:val="5A7090"/>
                <w:spacing w:val="60"/>
                <w:sz w:val="14"/>
                <w:szCs w:val="14"/>
              </w:rPr>
              <w:t xml:space="preserve">ANTICIPATED SUPERVISOR</w:t>
            </w:r>
          </w:p>
        </w:tc>
        <w:tc>
          <w:tcPr>
            <w:tcW w:type="dxa" w:w="2340"/>
            <w:tcBorders>
              <w:top w:val="single" w:color="C9A84C" w:sz="4"/>
              <w:left w:val="single" w:color="C9A84C" w:sz="4"/>
              <w:bottom w:val="single" w:color="C9A84C" w:sz="4"/>
              <w:right w:val="single" w:color="C9A84C" w:sz="4"/>
            </w:tcBorders>
            <w:shd w:fill="0B2040" w:val="clear"/>
            <w:tcMar>
              <w:top w:type="dxa" w:w="120"/>
              <w:left w:type="dxa" w:w="160"/>
              <w:bottom w:type="dxa" w:w="120"/>
              <w:right w:type="dxa" w:w="160"/>
            </w:tcMar>
            <w:vAlign w:val="center"/>
          </w:tcPr>
          <w:p>
            <w:pPr>
              <w:spacing w:before="0" w:after="40"/>
              <w:jc w:val="center"/>
            </w:pPr>
            <w:r>
              <w:rPr>
                <w:rFonts w:ascii="Palatino Linotype" w:cs="Palatino Linotype" w:eastAsia="Palatino Linotype" w:hAnsi="Palatino Linotype"/>
                <w:b/>
                <w:bCs/>
                <w:i w:val="false"/>
                <w:iCs w:val="false"/>
                <w:color w:val="C9A84C"/>
                <w:sz w:val="34"/>
                <w:szCs w:val="34"/>
              </w:rPr>
              <w:t xml:space="preserve">17+</w:t>
            </w:r>
          </w:p>
          <w:p>
            <w:pPr>
              <w:spacing w:before="0" w:after="120"/>
              <w:jc w:val="center"/>
            </w:pPr>
            <w:r>
              <w:rPr>
                <w:rFonts w:ascii="Calibri" w:cs="Calibri" w:eastAsia="Calibri" w:hAnsi="Calibri"/>
                <w:b w:val="false"/>
                <w:bCs w:val="false"/>
                <w:i w:val="false"/>
                <w:iCs w:val="false"/>
                <w:color w:val="5A7090"/>
                <w:spacing w:val="60"/>
                <w:sz w:val="14"/>
                <w:szCs w:val="14"/>
              </w:rPr>
              <w:t xml:space="preserve">YEARS IN BANKING</w:t>
            </w:r>
          </w:p>
        </w:tc>
      </w:tr>
    </w:tbl>
    <w:p>
      <w:pPr>
        <w:spacing w:before="320"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z w:val="17"/>
                <w:szCs w:val="17"/>
              </w:rPr>
              <w:t xml:space="preserve">Prepared by</w:t>
            </w:r>
          </w:p>
        </w:tc>
        <w:tc>
          <w:tcPr>
            <w:tcW w:type="dxa" w:w="288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30"/>
              <w:jc w:val="left"/>
            </w:pPr>
            <w:r>
              <w:rPr>
                <w:rFonts w:ascii="Calibri" w:cs="Calibri" w:eastAsia="Calibri" w:hAnsi="Calibri"/>
                <w:b/>
                <w:bCs/>
                <w:i w:val="false"/>
                <w:iCs w:val="false"/>
                <w:color w:val="0B2040"/>
                <w:sz w:val="19"/>
                <w:szCs w:val="19"/>
              </w:rPr>
              <w:t xml:space="preserve">Zack ElMoussaoui</w:t>
            </w:r>
          </w:p>
          <w:p>
            <w:pPr>
              <w:spacing w:before="0" w:after="120"/>
              <w:jc w:val="left"/>
            </w:pPr>
            <w:r>
              <w:rPr>
                <w:rFonts w:ascii="Calibri" w:cs="Calibri" w:eastAsia="Calibri" w:hAnsi="Calibri"/>
                <w:b w:val="false"/>
                <w:bCs w:val="false"/>
                <w:i w:val="false"/>
                <w:iCs w:val="false"/>
                <w:color w:val="5A7090"/>
                <w:sz w:val="17"/>
                <w:szCs w:val="17"/>
              </w:rPr>
              <w:t xml:space="preserve">Apex Compliance Consultancy</w:t>
            </w:r>
          </w:p>
        </w:tc>
        <w:tc>
          <w:tcPr>
            <w:tcW w:type="dxa" w:w="18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z w:val="17"/>
                <w:szCs w:val="17"/>
              </w:rPr>
              <w:t xml:space="preserve">Prepared for</w:t>
            </w:r>
          </w:p>
        </w:tc>
        <w:tc>
          <w:tcPr>
            <w:tcW w:type="dxa" w:w="288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30"/>
              <w:jc w:val="left"/>
            </w:pPr>
            <w:r>
              <w:rPr>
                <w:rFonts w:ascii="Calibri" w:cs="Calibri" w:eastAsia="Calibri" w:hAnsi="Calibri"/>
                <w:b/>
                <w:bCs/>
                <w:i w:val="false"/>
                <w:iCs w:val="false"/>
                <w:color w:val="0B2040"/>
                <w:sz w:val="19"/>
                <w:szCs w:val="19"/>
              </w:rPr>
              <w:t xml:space="preserve">Invest International B.V.</w:t>
            </w:r>
          </w:p>
          <w:p>
            <w:pPr>
              <w:spacing w:before="0" w:after="120"/>
              <w:jc w:val="left"/>
            </w:pPr>
            <w:r>
              <w:rPr>
                <w:rFonts w:ascii="Calibri" w:cs="Calibri" w:eastAsia="Calibri" w:hAnsi="Calibri"/>
                <w:b w:val="false"/>
                <w:bCs w:val="false"/>
                <w:i w:val="false"/>
                <w:iCs w:val="false"/>
                <w:color w:val="5A7090"/>
                <w:sz w:val="17"/>
                <w:szCs w:val="17"/>
              </w:rPr>
              <w:t xml:space="preserve">March 2026</w:t>
            </w:r>
          </w:p>
        </w:tc>
      </w:tr>
    </w:tbl>
    <w:p>
      <w:r>
        <w:br w:type="page"/>
      </w:r>
    </w:p>
    <w:p>
      <w:pPr>
        <w:pBdr>
          <w:bottom w:val="single" w:color="A07C2E" w:sz="4" w:space="1"/>
        </w:pBdr>
        <w:spacing w:before="400" w:after="100"/>
      </w:pPr>
      <w:r>
        <w:rPr>
          <w:rFonts w:ascii="Calibri" w:cs="Calibri" w:eastAsia="Calibri" w:hAnsi="Calibri"/>
          <w:b/>
          <w:bCs/>
          <w:i w:val="false"/>
          <w:iCs w:val="false"/>
          <w:color w:val="A07C2E"/>
          <w:spacing w:val="120"/>
          <w:sz w:val="15"/>
          <w:szCs w:val="15"/>
        </w:rPr>
        <w:t xml:space="preserve">SECTION 01 — CONTEXT &amp; URGENCY</w:t>
      </w:r>
    </w:p>
    <w:p>
      <w:pPr>
        <w:spacing w:before="80" w:after="200"/>
      </w:pPr>
      <w:r>
        <w:rPr>
          <w:rFonts w:ascii="Palatino Linotype" w:cs="Palatino Linotype" w:eastAsia="Palatino Linotype" w:hAnsi="Palatino Linotype"/>
          <w:b/>
          <w:bCs/>
          <w:i w:val="false"/>
          <w:iCs w:val="false"/>
          <w:color w:val="0B2040"/>
          <w:sz w:val="34"/>
          <w:szCs w:val="34"/>
        </w:rPr>
        <w:t xml:space="preserve">Why Action Is Required Now</w:t>
      </w:r>
    </w:p>
    <w:p>
      <w:pPr>
        <w:spacing w:before="0" w:after="120"/>
      </w:pPr>
      <w:r>
        <w:rPr>
          <w:rFonts w:ascii="Calibri" w:cs="Calibri" w:eastAsia="Calibri" w:hAnsi="Calibri"/>
          <w:b w:val="false"/>
          <w:bCs w:val="false"/>
          <w:i w:val="false"/>
          <w:iCs w:val="false"/>
          <w:color w:val="5A7090"/>
          <w:sz w:val="20"/>
          <w:szCs w:val="20"/>
        </w:rPr>
        <w:t xml:space="preserve">Invest International occupies a structurally distinct position within the Dutch financial ecosystem. As a development finance institution operating by mandate in markets where commercial risk appetite does not reach, it faces compliance obligations technically equivalent to those of commercial banks — yet operationally far more complex. Counterparties routinely include sovereign entities, state-owned enterprises, and project vehicles in jurisdictions with limited UBO registry infrastructure.</w:t>
      </w:r>
    </w:p>
    <w:p>
      <w:pPr>
        <w:spacing w:before="80" w:after="120"/>
      </w:pPr>
      <w:r>
        <w:rPr>
          <w:rFonts w:ascii="Calibri" w:cs="Calibri" w:eastAsia="Calibri" w:hAnsi="Calibri"/>
          <w:b/>
          <w:bCs/>
          <w:i w:val="false"/>
          <w:iCs w:val="false"/>
          <w:color w:val="0B2040"/>
          <w:sz w:val="20"/>
          <w:szCs w:val="20"/>
        </w:rPr>
        <w:t xml:space="preserve">The transition from WWFT to AMLR is not a housekeeping exercise. It is a fundamental regulatory shift with a hard statutory deadline — and a supervisory community that has clearly signalled it intends to enforce it.</w:t>
      </w:r>
    </w:p>
    <w:p>
      <w:pPr>
        <w:spacing w:before="120"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14"/>
              <w:bottom w:val="single" w:color="C9A84C" w:sz="4"/>
              <w:right w:val="single" w:color="C9A84C" w:sz="4"/>
            </w:tcBorders>
            <w:shd w:fill="0B2040" w:val="clear"/>
            <w:tcMar>
              <w:top w:type="dxa" w:w="160"/>
              <w:left w:type="dxa" w:w="220"/>
              <w:bottom w:type="dxa" w:w="160"/>
              <w:right w:type="dxa" w:w="220"/>
            </w:tcMar>
          </w:tcPr>
          <w:p>
            <w:pPr>
              <w:spacing w:before="0" w:after="80"/>
              <w:jc w:val="left"/>
            </w:pPr>
            <w:r>
              <w:rPr>
                <w:rFonts w:ascii="Calibri" w:cs="Calibri" w:eastAsia="Calibri" w:hAnsi="Calibri"/>
                <w:b/>
                <w:bCs/>
                <w:i w:val="false"/>
                <w:iCs w:val="false"/>
                <w:color w:val="C9A84C"/>
                <w:spacing w:val="100"/>
                <w:sz w:val="15"/>
                <w:szCs w:val="15"/>
              </w:rPr>
              <w:t xml:space="preserve">SUPERVISORY POSITION UNDER AMLR</w:t>
            </w:r>
          </w:p>
          <w:p>
            <w:pPr>
              <w:spacing w:before="0" w:after="120"/>
              <w:jc w:val="left"/>
            </w:pPr>
            <w:r>
              <w:rPr>
                <w:rFonts w:ascii="Calibri" w:cs="Calibri" w:eastAsia="Calibri" w:hAnsi="Calibri"/>
                <w:b w:val="false"/>
                <w:bCs w:val="false"/>
                <w:i w:val="false"/>
                <w:iCs w:val="false"/>
                <w:color w:val="FFFFFF"/>
                <w:sz w:val="19"/>
                <w:szCs w:val="19"/>
              </w:rPr>
              <w:t xml:space="preserve">Invest International is not currently subject to formal AML supervision — it operates outside the scope of entities currently supervised by AFM or DNB for Wwft purposes. This changes under AMLR. Once the regulation applies, AFM is anticipated to become the competent supervisory authority. This means AMLR will introduce not just new substantive obligations, but an entirely new supervisory relationship — one that Invest International has not previously had to manage. Institutions entering a supervisory relationship for the first time face heightened early scrutiny. The quality of the framework presented at first examination sets the tone for the relationship that follows.</w:t>
            </w:r>
          </w:p>
        </w:tc>
      </w:tr>
    </w:tbl>
    <w:p>
      <w:pPr>
        <w:spacing w:before="160" w:after="120"/>
        <w:jc w:val="left"/>
      </w:pPr>
    </w:p>
    <w:p>
      <w:pPr>
        <w:spacing w:before="200" w:after="80"/>
      </w:pPr>
      <w:r>
        <w:rPr>
          <w:rFonts w:ascii="Calibri" w:cs="Calibri" w:eastAsia="Calibri" w:hAnsi="Calibri"/>
          <w:b/>
          <w:bCs/>
          <w:i w:val="false"/>
          <w:iCs w:val="false"/>
          <w:color w:val="0B2040"/>
          <w:sz w:val="24"/>
          <w:szCs w:val="24"/>
        </w:rPr>
        <w:t xml:space="preserve">Four Reasons to Act Now</w:t>
      </w:r>
    </w:p>
    <w:p>
      <w:pPr>
        <w:pBdr>
          <w:bottom w:val="single" w:color="DDDDDD" w:sz="2" w:space="1"/>
        </w:pBdr>
        <w:spacing w:before="80" w:after="80"/>
      </w:pPr>
    </w:p>
    <w:p>
      <w:pPr>
        <w:spacing w:before="140" w:after="40"/>
      </w:pPr>
      <w:r>
        <w:rPr>
          <w:rFonts w:ascii="Calibri" w:cs="Calibri" w:eastAsia="Calibri" w:hAnsi="Calibri"/>
          <w:b/>
          <w:bCs/>
          <w:i w:val="false"/>
          <w:iCs w:val="false"/>
          <w:color w:val="0B2040"/>
          <w:sz w:val="21"/>
          <w:szCs w:val="21"/>
        </w:rPr>
        <w:t xml:space="preserve">01  Hard Statutory Deadline — 10 July 2027</w:t>
      </w:r>
    </w:p>
    <w:p>
      <w:pPr>
        <w:spacing w:before="0" w:after="120"/>
      </w:pPr>
      <w:r>
        <w:rPr>
          <w:rFonts w:ascii="Calibri" w:cs="Calibri" w:eastAsia="Calibri" w:hAnsi="Calibri"/>
          <w:b w:val="false"/>
          <w:bCs w:val="false"/>
          <w:i w:val="false"/>
          <w:iCs w:val="false"/>
          <w:color w:val="5A7090"/>
          <w:sz w:val="20"/>
          <w:szCs w:val="20"/>
        </w:rPr>
        <w:t xml:space="preserve">EU Regulation 2024/1624 (AMLR) takes direct effect on 10 July 2027, superseding WWFT entirely. There is no transitional grace period. From that date, Invest International must be demonstrably compliant across CDD, EDD, UBO verification, PEP treatment, and transaction monitoring.</w:t>
      </w:r>
    </w:p>
    <w:p>
      <w:pPr>
        <w:spacing w:before="140" w:after="40"/>
      </w:pPr>
      <w:r>
        <w:rPr>
          <w:rFonts w:ascii="Calibri" w:cs="Calibri" w:eastAsia="Calibri" w:hAnsi="Calibri"/>
          <w:b/>
          <w:bCs/>
          <w:i w:val="false"/>
          <w:iCs w:val="false"/>
          <w:color w:val="0B2040"/>
          <w:sz w:val="21"/>
          <w:szCs w:val="21"/>
        </w:rPr>
        <w:t xml:space="preserve">02  A New Supervisory Relationship — First Impressions Matter</w:t>
      </w:r>
    </w:p>
    <w:p>
      <w:pPr>
        <w:spacing w:before="0" w:after="120"/>
      </w:pPr>
      <w:r>
        <w:rPr>
          <w:rFonts w:ascii="Calibri" w:cs="Calibri" w:eastAsia="Calibri" w:hAnsi="Calibri"/>
          <w:b w:val="false"/>
          <w:bCs w:val="false"/>
          <w:i w:val="false"/>
          <w:iCs w:val="false"/>
          <w:color w:val="5A7090"/>
          <w:sz w:val="20"/>
          <w:szCs w:val="20"/>
        </w:rPr>
        <w:t xml:space="preserve">Invest International is not currently supervised for AML purposes. Under AMLR, AFM is anticipated to step into that role. Institutions entering a supervisory relationship for the first time face close early scrutiny — the framework they present at initial examination shapes how the relationship develops for years to come.</w:t>
      </w:r>
    </w:p>
    <w:p>
      <w:pPr>
        <w:spacing w:before="140" w:after="40"/>
      </w:pPr>
      <w:r>
        <w:rPr>
          <w:rFonts w:ascii="Calibri" w:cs="Calibri" w:eastAsia="Calibri" w:hAnsi="Calibri"/>
          <w:b/>
          <w:bCs/>
          <w:i w:val="false"/>
          <w:iCs w:val="false"/>
          <w:color w:val="0B2040"/>
          <w:sz w:val="21"/>
          <w:szCs w:val="21"/>
        </w:rPr>
        <w:t xml:space="preserve">03  Rolling RTS Publication Calendar</w:t>
      </w:r>
    </w:p>
    <w:p>
      <w:pPr>
        <w:spacing w:before="0" w:after="120"/>
      </w:pPr>
      <w:r>
        <w:rPr>
          <w:rFonts w:ascii="Calibri" w:cs="Calibri" w:eastAsia="Calibri" w:hAnsi="Calibri"/>
          <w:b w:val="false"/>
          <w:bCs w:val="false"/>
          <w:i w:val="false"/>
          <w:iCs w:val="false"/>
          <w:color w:val="5A7090"/>
          <w:sz w:val="20"/>
          <w:szCs w:val="20"/>
        </w:rPr>
        <w:t xml:space="preserve">AMLA and EBA are publishing binding regulatory technical standards on a quarterly cadence through 2026–2027. Without a dedicated programme function tracking these publications in real time, Invest International risks implementing a framework that is already partially outdated by the time it is finalised.</w:t>
      </w:r>
    </w:p>
    <w:p>
      <w:pPr>
        <w:spacing w:before="140" w:after="40"/>
      </w:pPr>
      <w:r>
        <w:rPr>
          <w:rFonts w:ascii="Calibri" w:cs="Calibri" w:eastAsia="Calibri" w:hAnsi="Calibri"/>
          <w:b/>
          <w:bCs/>
          <w:i w:val="false"/>
          <w:iCs w:val="false"/>
          <w:color w:val="0B2040"/>
          <w:sz w:val="21"/>
          <w:szCs w:val="21"/>
        </w:rPr>
        <w:t xml:space="preserve">04  Strategic Context — Merger with Invest-NL</w:t>
      </w:r>
    </w:p>
    <w:p>
      <w:pPr>
        <w:spacing w:before="0" w:after="120"/>
      </w:pPr>
      <w:r>
        <w:rPr>
          <w:rFonts w:ascii="Calibri" w:cs="Calibri" w:eastAsia="Calibri" w:hAnsi="Calibri"/>
          <w:b w:val="false"/>
          <w:bCs w:val="false"/>
          <w:i w:val="false"/>
          <w:iCs w:val="false"/>
          <w:color w:val="5A7090"/>
          <w:sz w:val="20"/>
          <w:szCs w:val="20"/>
        </w:rPr>
        <w:t xml:space="preserve">The planned merger (January 2028) is a secondary consideration but adds weight to a thorough programme approach. A fully AMLR-ready framework will significantly simplify any future harmonisation and reduce the compliance risk profile of the combined entity.</w:t>
      </w:r>
    </w:p>
    <w:p>
      <w:r>
        <w:br w:type="page"/>
      </w:r>
    </w:p>
    <w:p>
      <w:pPr>
        <w:pBdr>
          <w:bottom w:val="single" w:color="A07C2E" w:sz="4" w:space="1"/>
        </w:pBdr>
        <w:spacing w:before="400" w:after="100"/>
      </w:pPr>
      <w:r>
        <w:rPr>
          <w:rFonts w:ascii="Calibri" w:cs="Calibri" w:eastAsia="Calibri" w:hAnsi="Calibri"/>
          <w:b/>
          <w:bCs/>
          <w:i w:val="false"/>
          <w:iCs w:val="false"/>
          <w:color w:val="A07C2E"/>
          <w:spacing w:val="120"/>
          <w:sz w:val="15"/>
          <w:szCs w:val="15"/>
        </w:rPr>
        <w:t xml:space="preserve">SECTION 02 — INDUSTRY CONTEXT</w:t>
      </w:r>
    </w:p>
    <w:p>
      <w:pPr>
        <w:spacing w:before="80" w:after="200"/>
      </w:pPr>
      <w:r>
        <w:rPr>
          <w:rFonts w:ascii="Palatino Linotype" w:cs="Palatino Linotype" w:eastAsia="Palatino Linotype" w:hAnsi="Palatino Linotype"/>
          <w:b/>
          <w:bCs/>
          <w:i w:val="false"/>
          <w:iCs w:val="false"/>
          <w:color w:val="0B2040"/>
          <w:sz w:val="34"/>
          <w:szCs w:val="34"/>
        </w:rPr>
        <w:t xml:space="preserve">What the Dutch Market Has Demonstrated</w:t>
      </w:r>
    </w:p>
    <w:p>
      <w:pPr>
        <w:spacing w:before="0" w:after="120"/>
      </w:pPr>
      <w:r>
        <w:rPr>
          <w:rFonts w:ascii="Calibri" w:cs="Calibri" w:eastAsia="Calibri" w:hAnsi="Calibri"/>
          <w:b w:val="false"/>
          <w:bCs w:val="false"/>
          <w:i w:val="false"/>
          <w:iCs w:val="false"/>
          <w:color w:val="5A7090"/>
          <w:sz w:val="20"/>
          <w:szCs w:val="20"/>
        </w:rPr>
        <w:t xml:space="preserve">The Dutch supervisory record over the past decade is consistent: institutions that allowed known AML gaps to persist without structured remediation faced consequences that extended well beyond any regulatory fine. For Invest International, the question is not whether serious investment is warranted — it self-evidently is. The question is whether to invest now, on your terms, or later, on the regulator's.</w:t>
      </w:r>
    </w:p>
    <w:p>
      <w:pPr>
        <w:spacing w:before="120"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60"/>
        <w:gridCol w:w="2800"/>
        <w:gridCol w:w="2600"/>
      </w:tblGrid>
      <w:tr>
        <w:tc>
          <w:tcPr>
            <w:tcW w:type="dxa" w:w="16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SCENARIO</w:t>
            </w:r>
          </w:p>
        </w:tc>
        <w:tc>
          <w:tcPr>
            <w:tcW w:type="dxa" w:w="236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PROGRAMME APPROACH</w:t>
            </w:r>
          </w:p>
        </w:tc>
        <w:tc>
          <w:tcPr>
            <w:tcW w:type="dxa" w:w="28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SUPERVISORY OUTCOME</w:t>
            </w:r>
          </w:p>
        </w:tc>
        <w:tc>
          <w:tcPr>
            <w:tcW w:type="dxa" w:w="26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COST PROFILE</w:t>
            </w:r>
          </w:p>
        </w:tc>
      </w:tr>
      <w:tr>
        <w:tc>
          <w:tcPr>
            <w:tcW w:type="dxa" w:w="16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Proactive — dedicated programme</w:t>
            </w:r>
          </w:p>
        </w:tc>
        <w:tc>
          <w:tcPr>
            <w:tcW w:type="dxa" w:w="23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Named programme owner. Governed delivery. RTS monitoring. Board reporting.</w:t>
            </w:r>
          </w:p>
        </w:tc>
        <w:tc>
          <w:tcPr>
            <w:tcW w:type="dxa" w:w="28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Regulatory relationship constructive. Examination risk low.</w:t>
            </w:r>
          </w:p>
        </w:tc>
        <w:tc>
          <w:tcPr>
            <w:tcW w:type="dxa" w:w="26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Contained and predictable.</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Partial — policy update only</w:t>
            </w:r>
          </w:p>
        </w:tc>
        <w:tc>
          <w:tcPr>
            <w:tcW w:type="dxa" w:w="2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Documents updated. No dedicated ownership. Operational embedding assumed.</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Gaps found between policy and practice. Remediation required.</w:t>
            </w:r>
          </w:p>
        </w:tc>
        <w:tc>
          <w:tcPr>
            <w:tcW w:type="dxa" w:w="2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Initial work plus full remediation.</w:t>
            </w:r>
          </w:p>
        </w:tc>
      </w:tr>
      <w:tr>
        <w:tc>
          <w:tcPr>
            <w:tcW w:type="dxa" w:w="16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Reactive — enforcement-driven</w:t>
            </w:r>
          </w:p>
        </w:tc>
        <w:tc>
          <w:tcPr>
            <w:tcW w:type="dxa" w:w="23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Gaps known but not addressed. No Board visibility.</w:t>
            </w:r>
          </w:p>
        </w:tc>
        <w:tc>
          <w:tcPr>
            <w:tcW w:type="dxa" w:w="28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Supervisory escalation. Compulsory remediation under external oversight.</w:t>
            </w:r>
          </w:p>
        </w:tc>
        <w:tc>
          <w:tcPr>
            <w:tcW w:type="dxa" w:w="26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Multiple of proactive investment.</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DFI sector norm (European)</w:t>
            </w:r>
          </w:p>
        </w:tc>
        <w:tc>
          <w:tcPr>
            <w:tcW w:type="dxa" w:w="23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Dedicated AML function during major regulatory transitions.</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Proactive regulatory engagement. DFI-calibrated framework.</w:t>
            </w:r>
          </w:p>
        </w:tc>
        <w:tc>
          <w:tcPr>
            <w:tcW w:type="dxa" w:w="2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Investment proportionate to mandate complexity.</w:t>
            </w:r>
          </w:p>
        </w:tc>
      </w:tr>
    </w:tbl>
    <w:p>
      <w:r>
        <w:br w:type="page"/>
      </w:r>
    </w:p>
    <w:p>
      <w:pPr>
        <w:pBdr>
          <w:bottom w:val="single" w:color="A07C2E" w:sz="4" w:space="1"/>
        </w:pBdr>
        <w:spacing w:before="400" w:after="100"/>
      </w:pPr>
      <w:r>
        <w:rPr>
          <w:rFonts w:ascii="Calibri" w:cs="Calibri" w:eastAsia="Calibri" w:hAnsi="Calibri"/>
          <w:b/>
          <w:bCs/>
          <w:i w:val="false"/>
          <w:iCs w:val="false"/>
          <w:color w:val="A07C2E"/>
          <w:spacing w:val="120"/>
          <w:sz w:val="15"/>
          <w:szCs w:val="15"/>
        </w:rPr>
        <w:t xml:space="preserve">SECTION 03 — ENGAGEMENT OPTIONS</w:t>
      </w:r>
    </w:p>
    <w:p>
      <w:pPr>
        <w:spacing w:before="80" w:after="200"/>
      </w:pPr>
      <w:r>
        <w:rPr>
          <w:rFonts w:ascii="Palatino Linotype" w:cs="Palatino Linotype" w:eastAsia="Palatino Linotype" w:hAnsi="Palatino Linotype"/>
          <w:b/>
          <w:bCs/>
          <w:i w:val="false"/>
          <w:iCs w:val="false"/>
          <w:color w:val="0B2040"/>
          <w:sz w:val="34"/>
          <w:szCs w:val="34"/>
        </w:rPr>
        <w:t xml:space="preserve">Two Engagement Structures</w:t>
      </w:r>
    </w:p>
    <w:p>
      <w:pPr>
        <w:spacing w:before="0" w:after="120"/>
      </w:pPr>
      <w:r>
        <w:rPr>
          <w:rFonts w:ascii="Calibri" w:cs="Calibri" w:eastAsia="Calibri" w:hAnsi="Calibri"/>
          <w:b w:val="false"/>
          <w:bCs w:val="false"/>
          <w:i w:val="false"/>
          <w:iCs w:val="false"/>
          <w:color w:val="5A7090"/>
          <w:sz w:val="20"/>
          <w:szCs w:val="20"/>
        </w:rPr>
        <w:t xml:space="preserve">Two options are presented below. Option A is strongly recommended — it reflects the approach taken by every comparable institution that has successfully navigated a major regulatory transition. Option B is available where internal capacity is confirmed sufficient; its limitations relative to the complexity of this engagement are clearly set out.</w:t>
      </w:r>
    </w:p>
    <w:p>
      <w:pPr>
        <w:spacing w:before="160"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4"/>
              <w:bottom w:val="none" w:color="FFFFFF" w:sz="0"/>
              <w:right w:val="none" w:color="FFFFFF" w:sz="0"/>
            </w:tcBorders>
            <w:shd w:fill="0B2040" w:val="clear"/>
            <w:tcMar>
              <w:top w:type="dxa" w:w="140"/>
              <w:left w:type="dxa" w:w="220"/>
              <w:bottom w:type="dxa" w:w="120"/>
              <w:right w:type="dxa" w:w="220"/>
            </w:tcMar>
          </w:tcPr>
          <w:p>
            <w:pPr>
              <w:spacing w:before="0" w:after="60"/>
              <w:jc w:val="left"/>
            </w:pPr>
            <w:r>
              <w:rPr>
                <w:rFonts w:ascii="Calibri" w:cs="Calibri" w:eastAsia="Calibri" w:hAnsi="Calibri"/>
                <w:b/>
                <w:bCs/>
                <w:i w:val="false"/>
                <w:iCs w:val="false"/>
                <w:color w:val="C9A84C"/>
                <w:spacing w:val="140"/>
                <w:sz w:val="20"/>
                <w:szCs w:val="20"/>
              </w:rPr>
              <w:t xml:space="preserve">OPTION A  ·  STRONGLY RECOMMENDED</w:t>
            </w:r>
          </w:p>
          <w:p>
            <w:pPr>
              <w:spacing w:before="0" w:after="60"/>
              <w:jc w:val="left"/>
            </w:pPr>
            <w:r>
              <w:rPr>
                <w:rFonts w:ascii="Palatino Linotype" w:cs="Palatino Linotype" w:eastAsia="Palatino Linotype" w:hAnsi="Palatino Linotype"/>
                <w:b/>
                <w:bCs/>
                <w:i w:val="false"/>
                <w:iCs w:val="false"/>
                <w:color w:val="FFFFFF"/>
                <w:sz w:val="30"/>
                <w:szCs w:val="30"/>
              </w:rPr>
              <w:t xml:space="preserve">Dedicated Implementation &amp; Programme Oversight Manager</w:t>
            </w:r>
          </w:p>
          <w:p>
            <w:pPr>
              <w:spacing w:before="0" w:after="120"/>
              <w:jc w:val="left"/>
            </w:pPr>
            <w:r>
              <w:rPr>
                <w:rFonts w:ascii="Calibri" w:cs="Calibri" w:eastAsia="Calibri" w:hAnsi="Calibri"/>
                <w:b w:val="false"/>
                <w:bCs w:val="false"/>
                <w:i/>
                <w:iCs/>
                <w:color w:val="5A7090"/>
                <w:sz w:val="18"/>
                <w:szCs w:val="18"/>
              </w:rPr>
              <w:t xml:space="preserve">The approach with the strongest track record for achieving full regulatory compliance.</w:t>
            </w:r>
          </w:p>
        </w:tc>
      </w:tr>
    </w:tbl>
    <w:p>
      <w:pPr>
        <w:spacing w:before="160" w:after="120"/>
        <w:jc w:val="left"/>
      </w:pPr>
    </w:p>
    <w:p>
      <w:pPr>
        <w:spacing w:before="200" w:after="80"/>
      </w:pPr>
      <w:r>
        <w:rPr>
          <w:rFonts w:ascii="Calibri" w:cs="Calibri" w:eastAsia="Calibri" w:hAnsi="Calibri"/>
          <w:b/>
          <w:bCs/>
          <w:i w:val="false"/>
          <w:iCs w:val="false"/>
          <w:color w:val="0B2040"/>
          <w:sz w:val="24"/>
          <w:szCs w:val="24"/>
        </w:rPr>
        <w:t xml:space="preserve">Why This Is the Standard, Not the Exception</w:t>
      </w:r>
    </w:p>
    <w:p>
      <w:pPr>
        <w:spacing w:before="0" w:after="120"/>
      </w:pPr>
      <w:r>
        <w:rPr>
          <w:rFonts w:ascii="Calibri" w:cs="Calibri" w:eastAsia="Calibri" w:hAnsi="Calibri"/>
          <w:b w:val="false"/>
          <w:bCs w:val="false"/>
          <w:i w:val="false"/>
          <w:iCs w:val="false"/>
          <w:color w:val="5A7090"/>
          <w:sz w:val="20"/>
          <w:szCs w:val="20"/>
        </w:rPr>
        <w:t xml:space="preserve">Every institution that has been through a major AML regulatory transition has used a dedicated person to guide the process end to end. Not a document reviewer. A dedicated person who owns the programme, monitors the regulatory calendar, keeps stakeholders aligned, translates technical standards into operational procedures, and ensures the framework is demonstrably embedded — not just documented — when the supervisory examination arrives.</w:t>
      </w:r>
    </w:p>
    <w:p>
      <w:pPr>
        <w:spacing w:before="100" w:after="120"/>
      </w:pPr>
      <w:r>
        <w:rPr>
          <w:rFonts w:ascii="Calibri" w:cs="Calibri" w:eastAsia="Calibri" w:hAnsi="Calibri"/>
          <w:b/>
          <w:bCs/>
          <w:i w:val="false"/>
          <w:iCs w:val="false"/>
          <w:color w:val="0B2040"/>
          <w:sz w:val="20"/>
          <w:szCs w:val="20"/>
        </w:rPr>
        <w:t xml:space="preserve">The current market reality: </w:t>
      </w:r>
      <w:r>
        <w:rPr>
          <w:rFonts w:ascii="Calibri" w:cs="Calibri" w:eastAsia="Calibri" w:hAnsi="Calibri"/>
          <w:b w:val="false"/>
          <w:bCs w:val="false"/>
          <w:i w:val="false"/>
          <w:iCs w:val="false"/>
          <w:color w:val="5A7090"/>
          <w:sz w:val="20"/>
          <w:szCs w:val="20"/>
        </w:rPr>
        <w:t xml:space="preserve">Invest International's situation is more acute than comparable institutions: it is entering a supervisory relationship for the first time under AMLR, with no established compliance track record with AFM. The framework it presents at first examination defines its standing with its new supervisor from day one.</w:t>
      </w:r>
    </w:p>
    <w:p>
      <w:pPr>
        <w:spacing w:before="120" w:after="120"/>
        <w:jc w:val="left"/>
      </w:pPr>
    </w:p>
    <w:p>
      <w:pPr>
        <w:spacing w:before="200" w:after="80"/>
      </w:pPr>
      <w:r>
        <w:rPr>
          <w:rFonts w:ascii="Calibri" w:cs="Calibri" w:eastAsia="Calibri" w:hAnsi="Calibri"/>
          <w:b/>
          <w:bCs/>
          <w:i w:val="false"/>
          <w:iCs w:val="false"/>
          <w:color w:val="0B2040"/>
          <w:sz w:val="24"/>
          <w:szCs w:val="24"/>
        </w:rPr>
        <w:t xml:space="preserve">Option A —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760"/>
        <w:gridCol w:w="1700"/>
      </w:tblGrid>
      <w:tr>
        <w:tc>
          <w:tcPr>
            <w:tcW w:type="dxa" w:w="5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w:t>
            </w:r>
          </w:p>
        </w:tc>
        <w:tc>
          <w:tcPr>
            <w:tcW w:type="dxa" w:w="24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DELIVERABLE</w:t>
            </w:r>
          </w:p>
        </w:tc>
        <w:tc>
          <w:tcPr>
            <w:tcW w:type="dxa" w:w="476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DESCRIPTION</w:t>
            </w:r>
          </w:p>
        </w:tc>
        <w:tc>
          <w:tcPr>
            <w:tcW w:type="dxa" w:w="17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STATUS</w:t>
            </w:r>
          </w:p>
        </w:tc>
      </w:tr>
      <w:tr>
        <w:tc>
          <w:tcPr>
            <w:tcW w:type="dxa" w:w="5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01</w:t>
            </w:r>
          </w:p>
        </w:tc>
        <w:tc>
          <w:tcPr>
            <w:tcW w:type="dxa" w:w="24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Gap Analysis &amp; Risk Assessment</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Comprehensive WWFT vs AMLR mapping. Risk-rated gap register, prioritised remediation backlog, DFI sector benchmarking, and regulatory findings briefing for management.</w:t>
            </w:r>
          </w:p>
        </w:tc>
        <w:tc>
          <w:tcPr>
            <w:tcW w:type="dxa" w:w="17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02</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KYC Policy Transposition</w:t>
            </w:r>
          </w:p>
        </w:tc>
        <w:tc>
          <w:tcPr>
            <w:tcW w:type="dxa" w:w="4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AMLR-compliant KYC Policy with DFI-specific provisions: SOE treatment, PEP-as-structural-norm, emerging market UBO challenges, and sanctions-adjacent relationship handling.</w:t>
            </w:r>
          </w:p>
        </w:tc>
        <w:tc>
          <w:tcPr>
            <w:tcW w:type="dxa" w:w="17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r>
        <w:tc>
          <w:tcPr>
            <w:tcW w:type="dxa" w:w="5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03</w:t>
            </w:r>
          </w:p>
        </w:tc>
        <w:tc>
          <w:tcPr>
            <w:tcW w:type="dxa" w:w="24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KYC Procedure (Standard)</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Internal operational procedure fully updated — revised CDD/EDD triggers, escalation paths, monitoring obligations, and alignment with AMLR technical standards.</w:t>
            </w:r>
          </w:p>
        </w:tc>
        <w:tc>
          <w:tcPr>
            <w:tcW w:type="dxa" w:w="17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04</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KYC Procedure (Public)</w:t>
            </w:r>
          </w:p>
        </w:tc>
        <w:tc>
          <w:tcPr>
            <w:tcW w:type="dxa" w:w="4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Counterparty-facing requirements document updated for AMLR. Aligned to revised internal procedure and reflecting DFI-appropriate transparency standards.</w:t>
            </w:r>
          </w:p>
        </w:tc>
        <w:tc>
          <w:tcPr>
            <w:tcW w:type="dxa" w:w="17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r>
        <w:tc>
          <w:tcPr>
            <w:tcW w:type="dxa" w:w="5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05</w:t>
            </w:r>
          </w:p>
        </w:tc>
        <w:tc>
          <w:tcPr>
            <w:tcW w:type="dxa" w:w="24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Programme Oversight &amp; Board Reporting</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Ongoing programme management: RTS monitoring, stakeholder coordination, milestone tracking, regulatory calendar management, and Board-level implementation reporting.</w:t>
            </w:r>
          </w:p>
        </w:tc>
        <w:tc>
          <w:tcPr>
            <w:tcW w:type="dxa" w:w="17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06</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Training &amp; Operational Embedding</w:t>
            </w:r>
          </w:p>
        </w:tc>
        <w:tc>
          <w:tcPr>
            <w:tcW w:type="dxa" w:w="4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Staff training design and delivery. Competency framework for CDD/EDD roles. Ensures framework is demonstrably embedded and defensible under supervisory examination.</w:t>
            </w:r>
          </w:p>
        </w:tc>
        <w:tc>
          <w:tcPr>
            <w:tcW w:type="dxa" w:w="17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799" w:sz="8"/>
              <w:left w:val="single" w:color="667799" w:sz="14"/>
              <w:bottom w:val="none" w:color="FFFFFF" w:sz="0"/>
              <w:right w:val="none" w:color="FFFFFF" w:sz="0"/>
            </w:tcBorders>
            <w:shd w:fill="1A2E4A" w:val="clear"/>
            <w:tcMar>
              <w:top w:type="dxa" w:w="140"/>
              <w:left w:type="dxa" w:w="220"/>
              <w:bottom w:type="dxa" w:w="120"/>
              <w:right w:type="dxa" w:w="220"/>
            </w:tcMar>
          </w:tcPr>
          <w:p>
            <w:pPr>
              <w:spacing w:before="0" w:after="60"/>
              <w:jc w:val="left"/>
            </w:pPr>
            <w:r>
              <w:rPr>
                <w:rFonts w:ascii="Calibri" w:cs="Calibri" w:eastAsia="Calibri" w:hAnsi="Calibri"/>
                <w:b/>
                <w:bCs/>
                <w:i w:val="false"/>
                <w:iCs w:val="false"/>
                <w:color w:val="C9A84C"/>
                <w:spacing w:val="140"/>
                <w:sz w:val="20"/>
                <w:szCs w:val="20"/>
              </w:rPr>
              <w:t xml:space="preserve">OPTION B</w:t>
            </w:r>
          </w:p>
          <w:p>
            <w:pPr>
              <w:spacing w:before="0" w:after="60"/>
              <w:jc w:val="left"/>
            </w:pPr>
            <w:r>
              <w:rPr>
                <w:rFonts w:ascii="Palatino Linotype" w:cs="Palatino Linotype" w:eastAsia="Palatino Linotype" w:hAnsi="Palatino Linotype"/>
                <w:b/>
                <w:bCs/>
                <w:i w:val="false"/>
                <w:iCs w:val="false"/>
                <w:color w:val="FFFFFF"/>
                <w:sz w:val="30"/>
                <w:szCs w:val="30"/>
              </w:rPr>
              <w:t xml:space="preserve">Minimum Scoped Delivery</w:t>
            </w:r>
          </w:p>
          <w:p>
            <w:pPr>
              <w:spacing w:before="0" w:after="120"/>
              <w:jc w:val="left"/>
            </w:pPr>
            <w:r>
              <w:rPr>
                <w:rFonts w:ascii="Calibri" w:cs="Calibri" w:eastAsia="Calibri" w:hAnsi="Calibri"/>
                <w:b w:val="false"/>
                <w:bCs w:val="false"/>
                <w:i/>
                <w:iCs/>
                <w:color w:val="5A7090"/>
                <w:sz w:val="18"/>
                <w:szCs w:val="18"/>
              </w:rPr>
              <w:t xml:space="preserve">Fixed price · €22,000 maximum fee · 120 hours maximum · 4 defined deliverables</w:t>
            </w:r>
          </w:p>
        </w:tc>
      </w:tr>
    </w:tbl>
    <w:p>
      <w:pPr>
        <w:spacing w:before="160"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7C2E" w:sz="6"/>
              <w:left w:val="single" w:color="A07C2E" w:sz="10"/>
              <w:bottom w:val="single" w:color="A07C2E" w:sz="6"/>
              <w:right w:val="single" w:color="A07C2E" w:sz="6"/>
            </w:tcBorders>
            <w:shd w:fill="F8F4E8" w:val="clear"/>
            <w:tcMar>
              <w:top w:type="dxa" w:w="40"/>
              <w:left w:type="dxa" w:w="200"/>
              <w:bottom w:type="dxa" w:w="140"/>
              <w:right w:type="dxa" w:w="200"/>
            </w:tcMar>
          </w:tcPr>
          <w:p>
            <w:pPr>
              <w:spacing w:before="0" w:after="80"/>
              <w:jc w:val="center"/>
            </w:pPr>
            <w:r>
              <w:rPr>
                <w:rFonts w:ascii="Calibri" w:cs="Calibri" w:eastAsia="Calibri" w:hAnsi="Calibri"/>
                <w:b/>
                <w:bCs/>
                <w:i w:val="false"/>
                <w:iCs w:val="false"/>
                <w:color w:val="A07C2E"/>
                <w:spacing w:val="120"/>
                <w:sz w:val="15"/>
                <w:szCs w:val="15"/>
              </w:rPr>
              <w:t xml:space="preserve">SCOPE &amp; FEE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A84C" w:sz="4"/>
                    <w:left w:val="single" w:color="C9A84C" w:sz="4"/>
                    <w:bottom w:val="single" w:color="C9A84C" w:sz="4"/>
                    <w:right w:val="single" w:color="C9A84C" w:sz="4"/>
                  </w:tcBorders>
                  <w:shd w:fill="0B2040" w:val="clear"/>
                  <w:tcMar>
                    <w:top w:type="dxa" w:w="120"/>
                    <w:left w:type="dxa" w:w="160"/>
                    <w:bottom w:type="dxa" w:w="120"/>
                    <w:right w:type="dxa" w:w="160"/>
                  </w:tcMar>
                  <w:vAlign w:val="center"/>
                </w:tcPr>
                <w:p>
                  <w:pPr>
                    <w:spacing w:before="0" w:after="40"/>
                    <w:jc w:val="center"/>
                  </w:pPr>
                  <w:r>
                    <w:rPr>
                      <w:rFonts w:ascii="Palatino Linotype" w:cs="Palatino Linotype" w:eastAsia="Palatino Linotype" w:hAnsi="Palatino Linotype"/>
                      <w:b/>
                      <w:bCs/>
                      <w:i w:val="false"/>
                      <w:iCs w:val="false"/>
                      <w:color w:val="C9A84C"/>
                      <w:sz w:val="34"/>
                      <w:szCs w:val="34"/>
                    </w:rPr>
                    <w:t xml:space="preserve">€22,000</w:t>
                  </w:r>
                </w:p>
                <w:p>
                  <w:pPr>
                    <w:spacing w:before="0" w:after="120"/>
                    <w:jc w:val="center"/>
                  </w:pPr>
                  <w:r>
                    <w:rPr>
                      <w:rFonts w:ascii="Calibri" w:cs="Calibri" w:eastAsia="Calibri" w:hAnsi="Calibri"/>
                      <w:b w:val="false"/>
                      <w:bCs w:val="false"/>
                      <w:i w:val="false"/>
                      <w:iCs w:val="false"/>
                      <w:color w:val="5A7090"/>
                      <w:spacing w:val="60"/>
                      <w:sz w:val="14"/>
                      <w:szCs w:val="14"/>
                    </w:rPr>
                    <w:t xml:space="preserve">MAXIMUM FEE</w:t>
                  </w:r>
                </w:p>
              </w:tc>
              <w:tc>
                <w:tcPr>
                  <w:tcW w:type="dxa" w:w="2340"/>
                  <w:tcBorders>
                    <w:top w:val="single" w:color="C9A84C" w:sz="4"/>
                    <w:left w:val="single" w:color="C9A84C" w:sz="4"/>
                    <w:bottom w:val="single" w:color="C9A84C" w:sz="4"/>
                    <w:right w:val="single" w:color="C9A84C" w:sz="4"/>
                  </w:tcBorders>
                  <w:shd w:fill="0B2040" w:val="clear"/>
                  <w:tcMar>
                    <w:top w:type="dxa" w:w="120"/>
                    <w:left w:type="dxa" w:w="160"/>
                    <w:bottom w:type="dxa" w:w="120"/>
                    <w:right w:type="dxa" w:w="160"/>
                  </w:tcMar>
                  <w:vAlign w:val="center"/>
                </w:tcPr>
                <w:p>
                  <w:pPr>
                    <w:spacing w:before="0" w:after="40"/>
                    <w:jc w:val="center"/>
                  </w:pPr>
                  <w:r>
                    <w:rPr>
                      <w:rFonts w:ascii="Palatino Linotype" w:cs="Palatino Linotype" w:eastAsia="Palatino Linotype" w:hAnsi="Palatino Linotype"/>
                      <w:b/>
                      <w:bCs/>
                      <w:i w:val="false"/>
                      <w:iCs w:val="false"/>
                      <w:color w:val="C9A84C"/>
                      <w:sz w:val="34"/>
                      <w:szCs w:val="34"/>
                    </w:rPr>
                    <w:t xml:space="preserve">120 hrs</w:t>
                  </w:r>
                </w:p>
                <w:p>
                  <w:pPr>
                    <w:spacing w:before="0" w:after="120"/>
                    <w:jc w:val="center"/>
                  </w:pPr>
                  <w:r>
                    <w:rPr>
                      <w:rFonts w:ascii="Calibri" w:cs="Calibri" w:eastAsia="Calibri" w:hAnsi="Calibri"/>
                      <w:b w:val="false"/>
                      <w:bCs w:val="false"/>
                      <w:i w:val="false"/>
                      <w:iCs w:val="false"/>
                      <w:color w:val="5A7090"/>
                      <w:spacing w:val="60"/>
                      <w:sz w:val="14"/>
                      <w:szCs w:val="14"/>
                    </w:rPr>
                    <w:t xml:space="preserve">MAXIMUM HOURS</w:t>
                  </w:r>
                </w:p>
              </w:tc>
              <w:tc>
                <w:tcPr>
                  <w:tcW w:type="dxa" w:w="2340"/>
                  <w:tcBorders>
                    <w:top w:val="single" w:color="C9A84C" w:sz="4"/>
                    <w:left w:val="single" w:color="C9A84C" w:sz="4"/>
                    <w:bottom w:val="single" w:color="C9A84C" w:sz="4"/>
                    <w:right w:val="single" w:color="C9A84C" w:sz="4"/>
                  </w:tcBorders>
                  <w:shd w:fill="0B2040" w:val="clear"/>
                  <w:tcMar>
                    <w:top w:type="dxa" w:w="120"/>
                    <w:left w:type="dxa" w:w="160"/>
                    <w:bottom w:type="dxa" w:w="120"/>
                    <w:right w:type="dxa" w:w="160"/>
                  </w:tcMar>
                  <w:vAlign w:val="center"/>
                </w:tcPr>
                <w:p>
                  <w:pPr>
                    <w:spacing w:before="0" w:after="40"/>
                    <w:jc w:val="center"/>
                  </w:pPr>
                  <w:r>
                    <w:rPr>
                      <w:rFonts w:ascii="Palatino Linotype" w:cs="Palatino Linotype" w:eastAsia="Palatino Linotype" w:hAnsi="Palatino Linotype"/>
                      <w:b/>
                      <w:bCs/>
                      <w:i w:val="false"/>
                      <w:iCs w:val="false"/>
                      <w:color w:val="C9A84C"/>
                      <w:sz w:val="34"/>
                      <w:szCs w:val="34"/>
                    </w:rPr>
                    <w:t xml:space="preserve">4</w:t>
                  </w:r>
                </w:p>
                <w:p>
                  <w:pPr>
                    <w:spacing w:before="0" w:after="120"/>
                    <w:jc w:val="center"/>
                  </w:pPr>
                  <w:r>
                    <w:rPr>
                      <w:rFonts w:ascii="Calibri" w:cs="Calibri" w:eastAsia="Calibri" w:hAnsi="Calibri"/>
                      <w:b w:val="false"/>
                      <w:bCs w:val="false"/>
                      <w:i w:val="false"/>
                      <w:iCs w:val="false"/>
                      <w:color w:val="5A7090"/>
                      <w:spacing w:val="60"/>
                      <w:sz w:val="14"/>
                      <w:szCs w:val="14"/>
                    </w:rPr>
                    <w:t xml:space="preserve">CORE DELIVERABLES</w:t>
                  </w:r>
                </w:p>
              </w:tc>
              <w:tc>
                <w:tcPr>
                  <w:tcW w:type="dxa" w:w="2340"/>
                  <w:tcBorders>
                    <w:top w:val="single" w:color="C9A84C" w:sz="4"/>
                    <w:left w:val="single" w:color="C9A84C" w:sz="4"/>
                    <w:bottom w:val="single" w:color="C9A84C" w:sz="4"/>
                    <w:right w:val="single" w:color="C9A84C" w:sz="4"/>
                  </w:tcBorders>
                  <w:shd w:fill="0B2040" w:val="clear"/>
                  <w:tcMar>
                    <w:top w:type="dxa" w:w="120"/>
                    <w:left w:type="dxa" w:w="160"/>
                    <w:bottom w:type="dxa" w:w="120"/>
                    <w:right w:type="dxa" w:w="160"/>
                  </w:tcMar>
                  <w:vAlign w:val="center"/>
                </w:tcPr>
                <w:p>
                  <w:pPr>
                    <w:spacing w:before="0" w:after="40"/>
                    <w:jc w:val="center"/>
                  </w:pPr>
                  <w:r>
                    <w:rPr>
                      <w:rFonts w:ascii="Palatino Linotype" w:cs="Palatino Linotype" w:eastAsia="Palatino Linotype" w:hAnsi="Palatino Linotype"/>
                      <w:b/>
                      <w:bCs/>
                      <w:i w:val="false"/>
                      <w:iCs w:val="false"/>
                      <w:color w:val="C9A84C"/>
                      <w:sz w:val="34"/>
                      <w:szCs w:val="34"/>
                    </w:rPr>
                    <w:t xml:space="preserve">AMLR</w:t>
                  </w:r>
                </w:p>
                <w:p>
                  <w:pPr>
                    <w:spacing w:before="0" w:after="120"/>
                    <w:jc w:val="center"/>
                  </w:pPr>
                  <w:r>
                    <w:rPr>
                      <w:rFonts w:ascii="Calibri" w:cs="Calibri" w:eastAsia="Calibri" w:hAnsi="Calibri"/>
                      <w:b w:val="false"/>
                      <w:bCs w:val="false"/>
                      <w:i w:val="false"/>
                      <w:iCs w:val="false"/>
                      <w:color w:val="5A7090"/>
                      <w:spacing w:val="60"/>
                      <w:sz w:val="14"/>
                      <w:szCs w:val="14"/>
                    </w:rPr>
                    <w:t xml:space="preserve">CHANGES ONLY</w:t>
                  </w:r>
                </w:p>
              </w:tc>
            </w:tr>
          </w:tbl>
          <w:p>
            <w:pPr>
              <w:spacing w:before="100" w:after="120"/>
              <w:jc w:val="left"/>
            </w:pPr>
          </w:p>
          <w:p>
            <w:pPr>
              <w:spacing w:before="0" w:after="0"/>
            </w:pPr>
            <w:r>
              <w:rPr>
                <w:rFonts w:ascii="Calibri" w:cs="Calibri" w:eastAsia="Calibri" w:hAnsi="Calibri"/>
                <w:b/>
                <w:bCs/>
                <w:i w:val="false"/>
                <w:iCs w:val="false"/>
                <w:color w:val="0B2040"/>
                <w:sz w:val="19"/>
                <w:szCs w:val="19"/>
              </w:rPr>
              <w:t xml:space="preserve">Scope protection: </w:t>
            </w:r>
            <w:r>
              <w:rPr>
                <w:rFonts w:ascii="Calibri" w:cs="Calibri" w:eastAsia="Calibri" w:hAnsi="Calibri"/>
                <w:b w:val="false"/>
                <w:bCs w:val="false"/>
                <w:i w:val="false"/>
                <w:iCs w:val="false"/>
                <w:color w:val="5A7090"/>
                <w:sz w:val="19"/>
                <w:szCs w:val="19"/>
              </w:rPr>
              <w:t xml:space="preserve">All work commences against a jointly agreed scope document. Should discovery reveal that the existing documents require revision beyond what AMLR directly requires, this will be discussed with Invest International — and no additional work will be undertaken without agreement. The 120-hour maximum ensures the engagement remains contained and predictable for both parties.</w:t>
            </w:r>
          </w:p>
        </w:tc>
      </w:tr>
    </w:tbl>
    <w:p>
      <w:pPr>
        <w:spacing w:before="160" w:after="120"/>
        <w:jc w:val="left"/>
      </w:pPr>
    </w:p>
    <w:p>
      <w:pPr>
        <w:spacing w:before="200" w:after="80"/>
      </w:pPr>
      <w:r>
        <w:rPr>
          <w:rFonts w:ascii="Calibri" w:cs="Calibri" w:eastAsia="Calibri" w:hAnsi="Calibri"/>
          <w:b/>
          <w:bCs/>
          <w:i w:val="false"/>
          <w:iCs w:val="false"/>
          <w:color w:val="0B2040"/>
          <w:sz w:val="24"/>
          <w:szCs w:val="24"/>
        </w:rPr>
        <w:t xml:space="preserve">Option B —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760"/>
        <w:gridCol w:w="1700"/>
      </w:tblGrid>
      <w:tr>
        <w:tc>
          <w:tcPr>
            <w:tcW w:type="dxa" w:w="5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w:t>
            </w:r>
          </w:p>
        </w:tc>
        <w:tc>
          <w:tcPr>
            <w:tcW w:type="dxa" w:w="24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DELIVERABLE</w:t>
            </w:r>
          </w:p>
        </w:tc>
        <w:tc>
          <w:tcPr>
            <w:tcW w:type="dxa" w:w="476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DESCRIPTION</w:t>
            </w:r>
          </w:p>
        </w:tc>
        <w:tc>
          <w:tcPr>
            <w:tcW w:type="dxa" w:w="17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STATUS</w:t>
            </w:r>
          </w:p>
        </w:tc>
      </w:tr>
      <w:tr>
        <w:tc>
          <w:tcPr>
            <w:tcW w:type="dxa" w:w="5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01</w:t>
            </w:r>
          </w:p>
        </w:tc>
        <w:tc>
          <w:tcPr>
            <w:tcW w:type="dxa" w:w="24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Gap Analysis</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WWFT vs AMLR mapping for Invest International. Identifies new and changed obligations — the basis for all document enhancements below.</w:t>
            </w:r>
          </w:p>
        </w:tc>
        <w:tc>
          <w:tcPr>
            <w:tcW w:type="dxa" w:w="17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02</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Updated AML Policy</w:t>
            </w:r>
          </w:p>
        </w:tc>
        <w:tc>
          <w:tcPr>
            <w:tcW w:type="dxa" w:w="4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Enhancement of the existing AML Policy for AMLR compliance. Limited to new or changed requirements including DFI-specific provisions for SOE/PEP treatment and emerging market UBO where AMLR differs from WWFT.</w:t>
            </w:r>
          </w:p>
        </w:tc>
        <w:tc>
          <w:tcPr>
            <w:tcW w:type="dxa" w:w="17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r>
        <w:tc>
          <w:tcPr>
            <w:tcW w:type="dxa" w:w="5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03</w:t>
            </w:r>
          </w:p>
        </w:tc>
        <w:tc>
          <w:tcPr>
            <w:tcW w:type="dxa" w:w="24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Updated KYC Procedure (General)</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Enhancement of the existing General KYC Procedure. Revised CDD/EDD triggers, escalation matrix, and monitoring obligations where these change under AMLR.</w:t>
            </w:r>
          </w:p>
        </w:tc>
        <w:tc>
          <w:tcPr>
            <w:tcW w:type="dxa" w:w="17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04</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Updated KYC Procedure (Public)</w:t>
            </w:r>
          </w:p>
        </w:tc>
        <w:tc>
          <w:tcPr>
            <w:tcW w:type="dxa" w:w="4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Enhancement of the existing Public KYC Procedure for AMLR. Aligned to revised General KYC Procedure. Scope limited to AMLR-driven changes only.</w:t>
            </w:r>
          </w:p>
        </w:tc>
        <w:tc>
          <w:tcPr>
            <w:tcW w:type="dxa" w:w="17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Calibri" w:cs="Calibri" w:eastAsia="Calibri" w:hAnsi="Calibri"/>
                <w:b/>
                <w:bCs/>
                <w:i w:val="false"/>
                <w:iCs w:val="false"/>
                <w:color w:val="2E7D32"/>
                <w:sz w:val="17"/>
                <w:szCs w:val="17"/>
              </w:rPr>
              <w:t xml:space="preserve">✓ Included</w:t>
            </w:r>
          </w:p>
        </w:tc>
      </w:tr>
      <w:tr>
        <w:tc>
          <w:tcPr>
            <w:tcW w:type="dxa" w:w="5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05</w:t>
            </w:r>
          </w:p>
        </w:tc>
        <w:tc>
          <w:tcPr>
            <w:tcW w:type="dxa" w:w="24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Training &amp; Programme Management</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Dedicated training, management reporting framework, and ongoing programme oversight.</w:t>
            </w:r>
          </w:p>
        </w:tc>
        <w:tc>
          <w:tcPr>
            <w:tcW w:type="dxa" w:w="1700"/>
            <w:tcBorders>
              <w:top w:val="single" w:color="DDDDDD" w:sz="2"/>
              <w:left w:val="single" w:color="DDDDDD" w:sz="2"/>
              <w:bottom w:val="single" w:color="DDDDDD" w:sz="2"/>
              <w:right w:val="single" w:color="DDDDDD" w:sz="2"/>
            </w:tcBorders>
            <w:shd w:fill="F0F4FA" w:val="clear"/>
            <w:tcMar>
              <w:top w:type="dxa" w:w="80"/>
              <w:left w:type="dxa" w:w="80"/>
              <w:bottom w:type="dxa" w:w="80"/>
              <w:right w:type="dxa" w:w="80"/>
            </w:tcMar>
            <w:vAlign w:val="center"/>
          </w:tcPr>
          <w:p>
            <w:pPr>
              <w:spacing w:before="0" w:after="120"/>
              <w:jc w:val="center"/>
            </w:pPr>
            <w:r>
              <w:rPr>
                <w:rFonts w:ascii="Calibri" w:cs="Calibri" w:eastAsia="Calibri" w:hAnsi="Calibri"/>
                <w:b w:val="false"/>
                <w:bCs w:val="false"/>
                <w:i w:val="false"/>
                <w:iCs w:val="false"/>
                <w:color w:val="5A7090"/>
                <w:sz w:val="17"/>
                <w:szCs w:val="17"/>
              </w:rPr>
              <w:t xml:space="preserve">Option A only</w:t>
            </w:r>
          </w:p>
        </w:tc>
      </w:tr>
      <w:tr>
        <w:tc>
          <w:tcPr>
            <w:tcW w:type="dxa" w:w="5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Palatino Linotype" w:cs="Palatino Linotype" w:eastAsia="Palatino Linotype" w:hAnsi="Palatino Linotype"/>
                <w:b/>
                <w:bCs/>
                <w:i w:val="false"/>
                <w:iCs w:val="false"/>
                <w:color w:val="A07C2E"/>
                <w:sz w:val="22"/>
                <w:szCs w:val="22"/>
              </w:rPr>
              <w:t xml:space="preserve">06</w:t>
            </w:r>
          </w:p>
        </w:tc>
        <w:tc>
          <w:tcPr>
            <w:tcW w:type="dxa" w:w="24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Full Programme Oversight</w:t>
            </w:r>
          </w:p>
        </w:tc>
        <w:tc>
          <w:tcPr>
            <w:tcW w:type="dxa" w:w="4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RTS monitoring, regulatory calendar management, and stakeholder coordination throughout.</w:t>
            </w:r>
          </w:p>
        </w:tc>
        <w:tc>
          <w:tcPr>
            <w:tcW w:type="dxa" w:w="1700"/>
            <w:tcBorders>
              <w:top w:val="single" w:color="DDDDDD" w:sz="2"/>
              <w:left w:val="single" w:color="DDDDDD" w:sz="2"/>
              <w:bottom w:val="single" w:color="DDDDDD" w:sz="2"/>
              <w:right w:val="single" w:color="DDDDDD" w:sz="2"/>
            </w:tcBorders>
            <w:shd w:fill="FFFFFF" w:val="clear"/>
            <w:tcMar>
              <w:top w:type="dxa" w:w="80"/>
              <w:left w:type="dxa" w:w="80"/>
              <w:bottom w:type="dxa" w:w="80"/>
              <w:right w:type="dxa" w:w="80"/>
            </w:tcMar>
            <w:vAlign w:val="center"/>
          </w:tcPr>
          <w:p>
            <w:pPr>
              <w:spacing w:before="0" w:after="120"/>
              <w:jc w:val="center"/>
            </w:pPr>
            <w:r>
              <w:rPr>
                <w:rFonts w:ascii="Calibri" w:cs="Calibri" w:eastAsia="Calibri" w:hAnsi="Calibri"/>
                <w:b w:val="false"/>
                <w:bCs w:val="false"/>
                <w:i w:val="false"/>
                <w:iCs w:val="false"/>
                <w:color w:val="5A7090"/>
                <w:sz w:val="17"/>
                <w:szCs w:val="17"/>
              </w:rPr>
              <w:t xml:space="preserve">Option A only</w:t>
            </w:r>
          </w:p>
        </w:tc>
      </w:tr>
    </w:tbl>
    <w:p>
      <w:pPr>
        <w:spacing w:before="120"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4803A" w:sz="16"/>
              <w:bottom w:val="none" w:color="FFFFFF" w:sz="0"/>
              <w:right w:val="none" w:color="FFFFFF" w:sz="0"/>
            </w:tcBorders>
            <w:shd w:fill="FFF6E8" w:val="clear"/>
            <w:tcMar>
              <w:top w:type="dxa" w:w="120"/>
              <w:left w:type="dxa" w:w="200"/>
              <w:bottom w:type="dxa" w:w="120"/>
              <w:right w:type="dxa" w:w="200"/>
            </w:tcMar>
          </w:tcPr>
          <w:p>
            <w:pPr>
              <w:spacing w:before="0" w:after="120"/>
              <w:jc w:val="left"/>
            </w:pPr>
            <w:r>
              <w:rPr>
                <w:rFonts w:ascii="Calibri" w:cs="Calibri" w:eastAsia="Calibri" w:hAnsi="Calibri"/>
                <w:b w:val="false"/>
                <w:bCs w:val="false"/>
                <w:i/>
                <w:iCs/>
                <w:color w:val="5A3A05"/>
                <w:sz w:val="19"/>
                <w:szCs w:val="19"/>
              </w:rPr>
              <w:t xml:space="preserve">Option B is a scoped starting position, not a complete AMLR solution. Invest International will still require an informed internal owner to operationalise the enhanced documents and manage the broader AMLR transition programme.</w:t>
            </w:r>
          </w:p>
        </w:tc>
      </w:tr>
    </w:tbl>
    <w:p>
      <w:r>
        <w:br w:type="page"/>
      </w:r>
    </w:p>
    <w:p>
      <w:pPr>
        <w:pBdr>
          <w:bottom w:val="single" w:color="A07C2E" w:sz="4" w:space="1"/>
        </w:pBdr>
        <w:spacing w:before="400" w:after="100"/>
      </w:pPr>
      <w:r>
        <w:rPr>
          <w:rFonts w:ascii="Calibri" w:cs="Calibri" w:eastAsia="Calibri" w:hAnsi="Calibri"/>
          <w:b/>
          <w:bCs/>
          <w:i w:val="false"/>
          <w:iCs w:val="false"/>
          <w:color w:val="A07C2E"/>
          <w:spacing w:val="120"/>
          <w:sz w:val="15"/>
          <w:szCs w:val="15"/>
        </w:rPr>
        <w:t xml:space="preserve">SECTION 04 — REGULATORY MILESTONE CALENDAR</w:t>
      </w:r>
    </w:p>
    <w:p>
      <w:pPr>
        <w:spacing w:before="80" w:after="200"/>
      </w:pPr>
      <w:r>
        <w:rPr>
          <w:rFonts w:ascii="Palatino Linotype" w:cs="Palatino Linotype" w:eastAsia="Palatino Linotype" w:hAnsi="Palatino Linotype"/>
          <w:b/>
          <w:bCs/>
          <w:i w:val="false"/>
          <w:iCs w:val="false"/>
          <w:color w:val="0B2040"/>
          <w:sz w:val="34"/>
          <w:szCs w:val="34"/>
        </w:rPr>
        <w:t xml:space="preserve">AMLR Implementation Timeline</w:t>
      </w:r>
    </w:p>
    <w:p>
      <w:pPr>
        <w:spacing w:before="0" w:after="120"/>
      </w:pPr>
      <w:r>
        <w:rPr>
          <w:rFonts w:ascii="Calibri" w:cs="Calibri" w:eastAsia="Calibri" w:hAnsi="Calibri"/>
          <w:b w:val="false"/>
          <w:bCs w:val="false"/>
          <w:i w:val="false"/>
          <w:iCs w:val="false"/>
          <w:color w:val="5A7090"/>
          <w:sz w:val="20"/>
          <w:szCs w:val="20"/>
        </w:rPr>
        <w:t xml:space="preserve">Every milestone below affects Invest International directly. AMLR is not a single deadline — it is a rolling programme of binding technical standards, supervisory guidelines, and application dates running through 2028.</w:t>
      </w:r>
    </w:p>
    <w:p>
      <w:pPr>
        <w:spacing w:before="120"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DATE</w:t>
            </w:r>
          </w:p>
        </w:tc>
        <w:tc>
          <w:tcPr>
            <w:tcW w:type="dxa" w:w="300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MILESTONE</w:t>
            </w:r>
          </w:p>
        </w:tc>
        <w:tc>
          <w:tcPr>
            <w:tcW w:type="dxa" w:w="4760"/>
            <w:tcBorders>
              <w:top w:val="single" w:color="C9A84C" w:sz="4"/>
              <w:left w:val="single" w:color="C9A84C" w:sz="4"/>
              <w:bottom w:val="single" w:color="C9A84C" w:sz="4"/>
              <w:right w:val="single" w:color="C9A84C" w:sz="4"/>
            </w:tcBorders>
            <w:shd w:fill="0B2040"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C9A84C"/>
                <w:spacing w:val="60"/>
                <w:sz w:val="15"/>
                <w:szCs w:val="15"/>
              </w:rPr>
              <w:t xml:space="preserve">RELEVANCE FOR INVEST INTERNATIONAL</w:t>
            </w:r>
          </w:p>
        </w:tc>
      </w:tr>
      <w:tr>
        <w:tc>
          <w:tcPr>
            <w:tcW w:type="dxa" w:w="16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Q1 2026 — Now</w:t>
            </w:r>
          </w:p>
        </w:tc>
        <w:tc>
          <w:tcPr>
            <w:tcW w:type="dxa" w:w="30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Optimal Engagement Window</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15+ months to AMLR deadline — sufficient for either engagement option</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Q2 2026</w:t>
            </w:r>
          </w:p>
        </w:tc>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AMLA/EBA — CDD &amp; EDD Technical Standards</w:t>
            </w:r>
          </w:p>
        </w:tc>
        <w:tc>
          <w:tcPr>
            <w:tcW w:type="dxa" w:w="4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Triggers EDD obligations for emerging markets portfolio; directly affects mandatory EDD thresholds</w:t>
            </w:r>
          </w:p>
        </w:tc>
      </w:tr>
      <w:tr>
        <w:tc>
          <w:tcPr>
            <w:tcW w:type="dxa" w:w="16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Q3 2026</w:t>
            </w:r>
          </w:p>
        </w:tc>
        <w:tc>
          <w:tcPr>
            <w:tcW w:type="dxa" w:w="30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PEP &amp; SOE Classification Standards</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DFI-critical — structural counterparty exposure requires immediate policy integration once published</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Q4 2026</w:t>
            </w:r>
          </w:p>
        </w:tc>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Transaction Monitoring &amp; Screening ITS</w:t>
            </w:r>
          </w:p>
        </w:tc>
        <w:tc>
          <w:tcPr>
            <w:tcW w:type="dxa" w:w="4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Technical standards requiring DFI-specific interpretation; off-the-shelf parameters will not suffice</w:t>
            </w:r>
          </w:p>
        </w:tc>
      </w:tr>
      <w:tr>
        <w:tc>
          <w:tcPr>
            <w:tcW w:type="dxa" w:w="16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Q1–Q2 2027</w:t>
            </w:r>
          </w:p>
        </w:tc>
        <w:tc>
          <w:tcPr>
            <w:tcW w:type="dxa" w:w="30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Final RTS Package &amp; AMLA Guidelines</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Last window for policy and procedure updating before the compliance deadline</w:t>
            </w:r>
          </w:p>
        </w:tc>
      </w:tr>
      <w:tr>
        <w:tc>
          <w:tcPr>
            <w:tcW w:type="dxa" w:w="16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10 July 2027</w:t>
            </w:r>
          </w:p>
        </w:tc>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AMLR Application Date — WWFT Superseded</w:t>
            </w:r>
          </w:p>
        </w:tc>
        <w:tc>
          <w:tcPr>
            <w:tcW w:type="dxa" w:w="476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REGULATORY DEADLINE — Full compliance required from this date. No grace period.</w:t>
            </w:r>
          </w:p>
        </w:tc>
      </w:tr>
      <w:tr>
        <w:tc>
          <w:tcPr>
            <w:tcW w:type="dxa" w:w="16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bCs/>
                <w:i w:val="false"/>
                <w:iCs w:val="false"/>
                <w:color w:val="0B2040"/>
                <w:sz w:val="18"/>
                <w:szCs w:val="18"/>
              </w:rPr>
              <w:t xml:space="preserve">1 January 2028</w:t>
            </w:r>
          </w:p>
        </w:tc>
        <w:tc>
          <w:tcPr>
            <w:tcW w:type="dxa" w:w="300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Invest International + Invest-NL Merger</w:t>
            </w:r>
          </w:p>
        </w:tc>
        <w:tc>
          <w:tcPr>
            <w:tcW w:type="dxa" w:w="4760"/>
            <w:tcBorders>
              <w:top w:val="single" w:color="DDDDDD" w:sz="2"/>
              <w:left w:val="single" w:color="DDDDDD" w:sz="2"/>
              <w:bottom w:val="single" w:color="DDDDDD" w:sz="2"/>
              <w:right w:val="single" w:color="DDDDDD" w:sz="2"/>
            </w:tcBorders>
            <w:shd w:fill="F0F4FA" w:val="clear"/>
            <w:tcMar>
              <w:top w:type="dxa" w:w="80"/>
              <w:left w:type="dxa" w:w="120"/>
              <w:bottom w:type="dxa" w:w="80"/>
              <w:right w:type="dxa" w:w="120"/>
            </w:tcMar>
          </w:tcPr>
          <w:p>
            <w:pPr>
              <w:spacing w:before="0" w:after="120"/>
              <w:jc w:val="left"/>
            </w:pPr>
            <w:r>
              <w:rPr>
                <w:rFonts w:ascii="Calibri" w:cs="Calibri" w:eastAsia="Calibri" w:hAnsi="Calibri"/>
                <w:b w:val="false"/>
                <w:bCs w:val="false"/>
                <w:i w:val="false"/>
                <w:iCs w:val="false"/>
                <w:color w:val="5A7090"/>
                <w:sz w:val="18"/>
                <w:szCs w:val="18"/>
              </w:rPr>
              <w:t xml:space="preserve">Unified AMLR-ready framework required at merger close — six months after the AMLR deadline</w:t>
            </w:r>
          </w:p>
        </w:tc>
      </w:tr>
    </w:tbl>
    <w:p>
      <w:r>
        <w:br w:type="page"/>
      </w:r>
    </w:p>
    <w:p>
      <w:pPr>
        <w:pBdr>
          <w:bottom w:val="single" w:color="A07C2E" w:sz="4" w:space="1"/>
        </w:pBdr>
        <w:spacing w:before="400" w:after="100"/>
      </w:pPr>
      <w:r>
        <w:rPr>
          <w:rFonts w:ascii="Calibri" w:cs="Calibri" w:eastAsia="Calibri" w:hAnsi="Calibri"/>
          <w:b/>
          <w:bCs/>
          <w:i w:val="false"/>
          <w:iCs w:val="false"/>
          <w:color w:val="A07C2E"/>
          <w:spacing w:val="120"/>
          <w:sz w:val="15"/>
          <w:szCs w:val="15"/>
        </w:rPr>
        <w:t xml:space="preserve">SECTION 05 — CONTACT &amp; NEXT STEPS</w:t>
      </w:r>
    </w:p>
    <w:p>
      <w:pPr>
        <w:spacing w:before="80" w:after="200"/>
      </w:pPr>
      <w:r>
        <w:rPr>
          <w:rFonts w:ascii="Palatino Linotype" w:cs="Palatino Linotype" w:eastAsia="Palatino Linotype" w:hAnsi="Palatino Linotype"/>
          <w:b/>
          <w:bCs/>
          <w:i w:val="false"/>
          <w:iCs w:val="false"/>
          <w:color w:val="0B2040"/>
          <w:sz w:val="34"/>
          <w:szCs w:val="34"/>
        </w:rPr>
        <w:t xml:space="preserve">Next Steps</w:t>
      </w:r>
    </w:p>
    <w:p>
      <w:pPr>
        <w:spacing w:before="0" w:after="120"/>
      </w:pPr>
      <w:r>
        <w:rPr>
          <w:rFonts w:ascii="Calibri" w:cs="Calibri" w:eastAsia="Calibri" w:hAnsi="Calibri"/>
          <w:b w:val="false"/>
          <w:bCs w:val="false"/>
          <w:i w:val="false"/>
          <w:iCs w:val="false"/>
          <w:color w:val="5A7090"/>
          <w:sz w:val="20"/>
          <w:szCs w:val="20"/>
        </w:rPr>
        <w:t xml:space="preserve">To discuss this proposal or confirm an engagement, please reach out directly:</w:t>
      </w:r>
    </w:p>
    <w:p>
      <w:pPr>
        <w:spacing w:before="160"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4"/>
              <w:bottom w:val="single" w:color="C9A84C" w:sz="4"/>
              <w:right w:val="single" w:color="C9A84C" w:sz="4"/>
            </w:tcBorders>
            <w:shd w:fill="0B2040" w:val="clear"/>
            <w:tcMar>
              <w:top w:type="dxa" w:w="200"/>
              <w:left w:type="dxa" w:w="280"/>
              <w:bottom w:type="dxa" w:w="200"/>
              <w:right w:type="dxa" w:w="280"/>
            </w:tcMar>
          </w:tcPr>
          <w:p>
            <w:pPr>
              <w:spacing w:before="0" w:after="60"/>
              <w:jc w:val="left"/>
            </w:pPr>
            <w:r>
              <w:rPr>
                <w:rFonts w:ascii="Palatino Linotype" w:cs="Palatino Linotype" w:eastAsia="Palatino Linotype" w:hAnsi="Palatino Linotype"/>
                <w:b/>
                <w:bCs/>
                <w:i w:val="false"/>
                <w:iCs w:val="false"/>
                <w:color w:val="FFFFFF"/>
                <w:sz w:val="30"/>
                <w:szCs w:val="30"/>
              </w:rPr>
              <w:t xml:space="preserve">Zack ElMoussaoui</w:t>
            </w:r>
          </w:p>
          <w:p>
            <w:pPr>
              <w:spacing w:before="0" w:after="100"/>
              <w:jc w:val="left"/>
            </w:pPr>
            <w:r>
              <w:rPr>
                <w:rFonts w:ascii="Calibri" w:cs="Calibri" w:eastAsia="Calibri" w:hAnsi="Calibri"/>
                <w:b w:val="false"/>
                <w:bCs w:val="false"/>
                <w:i/>
                <w:iCs/>
                <w:color w:val="C9A84C"/>
                <w:sz w:val="20"/>
                <w:szCs w:val="20"/>
              </w:rPr>
              <w:t xml:space="preserve">Senior Financial Economic Crime &amp; Compliance Consultant</w:t>
            </w:r>
          </w:p>
          <w:p>
            <w:pPr>
              <w:spacing w:before="0" w:after="60"/>
              <w:jc w:val="left"/>
            </w:pPr>
            <w:r>
              <w:rPr>
                <w:rFonts w:ascii="Calibri" w:cs="Calibri" w:eastAsia="Calibri" w:hAnsi="Calibri"/>
                <w:b w:val="false"/>
                <w:bCs w:val="false"/>
                <w:i w:val="false"/>
                <w:iCs w:val="false"/>
                <w:color w:val="5A7090"/>
                <w:sz w:val="18"/>
                <w:szCs w:val="18"/>
              </w:rPr>
              <w:t xml:space="preserve">Apex Compliance Consultancy  ·  ZE Compliance Development &amp; Consultancy</w:t>
            </w:r>
          </w:p>
          <w:p>
            <w:pPr>
              <w:spacing w:before="0" w:after="80"/>
              <w:jc w:val="left"/>
            </w:pPr>
            <w:r>
              <w:rPr>
                <w:rFonts w:ascii="Calibri" w:cs="Calibri" w:eastAsia="Calibri" w:hAnsi="Calibri"/>
                <w:b w:val="false"/>
                <w:bCs w:val="false"/>
                <w:i w:val="false"/>
                <w:iCs w:val="false"/>
                <w:color w:val="5A7090"/>
                <w:sz w:val="18"/>
                <w:szCs w:val="18"/>
              </w:rPr>
              <w:t xml:space="preserve">The Hague, Netherlands</w:t>
            </w:r>
          </w:p>
          <w:p>
            <w:pPr>
              <w:spacing w:before="0" w:after="120"/>
              <w:jc w:val="left"/>
            </w:pPr>
            <w:r>
              <w:rPr>
                <w:rFonts w:ascii="Calibri" w:cs="Calibri" w:eastAsia="Calibri" w:hAnsi="Calibri"/>
                <w:b/>
                <w:bCs/>
                <w:i w:val="false"/>
                <w:iCs w:val="false"/>
                <w:color w:val="C9A84C"/>
                <w:sz w:val="21"/>
                <w:szCs w:val="21"/>
              </w:rPr>
              <w:t xml:space="preserve">info@compliancedevelopmentconsultancy.com</w:t>
            </w:r>
          </w:p>
        </w:tc>
      </w:tr>
    </w:tbl>
    <w:p>
      <w:pPr>
        <w:pBdr>
          <w:bottom w:val="single" w:color="C9A84C" w:sz="6" w:space="1"/>
        </w:pBdr>
        <w:spacing w:before="160" w:after="160"/>
      </w:pPr>
    </w:p>
    <w:p>
      <w:pPr>
        <w:spacing w:before="0" w:after="120"/>
        <w:jc w:val="center"/>
      </w:pPr>
      <w:r>
        <w:rPr>
          <w:rFonts w:ascii="Calibri" w:cs="Calibri" w:eastAsia="Calibri" w:hAnsi="Calibri"/>
          <w:b w:val="false"/>
          <w:bCs w:val="false"/>
          <w:i/>
          <w:iCs/>
          <w:color w:val="5A7090"/>
          <w:sz w:val="15"/>
          <w:szCs w:val="15"/>
        </w:rPr>
        <w:t xml:space="preserve">Confidential — prepared exclusively for Invest International B.V.  ·  March 2026  ·  Apex Compliance Consultancy  ·  © 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center" w:pos="4680"/>
        <w:tab w:val="right" w:pos="9026"/>
      </w:tabs>
      <w:spacing w:before="80" w:after="0"/>
    </w:pPr>
    <w:r>
      <w:rPr>
        <w:rFonts w:ascii="Calibri" w:cs="Calibri" w:eastAsia="Calibri" w:hAnsi="Calibri"/>
        <w:b w:val="false"/>
        <w:bCs w:val="false"/>
        <w:i w:val="false"/>
        <w:iCs w:val="false"/>
        <w:color w:val="5A7090"/>
        <w:sz w:val="14"/>
        <w:szCs w:val="14"/>
      </w:rPr>
      <w:t xml:space="preserve">Confidential · info@compliancedevelopmentconsultancy.com</w:t>
    </w:r>
    <w:r>
      <w:rPr>
        <w:rFonts w:ascii="Calibri" w:cs="Calibri" w:eastAsia="Calibri" w:hAnsi="Calibri"/>
      </w:rPr>
      <w:t xml:space="preserve">	</w:t>
    </w:r>
    <w:r>
      <w:rPr>
        <w:rFonts w:ascii="Calibri" w:cs="Calibri" w:eastAsia="Calibri" w:hAnsi="Calibri"/>
        <w:b w:val="false"/>
        <w:bCs w:val="false"/>
        <w:i w:val="false"/>
        <w:iCs w:val="false"/>
        <w:color w:val="5A7090"/>
        <w:sz w:val="14"/>
        <w:szCs w:val="14"/>
      </w:rPr>
      <w:t xml:space="preserve">Page </w:t>
    </w:r>
    <w:fldSimple w:instr="PAGE"/>
    <w:r>
      <w:rPr>
        <w:rFonts w:ascii="Calibri" w:cs="Calibri" w:eastAsia="Calibri" w:hAnsi="Calibri"/>
        <w:color w:val="5A7090"/>
        <w:sz w:val="14"/>
        <w:szCs w:val="14"/>
      </w:rPr>
      <w:t xml:space="preserve">	The Hague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before="0" w:after="80"/>
    </w:pPr>
    <w:r>
      <w:rPr>
        <w:rFonts w:ascii="Calibri" w:cs="Calibri" w:eastAsia="Calibri" w:hAnsi="Calibri"/>
        <w:b/>
        <w:bCs/>
        <w:i w:val="false"/>
        <w:iCs w:val="false"/>
        <w:color w:val="A07C2E"/>
        <w:sz w:val="16"/>
        <w:szCs w:val="16"/>
      </w:rPr>
      <w:t xml:space="preserve">Apex Compliance Consultancy</w:t>
    </w:r>
    <w:r>
      <w:rPr>
        <w:rFonts w:ascii="Calibri" w:cs="Calibri" w:eastAsia="Calibri" w:hAnsi="Calibri"/>
      </w:rPr>
      <w:t xml:space="preserve">	</w:t>
    </w:r>
    <w:r>
      <w:rPr>
        <w:rFonts w:ascii="Calibri" w:cs="Calibri" w:eastAsia="Calibri" w:hAnsi="Calibri"/>
        <w:b w:val="false"/>
        <w:bCs w:val="false"/>
        <w:i w:val="false"/>
        <w:iCs w:val="false"/>
        <w:color w:val="5A7090"/>
        <w:sz w:val="16"/>
        <w:szCs w:val="16"/>
      </w:rPr>
      <w:t xml:space="preserve">AMLR Implementation Proposal  ·  Invest International B.V.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2026-03-08T21:31:19.508Z</dcterms:created>
  <dcterms:modified xsi:type="dcterms:W3CDTF">2026-03-08T21:31:19.509Z</dcterms:modified>
</cp:coreProperties>
</file>

<file path=docProps/custom.xml><?xml version="1.0" encoding="utf-8"?>
<Properties xmlns="http://schemas.openxmlformats.org/officeDocument/2006/custom-properties" xmlns:vt="http://schemas.openxmlformats.org/officeDocument/2006/docPropsVTypes"/>
</file>