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5F74F" w14:textId="63547E48" w:rsidR="00822676" w:rsidRPr="00AA48FE" w:rsidRDefault="003757A1" w:rsidP="00822676">
      <w:pPr>
        <w:rPr>
          <w:b/>
        </w:rPr>
      </w:pPr>
      <w:r w:rsidRPr="003757A1">
        <w:rPr>
          <w:b/>
        </w:rPr>
        <w:t>Lecture 2 (Forwards Markets) Assignment</w:t>
      </w:r>
    </w:p>
    <w:p w14:paraId="4D5D01F8" w14:textId="77777777" w:rsidR="003757A1" w:rsidRDefault="003757A1"/>
    <w:p w14:paraId="6D554949" w14:textId="46251CD5" w:rsidR="002D09BC" w:rsidRDefault="002D09BC">
      <w:r>
        <w:t xml:space="preserve">Due start of class, </w:t>
      </w:r>
      <w:r w:rsidR="00853A3C">
        <w:t xml:space="preserve">Wednesday </w:t>
      </w:r>
      <w:r w:rsidR="00405489">
        <w:t>September 18, 2019</w:t>
      </w:r>
      <w:bookmarkStart w:id="0" w:name="_GoBack"/>
      <w:bookmarkEnd w:id="0"/>
    </w:p>
    <w:p w14:paraId="7BE965AF" w14:textId="77777777" w:rsidR="002D09BC" w:rsidRDefault="002D09BC"/>
    <w:p w14:paraId="04215612" w14:textId="77777777" w:rsidR="003757A1" w:rsidRPr="003757A1" w:rsidRDefault="003757A1">
      <w:pPr>
        <w:rPr>
          <w:b/>
        </w:rPr>
      </w:pPr>
      <w:r>
        <w:rPr>
          <w:b/>
        </w:rPr>
        <w:t>Question 1</w:t>
      </w:r>
      <w:r w:rsidRPr="003757A1">
        <w:rPr>
          <w:b/>
        </w:rPr>
        <w:t xml:space="preserve"> (</w:t>
      </w:r>
      <w:r>
        <w:rPr>
          <w:b/>
        </w:rPr>
        <w:t>4</w:t>
      </w:r>
      <w:r w:rsidRPr="003757A1">
        <w:rPr>
          <w:b/>
        </w:rPr>
        <w:t xml:space="preserve"> marks)</w:t>
      </w:r>
    </w:p>
    <w:p w14:paraId="0DEFB540" w14:textId="77777777" w:rsidR="003757A1" w:rsidRDefault="003757A1"/>
    <w:p w14:paraId="40092161" w14:textId="77777777" w:rsidR="003757A1" w:rsidRDefault="003757A1">
      <w:r>
        <w:t>Why are correlations of daily returns of spot vs daily returns of forward prices so high in the FX markets? What are the two requirements a market must support to enforce a high correlation across the forward curve?</w:t>
      </w:r>
    </w:p>
    <w:p w14:paraId="135257C6" w14:textId="77777777" w:rsidR="00112621" w:rsidRDefault="00112621"/>
    <w:p w14:paraId="58FDF7C8" w14:textId="76E7119D" w:rsidR="00112621" w:rsidRDefault="00112621">
      <w:pPr>
        <w:rPr>
          <w:color w:val="0000FF"/>
        </w:rPr>
      </w:pPr>
      <w:r>
        <w:rPr>
          <w:color w:val="0000FF"/>
        </w:rPr>
        <w:t>The correlations are high because the FX markets admit the spot vs forward arbitrage that forces the market forward price to equal the “fair” forward price, which is a function of spot and interest rates. So when the spot price moves, all the forwards move proportionately, and correlations across the curve are high.</w:t>
      </w:r>
    </w:p>
    <w:p w14:paraId="09254C26" w14:textId="77777777" w:rsidR="00112621" w:rsidRDefault="00112621">
      <w:pPr>
        <w:rPr>
          <w:color w:val="0000FF"/>
        </w:rPr>
      </w:pPr>
    </w:p>
    <w:p w14:paraId="199B9CA3" w14:textId="01D4E293" w:rsidR="00112621" w:rsidRPr="00112621" w:rsidRDefault="00112621">
      <w:pPr>
        <w:rPr>
          <w:color w:val="0000FF"/>
        </w:rPr>
      </w:pPr>
      <w:r>
        <w:rPr>
          <w:color w:val="0000FF"/>
        </w:rPr>
        <w:t>The two requirements are the ability to store the asset and the ability to borrow &amp; short the asset.</w:t>
      </w:r>
    </w:p>
    <w:p w14:paraId="39526ADE" w14:textId="77777777" w:rsidR="003757A1" w:rsidRDefault="003757A1"/>
    <w:p w14:paraId="29DA9E51" w14:textId="77777777" w:rsidR="003757A1" w:rsidRPr="003757A1" w:rsidRDefault="003757A1" w:rsidP="003757A1">
      <w:pPr>
        <w:rPr>
          <w:b/>
        </w:rPr>
      </w:pPr>
      <w:r>
        <w:rPr>
          <w:b/>
        </w:rPr>
        <w:t>Question 2 (2 marks)</w:t>
      </w:r>
    </w:p>
    <w:p w14:paraId="42F850D5" w14:textId="77777777" w:rsidR="003757A1" w:rsidRDefault="003757A1" w:rsidP="003757A1"/>
    <w:p w14:paraId="4B41D930" w14:textId="77777777" w:rsidR="003757A1" w:rsidRDefault="003757A1" w:rsidP="003757A1">
      <w:r>
        <w:t>Why is risk management more complex for an FX forwards risk manager than for an FX spot risk manager?</w:t>
      </w:r>
    </w:p>
    <w:p w14:paraId="5F04CE35" w14:textId="77777777" w:rsidR="00112621" w:rsidRDefault="00112621" w:rsidP="003757A1"/>
    <w:p w14:paraId="5667B8EC" w14:textId="7C0F30E1" w:rsidR="00112621" w:rsidRPr="00112621" w:rsidRDefault="00112621" w:rsidP="003757A1">
      <w:pPr>
        <w:rPr>
          <w:color w:val="0000FF"/>
        </w:rPr>
      </w:pPr>
      <w:r>
        <w:rPr>
          <w:color w:val="0000FF"/>
        </w:rPr>
        <w:t>Because the forwards market has an extra dimension of risk: the tenor of the forward contracts. That means the portfolio is rarely exactly flat; it usually has some spread positions on, since it’s unlikely for a client to want to buy exactly the same tenor forward that another client wanted to sell.</w:t>
      </w:r>
    </w:p>
    <w:p w14:paraId="3835F02A" w14:textId="77777777" w:rsidR="003757A1" w:rsidRDefault="003757A1" w:rsidP="003757A1"/>
    <w:p w14:paraId="084B3A0D" w14:textId="77777777" w:rsidR="003757A1" w:rsidRPr="003757A1" w:rsidRDefault="003757A1">
      <w:pPr>
        <w:rPr>
          <w:b/>
        </w:rPr>
      </w:pPr>
      <w:r w:rsidRPr="003757A1">
        <w:rPr>
          <w:b/>
        </w:rPr>
        <w:t>Question 3 (2 marks)</w:t>
      </w:r>
    </w:p>
    <w:p w14:paraId="48FEC071" w14:textId="77777777" w:rsidR="003757A1" w:rsidRDefault="003757A1"/>
    <w:p w14:paraId="70297FF9" w14:textId="77777777" w:rsidR="003757A1" w:rsidRDefault="003757A1">
      <w:r>
        <w:t>Explain why risk to FX forward points can be expressed as risk to non-USD interest rates.</w:t>
      </w:r>
    </w:p>
    <w:p w14:paraId="6DD31AC0" w14:textId="77777777" w:rsidR="00112621" w:rsidRDefault="00112621"/>
    <w:p w14:paraId="56B6310F" w14:textId="72DDBDDE" w:rsidR="00112621" w:rsidRDefault="00112621">
      <w:pPr>
        <w:rPr>
          <w:color w:val="0000FF"/>
        </w:rPr>
      </w:pPr>
      <w:r>
        <w:rPr>
          <w:color w:val="0000FF"/>
        </w:rPr>
        <w:t>Forward(T) = S * exp((R(T)-Q(T))*T), and forward point = Forward(T)-S, which is approximately equal to S * ( R(T) – Q(T) ) * T. So there are three dimensions of risk in a forward point: spot S, and the two interest rates (of which one is the USD rate).</w:t>
      </w:r>
    </w:p>
    <w:p w14:paraId="359A1328" w14:textId="77777777" w:rsidR="00112621" w:rsidRDefault="00112621">
      <w:pPr>
        <w:rPr>
          <w:color w:val="0000FF"/>
        </w:rPr>
      </w:pPr>
    </w:p>
    <w:p w14:paraId="3FC9F3C5" w14:textId="1D5D4A3C" w:rsidR="00112621" w:rsidRPr="00112621" w:rsidRDefault="00112621">
      <w:pPr>
        <w:rPr>
          <w:color w:val="0000FF"/>
        </w:rPr>
      </w:pPr>
      <w:r>
        <w:rPr>
          <w:color w:val="0000FF"/>
        </w:rPr>
        <w:t>Other risk reports already report risk to spot and the USD interest rates. So the one dimension of risk that’s special to FX forward points is the risk to the non-USD interest rate curve.</w:t>
      </w:r>
    </w:p>
    <w:p w14:paraId="031F53E5" w14:textId="77777777" w:rsidR="003757A1" w:rsidRDefault="003757A1"/>
    <w:p w14:paraId="63E222F9" w14:textId="77777777" w:rsidR="003757A1" w:rsidRPr="003757A1" w:rsidRDefault="003757A1">
      <w:pPr>
        <w:rPr>
          <w:b/>
        </w:rPr>
      </w:pPr>
      <w:r w:rsidRPr="003757A1">
        <w:rPr>
          <w:b/>
        </w:rPr>
        <w:t>Question 4 (4 marks)</w:t>
      </w:r>
    </w:p>
    <w:p w14:paraId="75649FCB" w14:textId="77777777" w:rsidR="003757A1" w:rsidRDefault="003757A1"/>
    <w:p w14:paraId="305330D3" w14:textId="77777777" w:rsidR="003757A1" w:rsidRDefault="003757A1">
      <w:r>
        <w:t>Assume a portfolio has just one FX forward position in it, settling on a date T which lies between two benchmark settlement dates T</w:t>
      </w:r>
      <w:r w:rsidRPr="003757A1">
        <w:rPr>
          <w:vertAlign w:val="subscript"/>
        </w:rPr>
        <w:t>1</w:t>
      </w:r>
      <w:r>
        <w:t xml:space="preserve"> and T</w:t>
      </w:r>
      <w:r w:rsidRPr="003757A1">
        <w:rPr>
          <w:vertAlign w:val="subscript"/>
        </w:rPr>
        <w:t>2</w:t>
      </w:r>
      <w:r>
        <w:t>. Derive the notionals N</w:t>
      </w:r>
      <w:r w:rsidRPr="003757A1">
        <w:rPr>
          <w:vertAlign w:val="subscript"/>
        </w:rPr>
        <w:t>1</w:t>
      </w:r>
      <w:r>
        <w:t xml:space="preserve"> and N</w:t>
      </w:r>
      <w:r w:rsidRPr="003757A1">
        <w:rPr>
          <w:vertAlign w:val="subscript"/>
        </w:rPr>
        <w:t>2</w:t>
      </w:r>
      <w:r>
        <w:t xml:space="preserve"> of the benchmark forwards which hedge the portfolio risk assuming triangle </w:t>
      </w:r>
      <w:r>
        <w:lastRenderedPageBreak/>
        <w:t>shocks to the benchmark non-USD interest rates, as shown on page 24 of the lecture notes.</w:t>
      </w:r>
    </w:p>
    <w:p w14:paraId="1EF5942D" w14:textId="77777777" w:rsidR="00112621" w:rsidRDefault="00112621"/>
    <w:p w14:paraId="4E42348D" w14:textId="77777777" w:rsidR="00112621" w:rsidRDefault="00112621">
      <w:pPr>
        <w:rPr>
          <w:color w:val="0000FF"/>
        </w:rPr>
      </w:pPr>
      <w:r>
        <w:rPr>
          <w:color w:val="0000FF"/>
        </w:rPr>
        <w:t>We start by defining the price of three different forwards: one settling at T, one settling at T</w:t>
      </w:r>
      <w:r w:rsidRPr="00112621">
        <w:rPr>
          <w:color w:val="0000FF"/>
          <w:vertAlign w:val="subscript"/>
        </w:rPr>
        <w:t>1</w:t>
      </w:r>
      <w:r>
        <w:rPr>
          <w:color w:val="0000FF"/>
        </w:rPr>
        <w:t>, and the last settling at T</w:t>
      </w:r>
      <w:r w:rsidRPr="00112621">
        <w:rPr>
          <w:color w:val="0000FF"/>
          <w:vertAlign w:val="subscript"/>
        </w:rPr>
        <w:t>2</w:t>
      </w:r>
      <w:r>
        <w:rPr>
          <w:color w:val="0000FF"/>
        </w:rPr>
        <w:t>:</w:t>
      </w:r>
    </w:p>
    <w:p w14:paraId="7DD686F7" w14:textId="77777777" w:rsidR="00112621" w:rsidRDefault="00112621">
      <w:pPr>
        <w:rPr>
          <w:color w:val="0000FF"/>
        </w:rPr>
      </w:pPr>
    </w:p>
    <w:p w14:paraId="5CE6D385" w14:textId="107335A6" w:rsidR="00112621" w:rsidRPr="00112621" w:rsidRDefault="00405489">
      <w:pPr>
        <w:rPr>
          <w:color w:val="0000FF"/>
        </w:rPr>
      </w:pPr>
      <m:oMathPara>
        <m:oMath>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T</m:t>
              </m:r>
            </m:sub>
          </m:sSub>
          <m:r>
            <w:rPr>
              <w:rFonts w:ascii="Cambria Math" w:hAnsi="Cambria Math"/>
              <w:color w:val="0000FF"/>
            </w:rPr>
            <m:t>=S</m:t>
          </m:r>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r>
                <w:rPr>
                  <w:rFonts w:ascii="Cambria Math" w:hAnsi="Cambria Math"/>
                  <w:color w:val="0000FF"/>
                </w:rPr>
                <m:t>T</m:t>
              </m:r>
            </m:sup>
          </m:s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T</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T</m:t>
                  </m:r>
                </m:sub>
              </m:sSub>
              <m:r>
                <w:rPr>
                  <w:rFonts w:ascii="Cambria Math" w:hAnsi="Cambria Math"/>
                  <w:color w:val="0000FF"/>
                </w:rPr>
                <m:t>T</m:t>
              </m:r>
            </m:sup>
          </m:sSup>
        </m:oMath>
      </m:oMathPara>
    </w:p>
    <w:p w14:paraId="48A22683" w14:textId="33D47779" w:rsidR="00112621" w:rsidRPr="00112621" w:rsidRDefault="00405489">
      <w:pPr>
        <w:rPr>
          <w:color w:val="0000FF"/>
        </w:rPr>
      </w:pPr>
      <m:oMathPara>
        <m:oMath>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1</m:t>
              </m:r>
            </m:sub>
          </m:sSub>
          <m:r>
            <w:rPr>
              <w:rFonts w:ascii="Cambria Math" w:hAnsi="Cambria Math"/>
              <w:color w:val="0000FF"/>
            </w:rPr>
            <m:t>=S</m:t>
          </m:r>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sup>
          </m:s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1</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sup>
          </m:sSup>
        </m:oMath>
      </m:oMathPara>
    </w:p>
    <w:p w14:paraId="7BBCDA18" w14:textId="4B6F613F" w:rsidR="00112621" w:rsidRPr="00002959" w:rsidRDefault="00405489">
      <w:pPr>
        <w:rPr>
          <w:color w:val="0000FF"/>
        </w:rPr>
      </w:pPr>
      <m:oMathPara>
        <m:oMath>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2</m:t>
              </m:r>
            </m:sub>
          </m:sSub>
          <m:r>
            <w:rPr>
              <w:rFonts w:ascii="Cambria Math" w:hAnsi="Cambria Math"/>
              <w:color w:val="0000FF"/>
            </w:rPr>
            <m:t>=S</m:t>
          </m:r>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sup>
          </m:s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2</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2</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sup>
          </m:sSup>
        </m:oMath>
      </m:oMathPara>
    </w:p>
    <w:p w14:paraId="0AF27F43" w14:textId="77777777" w:rsidR="00002959" w:rsidRDefault="00002959">
      <w:pPr>
        <w:rPr>
          <w:color w:val="0000FF"/>
        </w:rPr>
      </w:pPr>
    </w:p>
    <w:p w14:paraId="1408EADC" w14:textId="5BC702B0" w:rsidR="00002959" w:rsidRDefault="00002959">
      <w:pPr>
        <w:rPr>
          <w:color w:val="0000FF"/>
        </w:rPr>
      </w:pPr>
      <w:r>
        <w:rPr>
          <w:color w:val="0000FF"/>
        </w:rPr>
        <w:t>We’ll construct a portfolio that’s long one unit of the forward to T, and short N</w:t>
      </w:r>
      <w:r w:rsidRPr="00002959">
        <w:rPr>
          <w:color w:val="0000FF"/>
          <w:vertAlign w:val="subscript"/>
        </w:rPr>
        <w:t>1</w:t>
      </w:r>
      <w:r>
        <w:rPr>
          <w:color w:val="0000FF"/>
        </w:rPr>
        <w:t xml:space="preserve"> and N</w:t>
      </w:r>
      <w:r w:rsidRPr="00002959">
        <w:rPr>
          <w:color w:val="0000FF"/>
          <w:vertAlign w:val="subscript"/>
        </w:rPr>
        <w:t>2</w:t>
      </w:r>
      <w:r>
        <w:rPr>
          <w:color w:val="0000FF"/>
        </w:rPr>
        <w:t xml:space="preserve"> units of the forwards to T</w:t>
      </w:r>
      <w:r w:rsidRPr="00002959">
        <w:rPr>
          <w:color w:val="0000FF"/>
          <w:vertAlign w:val="subscript"/>
        </w:rPr>
        <w:t>1</w:t>
      </w:r>
      <w:r>
        <w:rPr>
          <w:color w:val="0000FF"/>
        </w:rPr>
        <w:t xml:space="preserve"> and T</w:t>
      </w:r>
      <w:r w:rsidRPr="00002959">
        <w:rPr>
          <w:color w:val="0000FF"/>
          <w:vertAlign w:val="subscript"/>
        </w:rPr>
        <w:t>2</w:t>
      </w:r>
      <w:r>
        <w:rPr>
          <w:color w:val="0000FF"/>
        </w:rPr>
        <w:t>. Then we’ll solve for N</w:t>
      </w:r>
      <w:r w:rsidRPr="00002959">
        <w:rPr>
          <w:color w:val="0000FF"/>
          <w:vertAlign w:val="subscript"/>
        </w:rPr>
        <w:t>1</w:t>
      </w:r>
      <w:r>
        <w:rPr>
          <w:color w:val="0000FF"/>
        </w:rPr>
        <w:t xml:space="preserve"> and N</w:t>
      </w:r>
      <w:r w:rsidRPr="00002959">
        <w:rPr>
          <w:color w:val="0000FF"/>
          <w:vertAlign w:val="subscript"/>
        </w:rPr>
        <w:t>2</w:t>
      </w:r>
      <w:r>
        <w:rPr>
          <w:color w:val="0000FF"/>
        </w:rPr>
        <w:t xml:space="preserve"> such that the risk to moving rates Q</w:t>
      </w:r>
      <w:r w:rsidRPr="00002959">
        <w:rPr>
          <w:color w:val="0000FF"/>
          <w:vertAlign w:val="subscript"/>
        </w:rPr>
        <w:t>1</w:t>
      </w:r>
      <w:r>
        <w:rPr>
          <w:color w:val="0000FF"/>
        </w:rPr>
        <w:t xml:space="preserve"> and Q</w:t>
      </w:r>
      <w:r w:rsidRPr="00002959">
        <w:rPr>
          <w:color w:val="0000FF"/>
          <w:vertAlign w:val="subscript"/>
        </w:rPr>
        <w:t>2</w:t>
      </w:r>
      <w:r>
        <w:rPr>
          <w:color w:val="0000FF"/>
        </w:rPr>
        <w:t xml:space="preserve"> (assuming a triangle-shock impact to Q</w:t>
      </w:r>
      <w:r w:rsidRPr="00002959">
        <w:rPr>
          <w:color w:val="0000FF"/>
          <w:vertAlign w:val="subscript"/>
        </w:rPr>
        <w:t>T</w:t>
      </w:r>
      <w:r>
        <w:rPr>
          <w:color w:val="0000FF"/>
        </w:rPr>
        <w:t xml:space="preserve"> in each case) is zero.</w:t>
      </w:r>
    </w:p>
    <w:p w14:paraId="320CBD4A" w14:textId="77777777" w:rsidR="00002959" w:rsidRDefault="00002959">
      <w:pPr>
        <w:rPr>
          <w:color w:val="0000FF"/>
        </w:rPr>
      </w:pPr>
    </w:p>
    <w:p w14:paraId="7CBEF80B" w14:textId="76B1DD76" w:rsidR="00002959" w:rsidRPr="00002959" w:rsidRDefault="00002959">
      <w:pPr>
        <w:rPr>
          <w:color w:val="0000FF"/>
        </w:rPr>
      </w:pPr>
      <m:oMathPara>
        <m:oMath>
          <m:r>
            <m:rPr>
              <m:sty m:val="p"/>
            </m:rPr>
            <w:rPr>
              <w:rFonts w:ascii="Cambria Math" w:hAnsi="Cambria Math"/>
              <w:color w:val="0000FF"/>
            </w:rPr>
            <m:t>Π</m:t>
          </m:r>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T</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2</m:t>
              </m:r>
            </m:sub>
          </m:sSub>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2</m:t>
              </m:r>
            </m:sub>
          </m:sSub>
        </m:oMath>
      </m:oMathPara>
    </w:p>
    <w:p w14:paraId="2089EA82" w14:textId="61C50B38" w:rsidR="00002959" w:rsidRPr="008E0764" w:rsidRDefault="00405489">
      <w:pPr>
        <w:rPr>
          <w:color w:val="0000FF"/>
        </w:rPr>
      </w:pPr>
      <m:oMathPara>
        <m:oMath>
          <m:f>
            <m:fPr>
              <m:ctrlPr>
                <w:rPr>
                  <w:rFonts w:ascii="Cambria Math" w:hAnsi="Cambria Math"/>
                  <w:i/>
                  <w:color w:val="0000FF"/>
                </w:rPr>
              </m:ctrlPr>
            </m:fPr>
            <m:num>
              <m:r>
                <w:rPr>
                  <w:rFonts w:ascii="Cambria Math" w:hAnsi="Cambria Math"/>
                  <w:color w:val="0000FF"/>
                </w:rPr>
                <m:t>d</m:t>
              </m:r>
              <m:r>
                <m:rPr>
                  <m:sty m:val="p"/>
                </m:rPr>
                <w:rPr>
                  <w:rFonts w:ascii="Cambria Math" w:hAnsi="Cambria Math"/>
                  <w:color w:val="0000FF"/>
                </w:rPr>
                <m:t>Π</m:t>
              </m:r>
            </m:num>
            <m:den>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m:t>
              </m:r>
              <m:r>
                <m:rPr>
                  <m:sty m:val="p"/>
                </m:rPr>
                <w:rPr>
                  <w:rFonts w:ascii="Cambria Math" w:hAnsi="Cambria Math"/>
                  <w:color w:val="0000FF"/>
                </w:rPr>
                <m:t>Π</m:t>
              </m:r>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m:t>
              </m:r>
              <m:r>
                <m:rPr>
                  <m:sty m:val="p"/>
                </m:rPr>
                <w:rPr>
                  <w:rFonts w:ascii="Cambria Math" w:hAnsi="Cambria Math"/>
                  <w:color w:val="0000FF"/>
                </w:rPr>
                <m:t>Π</m:t>
              </m:r>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den>
          </m:f>
          <m:f>
            <m:fPr>
              <m:ctrlPr>
                <w:rPr>
                  <w:rFonts w:ascii="Cambria Math" w:hAnsi="Cambria Math"/>
                  <w:i/>
                  <w:color w:val="0000FF"/>
                </w:rPr>
              </m:ctrlPr>
            </m:fPr>
            <m:num>
              <m:r>
                <w:rPr>
                  <w:rFonts w:ascii="Cambria Math" w:hAnsi="Cambria Math"/>
                  <w:color w:val="0000FF"/>
                </w:rPr>
                <m:t>∂</m:t>
              </m:r>
              <m:sSub>
                <m:sSubPr>
                  <m:ctrlPr>
                    <w:rPr>
                      <w:rFonts w:ascii="Cambria Math" w:hAnsi="Cambria Math"/>
                      <w:color w:val="0000FF"/>
                    </w:rPr>
                  </m:ctrlPr>
                </m:sSubPr>
                <m:e>
                  <m:r>
                    <w:rPr>
                      <w:rFonts w:ascii="Cambria Math" w:hAnsi="Cambria Math"/>
                      <w:color w:val="0000FF"/>
                    </w:rPr>
                    <m:t>Q</m:t>
                  </m:r>
                </m:e>
                <m:sub>
                  <m:r>
                    <w:rPr>
                      <w:rFonts w:ascii="Cambria Math" w:hAnsi="Cambria Math"/>
                      <w:color w:val="0000FF"/>
                    </w:rPr>
                    <m:t>T</m:t>
                  </m:r>
                </m:sub>
              </m:sSub>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den>
          </m:f>
          <m:r>
            <w:rPr>
              <w:rFonts w:ascii="Cambria Math" w:hAnsi="Cambria Math"/>
              <w:color w:val="0000FF"/>
            </w:rPr>
            <m:t>=0</m:t>
          </m:r>
        </m:oMath>
      </m:oMathPara>
    </w:p>
    <w:p w14:paraId="2633323F" w14:textId="2AC4E417" w:rsidR="008E0764" w:rsidRPr="008E0764" w:rsidRDefault="00405489">
      <w:pPr>
        <w:rPr>
          <w:color w:val="0000FF"/>
        </w:rPr>
      </w:pPr>
      <m:oMathPara>
        <m:oMath>
          <m:f>
            <m:fPr>
              <m:ctrlPr>
                <w:rPr>
                  <w:rFonts w:ascii="Cambria Math" w:hAnsi="Cambria Math"/>
                  <w:i/>
                  <w:color w:val="0000FF"/>
                </w:rPr>
              </m:ctrlPr>
            </m:fPr>
            <m:num>
              <m:r>
                <w:rPr>
                  <w:rFonts w:ascii="Cambria Math" w:hAnsi="Cambria Math"/>
                  <w:color w:val="0000FF"/>
                </w:rPr>
                <m:t>d</m:t>
              </m:r>
              <m:r>
                <m:rPr>
                  <m:sty m:val="p"/>
                </m:rPr>
                <w:rPr>
                  <w:rFonts w:ascii="Cambria Math" w:hAnsi="Cambria Math"/>
                  <w:color w:val="0000FF"/>
                </w:rPr>
                <m:t>Π</m:t>
              </m:r>
            </m:num>
            <m:den>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m:t>
              </m:r>
              <m:r>
                <m:rPr>
                  <m:sty m:val="p"/>
                </m:rPr>
                <w:rPr>
                  <w:rFonts w:ascii="Cambria Math" w:hAnsi="Cambria Math"/>
                  <w:color w:val="0000FF"/>
                </w:rPr>
                <m:t>Π</m:t>
              </m:r>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m:t>
              </m:r>
              <m:r>
                <m:rPr>
                  <m:sty m:val="p"/>
                </m:rPr>
                <w:rPr>
                  <w:rFonts w:ascii="Cambria Math" w:hAnsi="Cambria Math"/>
                  <w:color w:val="0000FF"/>
                </w:rPr>
                <m:t>Π</m:t>
              </m:r>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den>
          </m:f>
          <m:f>
            <m:fPr>
              <m:ctrlPr>
                <w:rPr>
                  <w:rFonts w:ascii="Cambria Math" w:hAnsi="Cambria Math"/>
                  <w:i/>
                  <w:color w:val="0000FF"/>
                </w:rPr>
              </m:ctrlPr>
            </m:fPr>
            <m:num>
              <m:r>
                <w:rPr>
                  <w:rFonts w:ascii="Cambria Math" w:hAnsi="Cambria Math"/>
                  <w:color w:val="0000FF"/>
                </w:rPr>
                <m:t>∂</m:t>
              </m:r>
              <m:sSub>
                <m:sSubPr>
                  <m:ctrlPr>
                    <w:rPr>
                      <w:rFonts w:ascii="Cambria Math" w:hAnsi="Cambria Math"/>
                      <w:color w:val="0000FF"/>
                    </w:rPr>
                  </m:ctrlPr>
                </m:sSubPr>
                <m:e>
                  <m:r>
                    <w:rPr>
                      <w:rFonts w:ascii="Cambria Math" w:hAnsi="Cambria Math"/>
                      <w:color w:val="0000FF"/>
                    </w:rPr>
                    <m:t>Q</m:t>
                  </m:r>
                </m:e>
                <m:sub>
                  <m:r>
                    <w:rPr>
                      <w:rFonts w:ascii="Cambria Math" w:hAnsi="Cambria Math"/>
                      <w:color w:val="0000FF"/>
                    </w:rPr>
                    <m:t>T</m:t>
                  </m:r>
                </m:sub>
              </m:sSub>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den>
          </m:f>
          <m:r>
            <w:rPr>
              <w:rFonts w:ascii="Cambria Math" w:hAnsi="Cambria Math"/>
              <w:color w:val="0000FF"/>
            </w:rPr>
            <m:t>=0</m:t>
          </m:r>
        </m:oMath>
      </m:oMathPara>
    </w:p>
    <w:p w14:paraId="5E6F11BB" w14:textId="77777777" w:rsidR="008E0764" w:rsidRDefault="008E0764">
      <w:pPr>
        <w:rPr>
          <w:color w:val="0000FF"/>
        </w:rPr>
      </w:pPr>
    </w:p>
    <w:p w14:paraId="660828CB" w14:textId="62E740A8" w:rsidR="008E0764" w:rsidRDefault="008E0764">
      <w:pPr>
        <w:rPr>
          <w:color w:val="0000FF"/>
        </w:rPr>
      </w:pPr>
      <w:r>
        <w:rPr>
          <w:color w:val="0000FF"/>
        </w:rPr>
        <w:t>Under the triangle shock for Q</w:t>
      </w:r>
      <w:r w:rsidRPr="008E0764">
        <w:rPr>
          <w:color w:val="0000FF"/>
          <w:vertAlign w:val="subscript"/>
        </w:rPr>
        <w:t>1</w:t>
      </w:r>
      <w:r>
        <w:rPr>
          <w:color w:val="0000FF"/>
        </w:rPr>
        <w:t>, Q</w:t>
      </w:r>
      <w:r w:rsidRPr="008E0764">
        <w:rPr>
          <w:color w:val="0000FF"/>
          <w:vertAlign w:val="subscript"/>
        </w:rPr>
        <w:t>T</w:t>
      </w:r>
      <w:r>
        <w:rPr>
          <w:color w:val="0000FF"/>
        </w:rPr>
        <w:t xml:space="preserve"> moves by a fractional amount (T</w:t>
      </w:r>
      <w:r w:rsidRPr="008E0764">
        <w:rPr>
          <w:color w:val="0000FF"/>
          <w:vertAlign w:val="subscript"/>
        </w:rPr>
        <w:t>2</w:t>
      </w:r>
      <w:r>
        <w:rPr>
          <w:color w:val="0000FF"/>
        </w:rPr>
        <w:t>-T)/(T</w:t>
      </w:r>
      <w:r w:rsidRPr="008E0764">
        <w:rPr>
          <w:color w:val="0000FF"/>
          <w:vertAlign w:val="subscript"/>
        </w:rPr>
        <w:t>2</w:t>
      </w:r>
      <w:r>
        <w:rPr>
          <w:color w:val="0000FF"/>
        </w:rPr>
        <w:t>-T</w:t>
      </w:r>
      <w:r w:rsidRPr="008E0764">
        <w:rPr>
          <w:color w:val="0000FF"/>
          <w:vertAlign w:val="subscript"/>
        </w:rPr>
        <w:t>1</w:t>
      </w:r>
      <w:r>
        <w:rPr>
          <w:color w:val="0000FF"/>
        </w:rPr>
        <w:t>). Similarly, under the triangle shock for Q</w:t>
      </w:r>
      <w:r>
        <w:rPr>
          <w:color w:val="0000FF"/>
          <w:vertAlign w:val="subscript"/>
        </w:rPr>
        <w:t>2</w:t>
      </w:r>
      <w:r>
        <w:rPr>
          <w:color w:val="0000FF"/>
        </w:rPr>
        <w:t>, Q</w:t>
      </w:r>
      <w:r w:rsidRPr="008E0764">
        <w:rPr>
          <w:color w:val="0000FF"/>
          <w:vertAlign w:val="subscript"/>
        </w:rPr>
        <w:t>T</w:t>
      </w:r>
      <w:r>
        <w:rPr>
          <w:color w:val="0000FF"/>
        </w:rPr>
        <w:t xml:space="preserve"> moves by a fractional amount (T-T</w:t>
      </w:r>
      <w:r>
        <w:rPr>
          <w:color w:val="0000FF"/>
          <w:vertAlign w:val="subscript"/>
        </w:rPr>
        <w:t>1</w:t>
      </w:r>
      <w:r>
        <w:rPr>
          <w:color w:val="0000FF"/>
        </w:rPr>
        <w:t>)/(T</w:t>
      </w:r>
      <w:r w:rsidRPr="008E0764">
        <w:rPr>
          <w:color w:val="0000FF"/>
          <w:vertAlign w:val="subscript"/>
        </w:rPr>
        <w:t>2</w:t>
      </w:r>
      <w:r>
        <w:rPr>
          <w:color w:val="0000FF"/>
        </w:rPr>
        <w:t>-T</w:t>
      </w:r>
      <w:r w:rsidRPr="008E0764">
        <w:rPr>
          <w:color w:val="0000FF"/>
          <w:vertAlign w:val="subscript"/>
        </w:rPr>
        <w:t>1</w:t>
      </w:r>
      <w:r>
        <w:rPr>
          <w:color w:val="0000FF"/>
        </w:rPr>
        <w:t>). Using these for the partial derivatives of Q</w:t>
      </w:r>
      <w:r w:rsidRPr="008E0764">
        <w:rPr>
          <w:color w:val="0000FF"/>
          <w:vertAlign w:val="subscript"/>
        </w:rPr>
        <w:t>T</w:t>
      </w:r>
      <w:r>
        <w:rPr>
          <w:color w:val="0000FF"/>
        </w:rPr>
        <w:t>, and the expressions for the prices of the three forwards, we get</w:t>
      </w:r>
    </w:p>
    <w:p w14:paraId="05CB4A1F" w14:textId="77777777" w:rsidR="008E0764" w:rsidRDefault="008E0764">
      <w:pPr>
        <w:rPr>
          <w:color w:val="0000FF"/>
        </w:rPr>
      </w:pPr>
    </w:p>
    <w:p w14:paraId="5CA84C1D" w14:textId="497C6560" w:rsidR="008E0764" w:rsidRPr="008E0764" w:rsidRDefault="00405489">
      <w:pPr>
        <w:rPr>
          <w:color w:val="0000FF"/>
        </w:rPr>
      </w:pPr>
      <m:oMathPara>
        <m:oMath>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1</m:t>
              </m:r>
            </m:sub>
          </m:sSub>
          <m:r>
            <w:rPr>
              <w:rFonts w:ascii="Cambria Math" w:hAnsi="Cambria Math"/>
              <w:color w:val="0000FF"/>
            </w:rPr>
            <m:t>S</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sup>
          </m:sSup>
          <m:r>
            <w:rPr>
              <w:rFonts w:ascii="Cambria Math" w:hAnsi="Cambria Math"/>
              <w:color w:val="0000FF"/>
            </w:rPr>
            <m:t>-ST</m:t>
          </m:r>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r>
                <w:rPr>
                  <w:rFonts w:ascii="Cambria Math" w:hAnsi="Cambria Math"/>
                  <w:color w:val="0000FF"/>
                </w:rPr>
                <m:t>T</m:t>
              </m:r>
            </m:sup>
          </m:sSup>
          <m:f>
            <m:fPr>
              <m:ctrlPr>
                <w:rPr>
                  <w:rFonts w:ascii="Cambria Math" w:hAnsi="Cambria Math"/>
                  <w:i/>
                  <w:color w:val="0000FF"/>
                </w:rPr>
              </m:ctrlPr>
            </m:fPr>
            <m:num>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-T</m:t>
                  </m:r>
                </m:e>
              </m:d>
            </m:num>
            <m:den>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e>
              </m:d>
            </m:den>
          </m:f>
          <m:r>
            <w:rPr>
              <w:rFonts w:ascii="Cambria Math" w:hAnsi="Cambria Math"/>
              <w:color w:val="0000FF"/>
            </w:rPr>
            <m:t>=0</m:t>
          </m:r>
        </m:oMath>
      </m:oMathPara>
    </w:p>
    <w:p w14:paraId="6B037FBF" w14:textId="5C076143" w:rsidR="008E0764" w:rsidRPr="008E0764" w:rsidRDefault="00405489">
      <w:pPr>
        <w:rPr>
          <w:color w:val="0000FF"/>
        </w:rPr>
      </w:pPr>
      <m:oMathPara>
        <m:oMath>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2</m:t>
              </m:r>
            </m:sub>
          </m:sSub>
          <m:r>
            <w:rPr>
              <w:rFonts w:ascii="Cambria Math" w:hAnsi="Cambria Math"/>
              <w:color w:val="0000FF"/>
            </w:rPr>
            <m:t>S</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sup>
          </m:sSup>
          <m:r>
            <w:rPr>
              <w:rFonts w:ascii="Cambria Math" w:hAnsi="Cambria Math"/>
              <w:color w:val="0000FF"/>
            </w:rPr>
            <m:t>-ST</m:t>
          </m:r>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r>
                <w:rPr>
                  <w:rFonts w:ascii="Cambria Math" w:hAnsi="Cambria Math"/>
                  <w:color w:val="0000FF"/>
                </w:rPr>
                <m:t>T</m:t>
              </m:r>
            </m:sup>
          </m:sSup>
          <m:f>
            <m:fPr>
              <m:ctrlPr>
                <w:rPr>
                  <w:rFonts w:ascii="Cambria Math" w:hAnsi="Cambria Math"/>
                  <w:i/>
                  <w:color w:val="0000FF"/>
                </w:rPr>
              </m:ctrlPr>
            </m:fPr>
            <m:num>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T-T</m:t>
                      </m:r>
                    </m:e>
                    <m:sub>
                      <m:r>
                        <w:rPr>
                          <w:rFonts w:ascii="Cambria Math" w:hAnsi="Cambria Math"/>
                          <w:color w:val="0000FF"/>
                        </w:rPr>
                        <m:t>1</m:t>
                      </m:r>
                    </m:sub>
                  </m:sSub>
                </m:e>
              </m:d>
            </m:num>
            <m:den>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e>
              </m:d>
            </m:den>
          </m:f>
          <m:r>
            <w:rPr>
              <w:rFonts w:ascii="Cambria Math" w:hAnsi="Cambria Math"/>
              <w:color w:val="0000FF"/>
            </w:rPr>
            <m:t>=0</m:t>
          </m:r>
        </m:oMath>
      </m:oMathPara>
    </w:p>
    <w:p w14:paraId="222B3AE2" w14:textId="77777777" w:rsidR="008E0764" w:rsidRDefault="008E0764">
      <w:pPr>
        <w:rPr>
          <w:color w:val="0000FF"/>
        </w:rPr>
      </w:pPr>
    </w:p>
    <w:p w14:paraId="6F7EA705" w14:textId="3A5A6C61" w:rsidR="008E0764" w:rsidRDefault="008E0764">
      <w:pPr>
        <w:rPr>
          <w:color w:val="0000FF"/>
        </w:rPr>
      </w:pPr>
      <w:r>
        <w:rPr>
          <w:color w:val="0000FF"/>
        </w:rPr>
        <w:t>and these simplify to the expressions from page 24</w:t>
      </w:r>
      <w:r w:rsidR="00621163">
        <w:rPr>
          <w:color w:val="0000FF"/>
        </w:rPr>
        <w:t xml:space="preserve"> when the initial Qs are all equal to a constant Q:</w:t>
      </w:r>
    </w:p>
    <w:p w14:paraId="68DA707C" w14:textId="77777777" w:rsidR="008E0764" w:rsidRDefault="008E0764">
      <w:pPr>
        <w:rPr>
          <w:color w:val="0000FF"/>
        </w:rPr>
      </w:pPr>
    </w:p>
    <w:p w14:paraId="4E2476D1" w14:textId="0E42F565" w:rsidR="008E0764" w:rsidRPr="00741978" w:rsidRDefault="00405489">
      <w:pPr>
        <w:rPr>
          <w:color w:val="0000FF"/>
        </w:rPr>
      </w:pPr>
      <m:oMathPara>
        <m:oMath>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1</m:t>
              </m:r>
            </m:sub>
          </m:sSub>
          <m:r>
            <w:rPr>
              <w:rFonts w:ascii="Cambria Math" w:hAnsi="Cambria Math"/>
              <w:color w:val="0000FF"/>
            </w:rPr>
            <m:t>=</m:t>
          </m:r>
          <m:f>
            <m:fPr>
              <m:ctrlPr>
                <w:rPr>
                  <w:rFonts w:ascii="Cambria Math" w:hAnsi="Cambria Math"/>
                  <w:i/>
                  <w:color w:val="0000FF"/>
                </w:rPr>
              </m:ctrlPr>
            </m:fPr>
            <m:num>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-T</m:t>
                  </m:r>
                </m:e>
              </m:d>
            </m:num>
            <m:den>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e>
              </m:d>
            </m:den>
          </m:f>
          <m:f>
            <m:fPr>
              <m:ctrlPr>
                <w:rPr>
                  <w:rFonts w:ascii="Cambria Math" w:hAnsi="Cambria Math"/>
                  <w:i/>
                  <w:color w:val="0000FF"/>
                </w:rPr>
              </m:ctrlPr>
            </m:fPr>
            <m:num>
              <m:r>
                <w:rPr>
                  <w:rFonts w:ascii="Cambria Math" w:hAnsi="Cambria Math"/>
                  <w:color w:val="0000FF"/>
                </w:rPr>
                <m:t>T</m:t>
              </m:r>
            </m:num>
            <m:den>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den>
          </m:f>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-Q(T-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r>
                <w:rPr>
                  <w:rFonts w:ascii="Cambria Math" w:hAnsi="Cambria Math"/>
                  <w:color w:val="0000FF"/>
                </w:rPr>
                <m:t>)</m:t>
              </m:r>
            </m:sup>
          </m:sSup>
        </m:oMath>
      </m:oMathPara>
    </w:p>
    <w:p w14:paraId="4D7E1DF1" w14:textId="6246AC35" w:rsidR="00741978" w:rsidRPr="008E0764" w:rsidRDefault="00405489">
      <w:pPr>
        <w:rPr>
          <w:color w:val="0000FF"/>
        </w:rPr>
      </w:pPr>
      <m:oMathPara>
        <m:oMath>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2</m:t>
              </m:r>
            </m:sub>
          </m:sSub>
          <m:r>
            <w:rPr>
              <w:rFonts w:ascii="Cambria Math" w:hAnsi="Cambria Math"/>
              <w:color w:val="0000FF"/>
            </w:rPr>
            <m:t>=</m:t>
          </m:r>
          <m:f>
            <m:fPr>
              <m:ctrlPr>
                <w:rPr>
                  <w:rFonts w:ascii="Cambria Math" w:hAnsi="Cambria Math"/>
                  <w:i/>
                  <w:color w:val="0000FF"/>
                </w:rPr>
              </m:ctrlPr>
            </m:fPr>
            <m:num>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T-T</m:t>
                      </m:r>
                    </m:e>
                    <m:sub>
                      <m:r>
                        <w:rPr>
                          <w:rFonts w:ascii="Cambria Math" w:hAnsi="Cambria Math"/>
                          <w:color w:val="0000FF"/>
                        </w:rPr>
                        <m:t>1</m:t>
                      </m:r>
                    </m:sub>
                  </m:sSub>
                </m:e>
              </m:d>
            </m:num>
            <m:den>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e>
              </m:d>
            </m:den>
          </m:f>
          <m:f>
            <m:fPr>
              <m:ctrlPr>
                <w:rPr>
                  <w:rFonts w:ascii="Cambria Math" w:hAnsi="Cambria Math"/>
                  <w:i/>
                  <w:color w:val="0000FF"/>
                </w:rPr>
              </m:ctrlPr>
            </m:fPr>
            <m:num>
              <m:r>
                <w:rPr>
                  <w:rFonts w:ascii="Cambria Math" w:hAnsi="Cambria Math"/>
                  <w:color w:val="0000FF"/>
                </w:rPr>
                <m:t>T</m:t>
              </m:r>
            </m:num>
            <m:den>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den>
          </m:f>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Q(</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-T)</m:t>
              </m:r>
            </m:sup>
          </m:sSup>
        </m:oMath>
      </m:oMathPara>
    </w:p>
    <w:p w14:paraId="3657A7A4" w14:textId="77777777" w:rsidR="00002959" w:rsidRPr="00112621" w:rsidRDefault="00002959">
      <w:pPr>
        <w:rPr>
          <w:color w:val="0000FF"/>
        </w:rPr>
      </w:pPr>
    </w:p>
    <w:p w14:paraId="0284CEB8" w14:textId="77777777" w:rsidR="003757A1" w:rsidRDefault="003757A1"/>
    <w:p w14:paraId="3BFB27EF" w14:textId="77777777" w:rsidR="003757A1" w:rsidRPr="003757A1" w:rsidRDefault="003757A1">
      <w:pPr>
        <w:rPr>
          <w:b/>
        </w:rPr>
      </w:pPr>
      <w:r>
        <w:rPr>
          <w:b/>
        </w:rPr>
        <w:t>Question 5 (4</w:t>
      </w:r>
      <w:r w:rsidRPr="003757A1">
        <w:rPr>
          <w:b/>
        </w:rPr>
        <w:t xml:space="preserve"> marks)</w:t>
      </w:r>
    </w:p>
    <w:p w14:paraId="2D37D36B" w14:textId="77777777" w:rsidR="003757A1" w:rsidRDefault="003757A1"/>
    <w:p w14:paraId="51B68750" w14:textId="77777777" w:rsidR="003757A1" w:rsidRDefault="003757A1">
      <w:r>
        <w:t>Explain principal component analysis and factor models, focusing on the differences between the two approaches to reduce dimensionality.</w:t>
      </w:r>
    </w:p>
    <w:p w14:paraId="28AB67E8" w14:textId="77777777" w:rsidR="00F20FA7" w:rsidRDefault="00F20FA7"/>
    <w:p w14:paraId="52BE011A" w14:textId="15804CB8" w:rsidR="00F20FA7" w:rsidRDefault="00F20FA7">
      <w:pPr>
        <w:rPr>
          <w:color w:val="0000FF"/>
        </w:rPr>
      </w:pPr>
      <w:r>
        <w:rPr>
          <w:color w:val="0000FF"/>
        </w:rPr>
        <w:lastRenderedPageBreak/>
        <w:t>Principal component analysis and factor models are two different techniques for reducing dimensionality in a high-dimensional system. In this example we were looking at these techniques as ways of reducing the dimensionality of non-USD interest rate curve hedging for a book of FX forwards.</w:t>
      </w:r>
    </w:p>
    <w:p w14:paraId="55541396" w14:textId="77777777" w:rsidR="00F20FA7" w:rsidRDefault="00F20FA7">
      <w:pPr>
        <w:rPr>
          <w:color w:val="0000FF"/>
        </w:rPr>
      </w:pPr>
    </w:p>
    <w:p w14:paraId="760BDF8B" w14:textId="439B0F4B" w:rsidR="00F20FA7" w:rsidRDefault="00F20FA7">
      <w:pPr>
        <w:rPr>
          <w:color w:val="0000FF"/>
        </w:rPr>
      </w:pPr>
      <w:r>
        <w:rPr>
          <w:color w:val="0000FF"/>
        </w:rPr>
        <w:t>Principal component analysis is a non-parametric method for discovering the main factors driving the moves in the interest rate curve. It involves calculating the historical covariances of day-on-day changes in interest rates of different tenors (assuming that each day’s sample for a given tenor is drawn from the same distribution on each day of the historical period), then orthogonalizing that covariance matrix. The eigenvectors represent the orthogonal shocks to the curve, and the eigenvalues represent the relative sizes of those shocks. Principal component analysis involves picking off the top N</w:t>
      </w:r>
      <w:r w:rsidR="009D7BF9">
        <w:rPr>
          <w:color w:val="0000FF"/>
        </w:rPr>
        <w:t xml:space="preserve"> largest eigenvalues and approximating all moves in the curves as being linear combinations of the respective eigenvectors. The shapes of the shocks are an output of the calculation and are non-parametric.</w:t>
      </w:r>
    </w:p>
    <w:p w14:paraId="61F9B4D4" w14:textId="77777777" w:rsidR="009D7BF9" w:rsidRDefault="009D7BF9">
      <w:pPr>
        <w:rPr>
          <w:color w:val="0000FF"/>
        </w:rPr>
      </w:pPr>
    </w:p>
    <w:p w14:paraId="2EA687C4" w14:textId="4D3367BE" w:rsidR="009D7BF9" w:rsidRDefault="009D7BF9">
      <w:pPr>
        <w:rPr>
          <w:color w:val="0000FF"/>
        </w:rPr>
      </w:pPr>
      <w:r>
        <w:rPr>
          <w:color w:val="0000FF"/>
        </w:rPr>
        <w:t>A factor model assumes a stochastic differential equation driving interest rates of different tenors, where all tenors are shocked by a small number of Brownian motion factors. The shocks in a factor model are parametric: their functionality forms are determined by the model parameter (for example, exponential shocks).</w:t>
      </w:r>
    </w:p>
    <w:p w14:paraId="481FD038" w14:textId="77777777" w:rsidR="009D7BF9" w:rsidRDefault="009D7BF9">
      <w:pPr>
        <w:rPr>
          <w:color w:val="0000FF"/>
        </w:rPr>
      </w:pPr>
    </w:p>
    <w:p w14:paraId="0783D947" w14:textId="65410EAE" w:rsidR="009D7BF9" w:rsidRPr="00F20FA7" w:rsidRDefault="009D7BF9">
      <w:pPr>
        <w:rPr>
          <w:color w:val="0000FF"/>
        </w:rPr>
      </w:pPr>
      <w:r>
        <w:rPr>
          <w:color w:val="0000FF"/>
        </w:rPr>
        <w:t>The main difference between the two approaches is that PCA results in non-parametric shocks, whereas a factor model has parametric shocks. Non-parametric shocks give more flexibility in terms of shape of the shocks, but also less robustness (historical data artifacts can lead to odd shapes). Parametric shocks are more robust and easier for traders to understand, but have less flexibility that PCA’s non-parametric shocks.</w:t>
      </w:r>
    </w:p>
    <w:p w14:paraId="6271E0ED" w14:textId="77777777" w:rsidR="003757A1" w:rsidRDefault="003757A1"/>
    <w:p w14:paraId="45CECE45" w14:textId="77777777" w:rsidR="001941E9" w:rsidRDefault="001941E9">
      <w:pPr>
        <w:rPr>
          <w:b/>
        </w:rPr>
      </w:pPr>
      <w:r>
        <w:rPr>
          <w:b/>
        </w:rPr>
        <w:br w:type="page"/>
      </w:r>
    </w:p>
    <w:p w14:paraId="29CC15AB" w14:textId="77777777" w:rsidR="003757A1" w:rsidRPr="001941E9" w:rsidRDefault="001941E9">
      <w:pPr>
        <w:rPr>
          <w:b/>
        </w:rPr>
      </w:pPr>
      <w:r w:rsidRPr="001941E9">
        <w:rPr>
          <w:b/>
        </w:rPr>
        <w:lastRenderedPageBreak/>
        <w:t>Question 6 (10 marks)</w:t>
      </w:r>
    </w:p>
    <w:p w14:paraId="15680A7B" w14:textId="77777777" w:rsidR="001941E9" w:rsidRDefault="001941E9"/>
    <w:p w14:paraId="5366BD7D" w14:textId="77777777" w:rsidR="001941E9" w:rsidRDefault="001941E9">
      <w:r>
        <w:t>This programming question will try to determine whether using a factor-based approach to reducing dimensionality is better than an ad hoc method.</w:t>
      </w:r>
    </w:p>
    <w:p w14:paraId="27805614" w14:textId="77777777" w:rsidR="001941E9" w:rsidRDefault="001941E9"/>
    <w:p w14:paraId="017305CD" w14:textId="30C31B15" w:rsidR="001941E9" w:rsidRDefault="001941E9">
      <w:r>
        <w:t>We start by assuming a toy market: spot = 1, asset currency interest rate</w:t>
      </w:r>
      <w:r w:rsidR="00F2436B">
        <w:t xml:space="preserve"> curve</w:t>
      </w:r>
      <w:r>
        <w:t xml:space="preserve"> = Q</w:t>
      </w:r>
      <w:r w:rsidR="00F2436B">
        <w:t>(T)</w:t>
      </w:r>
      <w:r>
        <w:t xml:space="preserve"> = </w:t>
      </w:r>
      <w:r w:rsidR="00F2436B">
        <w:t xml:space="preserve">flat at </w:t>
      </w:r>
      <w:r>
        <w:t>3%, and denominated currency interest rate</w:t>
      </w:r>
      <w:r w:rsidR="00F2436B">
        <w:t xml:space="preserve"> curve</w:t>
      </w:r>
      <w:r>
        <w:t xml:space="preserve"> = R</w:t>
      </w:r>
      <w:r w:rsidR="00F2436B">
        <w:t>(T)</w:t>
      </w:r>
      <w:r>
        <w:t xml:space="preserve"> = </w:t>
      </w:r>
      <w:r w:rsidR="00F2436B">
        <w:t xml:space="preserve">flat at </w:t>
      </w:r>
      <w:r>
        <w:t>0%. We assume two benchmark dates, T</w:t>
      </w:r>
      <w:r w:rsidRPr="001941E9">
        <w:rPr>
          <w:vertAlign w:val="subscript"/>
        </w:rPr>
        <w:t>1</w:t>
      </w:r>
      <w:r>
        <w:t xml:space="preserve"> = 0.25y and T</w:t>
      </w:r>
      <w:r w:rsidRPr="001941E9">
        <w:rPr>
          <w:vertAlign w:val="subscript"/>
        </w:rPr>
        <w:t>2</w:t>
      </w:r>
      <w:r>
        <w:t xml:space="preserve"> = 1y; we will use forwards to those settlement dates to hedge the forward rate risk (or equivalently, the risk to moves in the asset currency interest rate) of our portfolio.</w:t>
      </w:r>
    </w:p>
    <w:p w14:paraId="34B2365B" w14:textId="77777777" w:rsidR="001941E9" w:rsidRDefault="001941E9"/>
    <w:p w14:paraId="33DC1355" w14:textId="77777777" w:rsidR="001941E9" w:rsidRDefault="001941E9">
      <w:r>
        <w:t>In the toy market, we assume that we know the dynamics of the asset currency interest rate:</w:t>
      </w:r>
    </w:p>
    <w:p w14:paraId="1CDE73CB" w14:textId="77777777" w:rsidR="001941E9" w:rsidRDefault="001941E9"/>
    <w:p w14:paraId="1D0CEEA7" w14:textId="1487A7C4" w:rsidR="001941E9" w:rsidRPr="00536913" w:rsidRDefault="00536913">
      <m:oMathPara>
        <m:oMath>
          <m:r>
            <w:rPr>
              <w:rFonts w:ascii="Cambria Math" w:hAnsi="Cambria Math"/>
            </w:rPr>
            <m:t>dQ=</m:t>
          </m:r>
          <m:sSub>
            <m:sSubPr>
              <m:ctrlPr>
                <w:rPr>
                  <w:rFonts w:ascii="Cambria Math" w:hAnsi="Cambria Math"/>
                  <w:i/>
                </w:rPr>
              </m:ctrlPr>
            </m:sSubPr>
            <m:e>
              <m:r>
                <w:rPr>
                  <w:rFonts w:ascii="Cambria Math" w:hAnsi="Cambria Math"/>
                </w:rPr>
                <m:t>σ</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up>
          </m:sSup>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m:t>
              </m:r>
            </m:sup>
          </m:sSup>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50BF1407" w14:textId="19D81E82" w:rsidR="00536913" w:rsidRPr="00536913" w:rsidRDefault="00536913">
      <m:oMathPara>
        <m:oMath>
          <m:r>
            <w:rPr>
              <w:rFonts w:ascii="Cambria Math" w:hAnsi="Cambria Math"/>
            </w:rPr>
            <m:t>E</m:t>
          </m:r>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=ρ dt</m:t>
          </m:r>
        </m:oMath>
      </m:oMathPara>
    </w:p>
    <w:p w14:paraId="333BB8A9" w14:textId="77777777" w:rsidR="00536913" w:rsidRDefault="00536913"/>
    <w:p w14:paraId="1527F68D" w14:textId="37C48A1A" w:rsidR="00536913" w:rsidRDefault="00536913">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=1%/sqrt(yr),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t xml:space="preserve">=0.8%/sqrt(yr),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=0.5/yr,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=0.1/yr, and </w:t>
      </w:r>
      <m:oMath>
        <m:r>
          <w:rPr>
            <w:rFonts w:ascii="Cambria Math" w:hAnsi="Cambria Math"/>
          </w:rPr>
          <m:t>ρ</m:t>
        </m:r>
      </m:oMath>
      <w:r>
        <w:t>=-0.4.</w:t>
      </w:r>
    </w:p>
    <w:p w14:paraId="76FC0B44" w14:textId="77777777" w:rsidR="00F2436B" w:rsidRDefault="00F2436B"/>
    <w:p w14:paraId="66986B42" w14:textId="7B794888" w:rsidR="00F2436B" w:rsidRDefault="00F2436B" w:rsidP="00F2436B">
      <w:r>
        <w:t>The portfolio to hedge has one position: a unit asset-currency notional of a forward contract settling at time T. You’ll try this for values of T in [0.1,0.25,0.5,0.75,1,2] to see how performance changes for portfolios with risk to different tenors.</w:t>
      </w:r>
    </w:p>
    <w:p w14:paraId="0057AB0E" w14:textId="77777777" w:rsidR="00F2436B" w:rsidRDefault="00F2436B" w:rsidP="00F2436B"/>
    <w:p w14:paraId="3E492737" w14:textId="7DAEFC3B" w:rsidR="00F2436B" w:rsidRDefault="00F2436B">
      <w:r>
        <w:t>You will try three different hedging strategies: one where you choose the hedge notionals (of forwards settling at times T</w:t>
      </w:r>
      <w:r w:rsidRPr="00F2436B">
        <w:rPr>
          <w:vertAlign w:val="subscript"/>
        </w:rPr>
        <w:t>1</w:t>
      </w:r>
      <w:r>
        <w:t xml:space="preserve"> and T</w:t>
      </w:r>
      <w:r w:rsidRPr="00F2436B">
        <w:rPr>
          <w:vertAlign w:val="subscript"/>
        </w:rPr>
        <w:t>2</w:t>
      </w:r>
      <w:r>
        <w:t xml:space="preserve">) based on the triangle shock we discussed in class (though as there are only two benchmarks here, the T1 shock will be flat before T1 and the T2 shock will be flat after T2); one where the notionals are set to hedge the actual two shocks from the factors described above; and </w:t>
      </w:r>
      <w:r w:rsidR="002D09BC">
        <w:t xml:space="preserve">lastly, </w:t>
      </w:r>
      <w:r>
        <w:t>one where you don’t he</w:t>
      </w:r>
      <w:r w:rsidR="002D09BC">
        <w:t>dge at all.</w:t>
      </w:r>
    </w:p>
    <w:p w14:paraId="06F27D81" w14:textId="77777777" w:rsidR="00F2436B" w:rsidRDefault="00F2436B"/>
    <w:p w14:paraId="1FC57C81" w14:textId="76E08B1B" w:rsidR="00F2436B" w:rsidRDefault="00F2436B">
      <w:r>
        <w:t>The result should show that setting hedge notionals based on the true factor shocks should provide a better hedge performance than based on the ad hoc triangle shocks. You should analyze just how much better that performance is.</w:t>
      </w:r>
    </w:p>
    <w:p w14:paraId="6B458327" w14:textId="77777777" w:rsidR="00536913" w:rsidRDefault="00536913"/>
    <w:p w14:paraId="7D6C6CE4" w14:textId="78BB9C39" w:rsidR="00F2436B" w:rsidRDefault="00F2436B">
      <w:r>
        <w:t xml:space="preserve">Run a Monte Carlo simulation where you do the following on each run, for each value of T, for each of the </w:t>
      </w:r>
      <w:r w:rsidR="002D09BC">
        <w:t>three</w:t>
      </w:r>
      <w:r>
        <w:t xml:space="preserve"> hedging strategies described above:</w:t>
      </w:r>
    </w:p>
    <w:p w14:paraId="439A51E7" w14:textId="77777777" w:rsidR="00F2436B" w:rsidRDefault="00F2436B"/>
    <w:p w14:paraId="758A94DB" w14:textId="5646EE68" w:rsidR="00F2436B" w:rsidRDefault="00F2436B" w:rsidP="00F2436B">
      <w:pPr>
        <w:pStyle w:val="ListParagraph"/>
        <w:numPr>
          <w:ilvl w:val="0"/>
          <w:numId w:val="1"/>
        </w:numPr>
      </w:pPr>
      <w:r>
        <w:t>Construct a portfolio long 1 unit of the forward settling at time T</w:t>
      </w:r>
    </w:p>
    <w:p w14:paraId="1B6979B2" w14:textId="63DB4083" w:rsidR="00F2436B" w:rsidRDefault="00F2436B" w:rsidP="00F2436B">
      <w:pPr>
        <w:pStyle w:val="ListParagraph"/>
        <w:numPr>
          <w:ilvl w:val="0"/>
          <w:numId w:val="1"/>
        </w:numPr>
      </w:pPr>
      <w:r>
        <w:t>Add in the hedges: two forwards, settling at times T1 and T2, with notionals set to hedge the portfolio (either against the two triangle shocks or against the two factor shocks).</w:t>
      </w:r>
      <w:r w:rsidR="002D09BC">
        <w:t xml:space="preserve"> Don’t bother adding the hedges in the third hedge scenario where we leave the portfolio unhedged.</w:t>
      </w:r>
    </w:p>
    <w:p w14:paraId="7FE55976" w14:textId="273DD552" w:rsidR="00F2436B" w:rsidRDefault="00F2436B" w:rsidP="00F2436B">
      <w:pPr>
        <w:pStyle w:val="ListParagraph"/>
        <w:numPr>
          <w:ilvl w:val="0"/>
          <w:numId w:val="1"/>
        </w:numPr>
      </w:pPr>
      <w:r>
        <w:t xml:space="preserve">Simulate the portfolio forward a time dt=0.001y. That will result in the asset-currency rates moving according to the factor model described above, which shocks the benchmark rates for tenors T1 and T2, and for the portfolio’s risk tenor T. Determine the PNL realized. </w:t>
      </w:r>
    </w:p>
    <w:p w14:paraId="7E6ABED1" w14:textId="77777777" w:rsidR="002D09BC" w:rsidRDefault="002D09BC" w:rsidP="002D09BC">
      <w:r>
        <w:lastRenderedPageBreak/>
        <w:t>Then construct the PNL distributions for the three hedging approaches. The unhedged version is the benchmark: you should compare how much more effectively the PNL standard deviation is reduced by hedging according to the true factors vs hedging according to the ad hoc triangle shocks.</w:t>
      </w:r>
    </w:p>
    <w:p w14:paraId="5DA6BB9A" w14:textId="77777777" w:rsidR="002D09BC" w:rsidRDefault="002D09BC" w:rsidP="002D09BC"/>
    <w:p w14:paraId="6077F0CA" w14:textId="3C58BC7F" w:rsidR="002D09BC" w:rsidRDefault="002D09BC" w:rsidP="002D09BC">
      <w:r>
        <w:t>Do this for all the values of T listed above, and discuss your results.</w:t>
      </w:r>
    </w:p>
    <w:p w14:paraId="745D5A29" w14:textId="77777777" w:rsidR="002D09BC" w:rsidRDefault="002D09BC" w:rsidP="002D09BC"/>
    <w:p w14:paraId="334439AA" w14:textId="65CF7B93" w:rsidR="002D09BC" w:rsidRDefault="002D09BC" w:rsidP="002D09BC">
      <w:r>
        <w:t xml:space="preserve">You should deliver this as Python scripts saved in the WST Python environment. Save them with a naming convention like baruch/&lt;your email address with “@” replaced by “.”&gt;/assig2.py, and push them to </w:t>
      </w:r>
      <w:r w:rsidR="00F31B87">
        <w:t>production from the Git Console.</w:t>
      </w:r>
    </w:p>
    <w:p w14:paraId="4D62E3F1" w14:textId="77777777" w:rsidR="00F31B87" w:rsidRDefault="00F31B87" w:rsidP="002D09BC"/>
    <w:p w14:paraId="212BBB49" w14:textId="77777777" w:rsidR="00F31B87" w:rsidRDefault="00F31B87" w:rsidP="002D09BC">
      <w:pPr>
        <w:rPr>
          <w:color w:val="0000FF"/>
        </w:rPr>
      </w:pPr>
      <w:r>
        <w:rPr>
          <w:color w:val="0000FF"/>
        </w:rPr>
        <w:t>Before writing any code we need to figure out the hedge notionals N1 and N2 of the two hedge forwards when the shocks we hedge are the actual shocks from the two factor model.</w:t>
      </w:r>
    </w:p>
    <w:p w14:paraId="4EFE2B32" w14:textId="77777777" w:rsidR="00F31B87" w:rsidRDefault="00F31B87" w:rsidP="002D09BC">
      <w:pPr>
        <w:rPr>
          <w:color w:val="0000FF"/>
        </w:rPr>
      </w:pPr>
    </w:p>
    <w:p w14:paraId="37458DBC" w14:textId="77777777" w:rsidR="00F31B87" w:rsidRDefault="00F31B87" w:rsidP="002D09BC">
      <w:pPr>
        <w:rPr>
          <w:color w:val="0000FF"/>
        </w:rPr>
      </w:pPr>
      <w:r>
        <w:rPr>
          <w:color w:val="0000FF"/>
        </w:rPr>
        <w:t>We modify the result from Question 4 to show that</w:t>
      </w:r>
    </w:p>
    <w:p w14:paraId="7F2DAEEE" w14:textId="77777777" w:rsidR="00F31B87" w:rsidRDefault="00F31B87" w:rsidP="002D09BC">
      <w:pPr>
        <w:rPr>
          <w:color w:val="0000FF"/>
        </w:rPr>
      </w:pPr>
    </w:p>
    <w:p w14:paraId="4A9ED7A9" w14:textId="6C13C637" w:rsidR="00F31B87" w:rsidRPr="00741978" w:rsidRDefault="00405489" w:rsidP="00F31B87">
      <w:pPr>
        <w:rPr>
          <w:color w:val="0000FF"/>
        </w:rPr>
      </w:pPr>
      <m:oMathPara>
        <m:oMath>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1</m:t>
              </m:r>
            </m:sub>
          </m:sSub>
          <m:r>
            <w:rPr>
              <w:rFonts w:ascii="Cambria Math" w:hAnsi="Cambria Math"/>
              <w:color w:val="0000FF"/>
            </w:rPr>
            <m:t>=</m:t>
          </m:r>
          <m:f>
            <m:fPr>
              <m:ctrlPr>
                <w:rPr>
                  <w:rFonts w:ascii="Cambria Math" w:hAnsi="Cambria Math"/>
                  <w:i/>
                  <w:color w:val="0000FF"/>
                </w:rPr>
              </m:ctrlPr>
            </m:fPr>
            <m:num>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num>
            <m:den>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den>
          </m:f>
          <m:f>
            <m:fPr>
              <m:ctrlPr>
                <w:rPr>
                  <w:rFonts w:ascii="Cambria Math" w:hAnsi="Cambria Math"/>
                  <w:i/>
                  <w:color w:val="0000FF"/>
                </w:rPr>
              </m:ctrlPr>
            </m:fPr>
            <m:num>
              <m:r>
                <w:rPr>
                  <w:rFonts w:ascii="Cambria Math" w:hAnsi="Cambria Math"/>
                  <w:color w:val="0000FF"/>
                </w:rPr>
                <m:t>T</m:t>
              </m:r>
            </m:num>
            <m:den>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den>
          </m:f>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-Q(T-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r>
                <w:rPr>
                  <w:rFonts w:ascii="Cambria Math" w:hAnsi="Cambria Math"/>
                  <w:color w:val="0000FF"/>
                </w:rPr>
                <m:t>)</m:t>
              </m:r>
            </m:sup>
          </m:sSup>
        </m:oMath>
      </m:oMathPara>
    </w:p>
    <w:p w14:paraId="4AC44038" w14:textId="047DAABA" w:rsidR="00F31B87" w:rsidRPr="008E0764" w:rsidRDefault="00405489" w:rsidP="00F31B87">
      <w:pPr>
        <w:rPr>
          <w:color w:val="0000FF"/>
        </w:rPr>
      </w:pPr>
      <m:oMathPara>
        <m:oMath>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2</m:t>
              </m:r>
            </m:sub>
          </m:sSub>
          <m:r>
            <w:rPr>
              <w:rFonts w:ascii="Cambria Math" w:hAnsi="Cambria Math"/>
              <w:color w:val="0000FF"/>
            </w:rPr>
            <m:t>=</m:t>
          </m:r>
          <m:f>
            <m:fPr>
              <m:ctrlPr>
                <w:rPr>
                  <w:rFonts w:ascii="Cambria Math" w:hAnsi="Cambria Math"/>
                  <w:i/>
                  <w:color w:val="0000FF"/>
                </w:rPr>
              </m:ctrlPr>
            </m:fPr>
            <m:num>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num>
            <m:den>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den>
          </m:f>
          <m:f>
            <m:fPr>
              <m:ctrlPr>
                <w:rPr>
                  <w:rFonts w:ascii="Cambria Math" w:hAnsi="Cambria Math"/>
                  <w:i/>
                  <w:color w:val="0000FF"/>
                </w:rPr>
              </m:ctrlPr>
            </m:fPr>
            <m:num>
              <m:r>
                <w:rPr>
                  <w:rFonts w:ascii="Cambria Math" w:hAnsi="Cambria Math"/>
                  <w:color w:val="0000FF"/>
                </w:rPr>
                <m:t>T</m:t>
              </m:r>
            </m:num>
            <m:den>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den>
          </m:f>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Q(</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-T)</m:t>
              </m:r>
            </m:sup>
          </m:sSup>
        </m:oMath>
      </m:oMathPara>
    </w:p>
    <w:p w14:paraId="00BC15D9" w14:textId="77777777" w:rsidR="00F31B87" w:rsidRDefault="00F31B87" w:rsidP="002D09BC">
      <w:pPr>
        <w:rPr>
          <w:color w:val="0000FF"/>
        </w:rPr>
      </w:pPr>
    </w:p>
    <w:p w14:paraId="63C4AD3D" w14:textId="0D6457A0" w:rsidR="00F31B87" w:rsidRDefault="00E02168" w:rsidP="002D09BC">
      <w:pPr>
        <w:rPr>
          <w:color w:val="0000FF"/>
        </w:rPr>
      </w:pPr>
      <w:r>
        <w:rPr>
          <w:color w:val="0000FF"/>
        </w:rPr>
        <w:t xml:space="preserve">We need to figure out the partial derivatives </w:t>
      </w:r>
      <m:oMath>
        <m:f>
          <m:fPr>
            <m:ctrlPr>
              <w:rPr>
                <w:rFonts w:ascii="Cambria Math" w:hAnsi="Cambria Math"/>
                <w:i/>
                <w:color w:val="0000FF"/>
              </w:rPr>
            </m:ctrlPr>
          </m:fPr>
          <m:num>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num>
          <m:den>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den>
        </m:f>
      </m:oMath>
      <w:r>
        <w:rPr>
          <w:color w:val="0000FF"/>
        </w:rPr>
        <w:t xml:space="preserve"> and </w:t>
      </w:r>
      <m:oMath>
        <m:f>
          <m:fPr>
            <m:ctrlPr>
              <w:rPr>
                <w:rFonts w:ascii="Cambria Math" w:hAnsi="Cambria Math"/>
                <w:i/>
                <w:color w:val="0000FF"/>
              </w:rPr>
            </m:ctrlPr>
          </m:fPr>
          <m:num>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num>
          <m:den>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den>
        </m:f>
      </m:oMath>
      <w:r>
        <w:rPr>
          <w:color w:val="0000FF"/>
        </w:rPr>
        <w:t xml:space="preserve"> when the shocks come from the factor model. The first one is how much </w:t>
      </w:r>
      <m:oMath>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oMath>
      <w:r>
        <w:rPr>
          <w:color w:val="0000FF"/>
        </w:rPr>
        <w:t xml:space="preserve"> moves when </w:t>
      </w:r>
      <m:oMath>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oMath>
      <w:r>
        <w:rPr>
          <w:color w:val="0000FF"/>
        </w:rPr>
        <w:t xml:space="preserve"> moves a small amount but </w:t>
      </w:r>
      <m:oMath>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oMath>
      <w:r>
        <w:rPr>
          <w:color w:val="0000FF"/>
        </w:rPr>
        <w:t xml:space="preserve"> is held constant; the second one is the reverse.</w:t>
      </w:r>
    </w:p>
    <w:p w14:paraId="7607340A" w14:textId="77777777" w:rsidR="00E02168" w:rsidRDefault="00E02168" w:rsidP="002D09BC">
      <w:pPr>
        <w:rPr>
          <w:color w:val="0000FF"/>
        </w:rPr>
      </w:pPr>
    </w:p>
    <w:p w14:paraId="5D824F7E" w14:textId="14F7D03F" w:rsidR="00E02168" w:rsidRDefault="00E02168" w:rsidP="002D09BC">
      <w:pPr>
        <w:rPr>
          <w:color w:val="0000FF"/>
        </w:rPr>
      </w:pPr>
      <w:r>
        <w:rPr>
          <w:color w:val="0000FF"/>
        </w:rPr>
        <w:t>From the factor model we know that</w:t>
      </w:r>
    </w:p>
    <w:p w14:paraId="30CBC957" w14:textId="77777777" w:rsidR="00E02168" w:rsidRPr="00E02168" w:rsidRDefault="00E02168" w:rsidP="002D09BC">
      <w:pPr>
        <w:rPr>
          <w:color w:val="0000FF"/>
        </w:rPr>
      </w:pPr>
    </w:p>
    <w:p w14:paraId="01FCB8DD" w14:textId="53502564" w:rsidR="00E02168" w:rsidRPr="00E02168" w:rsidRDefault="00E02168" w:rsidP="002D09BC">
      <w:pPr>
        <w:rPr>
          <w:color w:val="0000FF"/>
        </w:rPr>
      </w:pPr>
      <m:oMathPara>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sup>
          </m:sSup>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2</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sup>
          </m:sSup>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2</m:t>
              </m:r>
            </m:sub>
          </m:sSub>
        </m:oMath>
      </m:oMathPara>
    </w:p>
    <w:p w14:paraId="487102D0" w14:textId="10A30746" w:rsidR="00E02168" w:rsidRPr="00E02168" w:rsidRDefault="00E02168" w:rsidP="002D09BC">
      <w:pPr>
        <w:rPr>
          <w:color w:val="0000FF"/>
        </w:rPr>
      </w:pPr>
      <m:oMathPara>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sup>
          </m:sSup>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2</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sup>
          </m:sSup>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2</m:t>
              </m:r>
            </m:sub>
          </m:sSub>
        </m:oMath>
      </m:oMathPara>
    </w:p>
    <w:p w14:paraId="6D46C05F" w14:textId="44B75628" w:rsidR="002D09BC" w:rsidRDefault="002D09BC" w:rsidP="002D09BC">
      <w:pPr>
        <w:rPr>
          <w:color w:val="0000FF"/>
        </w:rPr>
      </w:pPr>
      <w:r w:rsidRPr="00E02168">
        <w:rPr>
          <w:color w:val="0000FF"/>
        </w:rPr>
        <w:t xml:space="preserve"> </w:t>
      </w:r>
    </w:p>
    <w:p w14:paraId="595AB503" w14:textId="5BBCFD8E" w:rsidR="00E02168" w:rsidRDefault="00E02168" w:rsidP="002D09BC">
      <w:pPr>
        <w:rPr>
          <w:color w:val="0000FF"/>
        </w:rPr>
      </w:pPr>
      <w:r>
        <w:rPr>
          <w:color w:val="0000FF"/>
        </w:rPr>
        <w:t xml:space="preserve">So, for a given pair of rate moves </w:t>
      </w:r>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oMath>
      <w:r>
        <w:rPr>
          <w:color w:val="0000FF"/>
        </w:rPr>
        <w:t xml:space="preserve"> and </w:t>
      </w:r>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oMath>
      <w:r>
        <w:rPr>
          <w:color w:val="0000FF"/>
        </w:rPr>
        <w:t xml:space="preserve">, we can figure out the Brownian motion shocks </w:t>
      </w:r>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oMath>
      <w:r>
        <w:rPr>
          <w:color w:val="0000FF"/>
        </w:rPr>
        <w:t xml:space="preserve"> and </w:t>
      </w:r>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2</m:t>
            </m:r>
          </m:sub>
        </m:sSub>
      </m:oMath>
      <w:r>
        <w:rPr>
          <w:color w:val="0000FF"/>
        </w:rPr>
        <w:t xml:space="preserve"> that result in those rate moves. </w:t>
      </w:r>
    </w:p>
    <w:p w14:paraId="11253709" w14:textId="77777777" w:rsidR="00E02168" w:rsidRDefault="00E02168" w:rsidP="002D09BC">
      <w:pPr>
        <w:rPr>
          <w:color w:val="0000FF"/>
        </w:rPr>
      </w:pPr>
    </w:p>
    <w:p w14:paraId="7C580DA5" w14:textId="05B62945" w:rsidR="00E02168" w:rsidRDefault="00E02168" w:rsidP="002D09BC">
      <w:pPr>
        <w:rPr>
          <w:color w:val="0000FF"/>
        </w:rPr>
      </w:pPr>
      <w:r>
        <w:rPr>
          <w:color w:val="0000FF"/>
        </w:rPr>
        <w:t xml:space="preserve">First we can figure out the Brownian shocks when </w:t>
      </w:r>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oMath>
      <w:r>
        <w:rPr>
          <w:color w:val="0000FF"/>
        </w:rPr>
        <w:t xml:space="preserve"> is non-zero but </w:t>
      </w:r>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oMath>
      <w:r>
        <w:rPr>
          <w:color w:val="0000FF"/>
        </w:rPr>
        <w:t xml:space="preserve"> is zero:</w:t>
      </w:r>
    </w:p>
    <w:p w14:paraId="3859E19B" w14:textId="77777777" w:rsidR="00E02168" w:rsidRDefault="00E02168" w:rsidP="002D09BC">
      <w:pPr>
        <w:rPr>
          <w:color w:val="0000FF"/>
        </w:rPr>
      </w:pPr>
    </w:p>
    <w:p w14:paraId="03FC99FC" w14:textId="77777777" w:rsidR="00E02168" w:rsidRPr="00E02168" w:rsidRDefault="00E02168" w:rsidP="00E02168">
      <w:pPr>
        <w:rPr>
          <w:color w:val="0000FF"/>
        </w:rPr>
      </w:pPr>
      <m:oMathPara>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sup>
          </m:sSup>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2</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sup>
          </m:sSup>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2</m:t>
              </m:r>
            </m:sub>
          </m:sSub>
        </m:oMath>
      </m:oMathPara>
    </w:p>
    <w:p w14:paraId="0CAC104C" w14:textId="71F1FF5A" w:rsidR="00E02168" w:rsidRPr="00E02168" w:rsidRDefault="00E02168" w:rsidP="00E02168">
      <w:pPr>
        <w:rPr>
          <w:color w:val="0000FF"/>
        </w:rPr>
      </w:pPr>
      <m:oMathPara>
        <m:oMath>
          <m:r>
            <w:rPr>
              <w:rFonts w:ascii="Cambria Math" w:hAnsi="Cambria Math"/>
              <w:color w:val="0000FF"/>
            </w:rPr>
            <m:t>0=</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sup>
          </m:sSup>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2</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sup>
          </m:sSup>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2</m:t>
              </m:r>
            </m:sub>
          </m:sSub>
        </m:oMath>
      </m:oMathPara>
    </w:p>
    <w:p w14:paraId="6B30D138" w14:textId="77777777" w:rsidR="00E02168" w:rsidRDefault="00E02168" w:rsidP="002D09BC">
      <w:pPr>
        <w:rPr>
          <w:color w:val="0000FF"/>
        </w:rPr>
      </w:pPr>
    </w:p>
    <w:p w14:paraId="6BDE0346" w14:textId="4253442C" w:rsidR="00E02168" w:rsidRDefault="00E02168" w:rsidP="002D09BC">
      <w:pPr>
        <w:rPr>
          <w:color w:val="0000FF"/>
        </w:rPr>
      </w:pPr>
      <w:r>
        <w:rPr>
          <w:color w:val="0000FF"/>
        </w:rPr>
        <w:t>This solves to:</w:t>
      </w:r>
    </w:p>
    <w:p w14:paraId="3F307DB4" w14:textId="77777777" w:rsidR="00E02168" w:rsidRDefault="00E02168" w:rsidP="002D09BC">
      <w:pPr>
        <w:rPr>
          <w:color w:val="0000FF"/>
        </w:rPr>
      </w:pPr>
    </w:p>
    <w:p w14:paraId="0F6B2766" w14:textId="61AFC7B1" w:rsidR="00E02168" w:rsidRPr="003F3395" w:rsidRDefault="00E02168" w:rsidP="002D09BC">
      <w:pPr>
        <w:rPr>
          <w:color w:val="0000FF"/>
        </w:rPr>
      </w:pPr>
      <m:oMathPara>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r>
            <w:rPr>
              <w:rFonts w:ascii="Cambria Math" w:hAnsi="Cambria Math"/>
              <w:color w:val="0000FF"/>
            </w:rPr>
            <m:t>=-</m:t>
          </m:r>
          <m:f>
            <m:fPr>
              <m:ctrlPr>
                <w:rPr>
                  <w:rFonts w:ascii="Cambria Math" w:hAnsi="Cambria Math"/>
                  <w:i/>
                  <w:color w:val="0000FF"/>
                </w:rPr>
              </m:ctrlPr>
            </m:fPr>
            <m:num>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sSup>
                <m:sSupPr>
                  <m:ctrlPr>
                    <w:rPr>
                      <w:rFonts w:ascii="Cambria Math" w:hAnsi="Cambria Math"/>
                      <w:i/>
                      <w:color w:val="0000FF"/>
                    </w:rPr>
                  </m:ctrlPr>
                </m:sSupPr>
                <m:e>
                  <m:r>
                    <w:rPr>
                      <w:rFonts w:ascii="Cambria Math" w:hAnsi="Cambria Math"/>
                      <w:color w:val="0000FF"/>
                    </w:rPr>
                    <m:t>e</m:t>
                  </m:r>
                </m:e>
                <m:sup>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r>
                    <w:rPr>
                      <w:rFonts w:ascii="Cambria Math" w:hAnsi="Cambria Math"/>
                      <w:color w:val="0000FF"/>
                    </w:rPr>
                    <m:t>)</m:t>
                  </m:r>
                </m:sup>
              </m:sSup>
            </m:num>
            <m:den>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d>
                <m:dPr>
                  <m:ctrlPr>
                    <w:rPr>
                      <w:rFonts w:ascii="Cambria Math" w:hAnsi="Cambria Math"/>
                      <w:i/>
                      <w:color w:val="0000FF"/>
                    </w:rPr>
                  </m:ctrlPr>
                </m:dPr>
                <m:e>
                  <m:r>
                    <w:rPr>
                      <w:rFonts w:ascii="Cambria Math" w:hAnsi="Cambria Math"/>
                      <w:color w:val="0000FF"/>
                    </w:rPr>
                    <m:t>1-</m:t>
                  </m:r>
                  <m:sSup>
                    <m:sSupPr>
                      <m:ctrlPr>
                        <w:rPr>
                          <w:rFonts w:ascii="Cambria Math" w:hAnsi="Cambria Math"/>
                          <w:i/>
                          <w:color w:val="0000FF"/>
                        </w:rPr>
                      </m:ctrlPr>
                    </m:sSupPr>
                    <m:e>
                      <m:r>
                        <w:rPr>
                          <w:rFonts w:ascii="Cambria Math" w:hAnsi="Cambria Math"/>
                          <w:color w:val="0000FF"/>
                        </w:rPr>
                        <m:t>e</m:t>
                      </m:r>
                    </m:e>
                    <m:sup>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r>
                        <w:rPr>
                          <w:rFonts w:ascii="Cambria Math" w:hAnsi="Cambria Math"/>
                          <w:color w:val="0000FF"/>
                        </w:rPr>
                        <m:t>)</m:t>
                      </m:r>
                    </m:sup>
                  </m:sSup>
                </m:e>
              </m:d>
            </m:den>
          </m:f>
        </m:oMath>
      </m:oMathPara>
    </w:p>
    <w:p w14:paraId="256F4DE9" w14:textId="4E1F0EF9" w:rsidR="003F3395" w:rsidRPr="003F3395" w:rsidRDefault="003F3395" w:rsidP="002D09BC">
      <w:pPr>
        <w:rPr>
          <w:color w:val="0000FF"/>
        </w:rPr>
      </w:pPr>
      <m:oMathPara>
        <m:oMath>
          <m:r>
            <w:rPr>
              <w:rFonts w:ascii="Cambria Math" w:hAnsi="Cambria Math"/>
              <w:color w:val="0000FF"/>
            </w:rPr>
            <w:lastRenderedPageBreak/>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2</m:t>
              </m:r>
            </m:sub>
          </m:sSub>
          <m:r>
            <w:rPr>
              <w:rFonts w:ascii="Cambria Math" w:hAnsi="Cambria Math"/>
              <w:color w:val="0000FF"/>
            </w:rPr>
            <m:t>=</m:t>
          </m:r>
          <m:f>
            <m:fPr>
              <m:ctrlPr>
                <w:rPr>
                  <w:rFonts w:ascii="Cambria Math" w:hAnsi="Cambria Math"/>
                  <w:i/>
                  <w:color w:val="0000FF"/>
                </w:rPr>
              </m:ctrlPr>
            </m:fPr>
            <m:num>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sSup>
                <m:sSupPr>
                  <m:ctrlPr>
                    <w:rPr>
                      <w:rFonts w:ascii="Cambria Math" w:hAnsi="Cambria Math"/>
                      <w:i/>
                      <w:color w:val="0000FF"/>
                    </w:rPr>
                  </m:ctrlPr>
                </m:sSupPr>
                <m:e>
                  <m:r>
                    <w:rPr>
                      <w:rFonts w:ascii="Cambria Math" w:hAnsi="Cambria Math"/>
                      <w:color w:val="0000FF"/>
                    </w:rPr>
                    <m:t>e</m:t>
                  </m:r>
                </m:e>
                <m:sup>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2</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sup>
              </m:sSup>
            </m:num>
            <m:den>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d>
                <m:dPr>
                  <m:ctrlPr>
                    <w:rPr>
                      <w:rFonts w:ascii="Cambria Math" w:hAnsi="Cambria Math"/>
                      <w:i/>
                      <w:color w:val="0000FF"/>
                    </w:rPr>
                  </m:ctrlPr>
                </m:dPr>
                <m:e>
                  <m:r>
                    <w:rPr>
                      <w:rFonts w:ascii="Cambria Math" w:hAnsi="Cambria Math"/>
                      <w:color w:val="0000FF"/>
                    </w:rPr>
                    <m:t>1-</m:t>
                  </m:r>
                  <m:sSup>
                    <m:sSupPr>
                      <m:ctrlPr>
                        <w:rPr>
                          <w:rFonts w:ascii="Cambria Math" w:hAnsi="Cambria Math"/>
                          <w:i/>
                          <w:color w:val="0000FF"/>
                        </w:rPr>
                      </m:ctrlPr>
                    </m:sSupPr>
                    <m:e>
                      <m:r>
                        <w:rPr>
                          <w:rFonts w:ascii="Cambria Math" w:hAnsi="Cambria Math"/>
                          <w:color w:val="0000FF"/>
                        </w:rPr>
                        <m:t>e</m:t>
                      </m:r>
                    </m:e>
                    <m:sup>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r>
                        <w:rPr>
                          <w:rFonts w:ascii="Cambria Math" w:hAnsi="Cambria Math"/>
                          <w:color w:val="0000FF"/>
                        </w:rPr>
                        <m:t>)</m:t>
                      </m:r>
                    </m:sup>
                  </m:sSup>
                </m:e>
              </m:d>
            </m:den>
          </m:f>
        </m:oMath>
      </m:oMathPara>
    </w:p>
    <w:p w14:paraId="188E41CC" w14:textId="77777777" w:rsidR="003F3395" w:rsidRDefault="003F3395" w:rsidP="002D09BC">
      <w:pPr>
        <w:rPr>
          <w:color w:val="0000FF"/>
        </w:rPr>
      </w:pPr>
    </w:p>
    <w:p w14:paraId="247EF2B2" w14:textId="6371EEDB" w:rsidR="003F3395" w:rsidRDefault="003F3395" w:rsidP="002D09BC">
      <w:pPr>
        <w:rPr>
          <w:color w:val="0000FF"/>
        </w:rPr>
      </w:pPr>
      <w:r>
        <w:rPr>
          <w:color w:val="0000FF"/>
        </w:rPr>
        <w:t xml:space="preserve">We can then translate these Brownian shocks, via the factor model, into the resulting shock for </w:t>
      </w:r>
      <m:oMath>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oMath>
      <w:r>
        <w:rPr>
          <w:color w:val="0000FF"/>
        </w:rPr>
        <w:t xml:space="preserve"> to get </w:t>
      </w:r>
      <m:oMath>
        <m:f>
          <m:fPr>
            <m:ctrlPr>
              <w:rPr>
                <w:rFonts w:ascii="Cambria Math" w:hAnsi="Cambria Math"/>
                <w:i/>
                <w:color w:val="0000FF"/>
              </w:rPr>
            </m:ctrlPr>
          </m:fPr>
          <m:num>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num>
          <m:den>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den>
        </m:f>
      </m:oMath>
      <w:r>
        <w:rPr>
          <w:color w:val="0000FF"/>
        </w:rPr>
        <w:t>.</w:t>
      </w:r>
    </w:p>
    <w:p w14:paraId="63EBADA8" w14:textId="77777777" w:rsidR="003F3395" w:rsidRDefault="003F3395" w:rsidP="002D09BC">
      <w:pPr>
        <w:rPr>
          <w:color w:val="0000FF"/>
        </w:rPr>
      </w:pPr>
    </w:p>
    <w:p w14:paraId="24E525D2" w14:textId="398C10E8" w:rsidR="003F3395" w:rsidRDefault="003F3395" w:rsidP="002D09BC">
      <w:pPr>
        <w:rPr>
          <w:color w:val="0000FF"/>
        </w:rPr>
      </w:pPr>
      <w:r>
        <w:rPr>
          <w:color w:val="0000FF"/>
        </w:rPr>
        <w:t xml:space="preserve">Similarly we can derive the Brownian shocks under the factor model to make </w:t>
      </w:r>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oMath>
      <w:r>
        <w:rPr>
          <w:color w:val="0000FF"/>
        </w:rPr>
        <w:t xml:space="preserve"> zero and </w:t>
      </w:r>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oMath>
      <w:r>
        <w:rPr>
          <w:color w:val="0000FF"/>
        </w:rPr>
        <w:t xml:space="preserve"> nonzero:</w:t>
      </w:r>
    </w:p>
    <w:p w14:paraId="6BA73F3C" w14:textId="77777777" w:rsidR="003F3395" w:rsidRDefault="003F3395" w:rsidP="002D09BC">
      <w:pPr>
        <w:rPr>
          <w:color w:val="0000FF"/>
        </w:rPr>
      </w:pPr>
    </w:p>
    <w:p w14:paraId="21B97B42" w14:textId="2F0AEA03" w:rsidR="00266A41" w:rsidRPr="003F3395" w:rsidRDefault="00266A41" w:rsidP="00266A41">
      <w:pPr>
        <w:rPr>
          <w:color w:val="0000FF"/>
        </w:rPr>
      </w:pPr>
      <m:oMathPara>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r>
            <w:rPr>
              <w:rFonts w:ascii="Cambria Math" w:hAnsi="Cambria Math"/>
              <w:color w:val="0000FF"/>
            </w:rPr>
            <m:t>=-</m:t>
          </m:r>
          <m:f>
            <m:fPr>
              <m:ctrlPr>
                <w:rPr>
                  <w:rFonts w:ascii="Cambria Math" w:hAnsi="Cambria Math"/>
                  <w:i/>
                  <w:color w:val="0000FF"/>
                </w:rPr>
              </m:ctrlPr>
            </m:fPr>
            <m:num>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sSup>
                <m:sSupPr>
                  <m:ctrlPr>
                    <w:rPr>
                      <w:rFonts w:ascii="Cambria Math" w:hAnsi="Cambria Math"/>
                      <w:i/>
                      <w:color w:val="0000FF"/>
                    </w:rPr>
                  </m:ctrlPr>
                </m:sSupPr>
                <m:e>
                  <m:r>
                    <w:rPr>
                      <w:rFonts w:ascii="Cambria Math" w:hAnsi="Cambria Math"/>
                      <w:color w:val="0000FF"/>
                    </w:rPr>
                    <m:t>e</m:t>
                  </m:r>
                </m:e>
                <m:sup>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r>
                    <w:rPr>
                      <w:rFonts w:ascii="Cambria Math" w:hAnsi="Cambria Math"/>
                      <w:color w:val="0000FF"/>
                    </w:rPr>
                    <m:t>)</m:t>
                  </m:r>
                </m:sup>
              </m:sSup>
            </m:num>
            <m:den>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d>
                <m:dPr>
                  <m:ctrlPr>
                    <w:rPr>
                      <w:rFonts w:ascii="Cambria Math" w:hAnsi="Cambria Math"/>
                      <w:i/>
                      <w:color w:val="0000FF"/>
                    </w:rPr>
                  </m:ctrlPr>
                </m:dPr>
                <m:e>
                  <m:r>
                    <w:rPr>
                      <w:rFonts w:ascii="Cambria Math" w:hAnsi="Cambria Math"/>
                      <w:color w:val="0000FF"/>
                    </w:rPr>
                    <m:t>1-</m:t>
                  </m:r>
                  <m:sSup>
                    <m:sSupPr>
                      <m:ctrlPr>
                        <w:rPr>
                          <w:rFonts w:ascii="Cambria Math" w:hAnsi="Cambria Math"/>
                          <w:i/>
                          <w:color w:val="0000FF"/>
                        </w:rPr>
                      </m:ctrlPr>
                    </m:sSupPr>
                    <m:e>
                      <m:r>
                        <w:rPr>
                          <w:rFonts w:ascii="Cambria Math" w:hAnsi="Cambria Math"/>
                          <w:color w:val="0000FF"/>
                        </w:rPr>
                        <m:t>e</m:t>
                      </m:r>
                    </m:e>
                    <m:sup>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r>
                        <w:rPr>
                          <w:rFonts w:ascii="Cambria Math" w:hAnsi="Cambria Math"/>
                          <w:color w:val="0000FF"/>
                        </w:rPr>
                        <m:t>)</m:t>
                      </m:r>
                    </m:sup>
                  </m:sSup>
                </m:e>
              </m:d>
            </m:den>
          </m:f>
        </m:oMath>
      </m:oMathPara>
    </w:p>
    <w:p w14:paraId="63BA4524" w14:textId="2D7A3D3C" w:rsidR="00266A41" w:rsidRPr="003F3395" w:rsidRDefault="00266A41" w:rsidP="00266A41">
      <w:pPr>
        <w:rPr>
          <w:color w:val="0000FF"/>
        </w:rPr>
      </w:pPr>
      <m:oMathPara>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2</m:t>
              </m:r>
            </m:sub>
          </m:sSub>
          <m:r>
            <w:rPr>
              <w:rFonts w:ascii="Cambria Math" w:hAnsi="Cambria Math"/>
              <w:color w:val="0000FF"/>
            </w:rPr>
            <m:t>=</m:t>
          </m:r>
          <m:f>
            <m:fPr>
              <m:ctrlPr>
                <w:rPr>
                  <w:rFonts w:ascii="Cambria Math" w:hAnsi="Cambria Math"/>
                  <w:i/>
                  <w:color w:val="0000FF"/>
                </w:rPr>
              </m:ctrlPr>
            </m:fPr>
            <m:num>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sSup>
                <m:sSupPr>
                  <m:ctrlPr>
                    <w:rPr>
                      <w:rFonts w:ascii="Cambria Math" w:hAnsi="Cambria Math"/>
                      <w:i/>
                      <w:color w:val="0000FF"/>
                    </w:rPr>
                  </m:ctrlPr>
                </m:sSupPr>
                <m:e>
                  <m:r>
                    <w:rPr>
                      <w:rFonts w:ascii="Cambria Math" w:hAnsi="Cambria Math"/>
                      <w:color w:val="0000FF"/>
                    </w:rPr>
                    <m:t>e</m:t>
                  </m:r>
                </m:e>
                <m:sup>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2</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sup>
              </m:sSup>
            </m:num>
            <m:den>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d>
                <m:dPr>
                  <m:ctrlPr>
                    <w:rPr>
                      <w:rFonts w:ascii="Cambria Math" w:hAnsi="Cambria Math"/>
                      <w:i/>
                      <w:color w:val="0000FF"/>
                    </w:rPr>
                  </m:ctrlPr>
                </m:dPr>
                <m:e>
                  <m:r>
                    <w:rPr>
                      <w:rFonts w:ascii="Cambria Math" w:hAnsi="Cambria Math"/>
                      <w:color w:val="0000FF"/>
                    </w:rPr>
                    <m:t>1-</m:t>
                  </m:r>
                  <m:sSup>
                    <m:sSupPr>
                      <m:ctrlPr>
                        <w:rPr>
                          <w:rFonts w:ascii="Cambria Math" w:hAnsi="Cambria Math"/>
                          <w:i/>
                          <w:color w:val="0000FF"/>
                        </w:rPr>
                      </m:ctrlPr>
                    </m:sSupPr>
                    <m:e>
                      <m:r>
                        <w:rPr>
                          <w:rFonts w:ascii="Cambria Math" w:hAnsi="Cambria Math"/>
                          <w:color w:val="0000FF"/>
                        </w:rPr>
                        <m:t>e</m:t>
                      </m:r>
                    </m:e>
                    <m:sup>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r>
                        <w:rPr>
                          <w:rFonts w:ascii="Cambria Math" w:hAnsi="Cambria Math"/>
                          <w:color w:val="0000FF"/>
                        </w:rPr>
                        <m:t>)</m:t>
                      </m:r>
                    </m:sup>
                  </m:sSup>
                </m:e>
              </m:d>
            </m:den>
          </m:f>
        </m:oMath>
      </m:oMathPara>
    </w:p>
    <w:p w14:paraId="3361337A" w14:textId="77777777" w:rsidR="003F3395" w:rsidRDefault="003F3395" w:rsidP="002D09BC">
      <w:pPr>
        <w:rPr>
          <w:color w:val="0000FF"/>
        </w:rPr>
      </w:pPr>
    </w:p>
    <w:p w14:paraId="458BFAF1" w14:textId="63DE6304" w:rsidR="00266A41" w:rsidRDefault="00266A41" w:rsidP="002D09BC">
      <w:pPr>
        <w:rPr>
          <w:color w:val="0000FF"/>
        </w:rPr>
      </w:pPr>
      <w:r>
        <w:rPr>
          <w:color w:val="0000FF"/>
        </w:rPr>
        <w:t xml:space="preserve">and again can plug those into the factor model to find </w:t>
      </w:r>
      <m:oMath>
        <m:f>
          <m:fPr>
            <m:ctrlPr>
              <w:rPr>
                <w:rFonts w:ascii="Cambria Math" w:hAnsi="Cambria Math"/>
                <w:i/>
                <w:color w:val="0000FF"/>
              </w:rPr>
            </m:ctrlPr>
          </m:fPr>
          <m:num>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num>
          <m:den>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den>
        </m:f>
      </m:oMath>
      <w:r>
        <w:rPr>
          <w:color w:val="0000FF"/>
        </w:rPr>
        <w:t>.</w:t>
      </w:r>
    </w:p>
    <w:p w14:paraId="65897C93" w14:textId="77777777" w:rsidR="00266A41" w:rsidRDefault="00266A41" w:rsidP="002D09BC">
      <w:pPr>
        <w:rPr>
          <w:color w:val="0000FF"/>
        </w:rPr>
      </w:pPr>
    </w:p>
    <w:p w14:paraId="667CF15C" w14:textId="7174588A" w:rsidR="00266A41" w:rsidRDefault="00266A41" w:rsidP="002D09BC">
      <w:pPr>
        <w:rPr>
          <w:color w:val="0000FF"/>
        </w:rPr>
      </w:pPr>
      <w:r>
        <w:rPr>
          <w:color w:val="0000FF"/>
        </w:rPr>
        <w:t>Once we have those two partial derivatives under the factor model, we can plug them into the expressions for the two hedge notionals.</w:t>
      </w:r>
    </w:p>
    <w:p w14:paraId="62444E15" w14:textId="77777777" w:rsidR="00266A41" w:rsidRDefault="00266A41" w:rsidP="002D09BC">
      <w:pPr>
        <w:rPr>
          <w:color w:val="0000FF"/>
        </w:rPr>
      </w:pPr>
    </w:p>
    <w:p w14:paraId="177588F7" w14:textId="37BA45B0" w:rsidR="00266A41" w:rsidRDefault="00266A41" w:rsidP="002D09BC">
      <w:pPr>
        <w:rPr>
          <w:color w:val="0000FF"/>
        </w:rPr>
      </w:pPr>
      <w:r>
        <w:rPr>
          <w:color w:val="0000FF"/>
        </w:rPr>
        <w:t>This is implemented in the Python script wst/baruch/assig2.py. It figures out the hedge notionals required and then runs a Monte Carlo simulation to calculate the PNL standard deviation.</w:t>
      </w:r>
    </w:p>
    <w:p w14:paraId="095C5F22" w14:textId="77777777" w:rsidR="00266A41" w:rsidRDefault="00266A41" w:rsidP="002D09BC">
      <w:pPr>
        <w:rPr>
          <w:color w:val="0000FF"/>
        </w:rPr>
      </w:pPr>
    </w:p>
    <w:p w14:paraId="00103C78" w14:textId="7B55F35D" w:rsidR="00266A41" w:rsidRDefault="00C310FF" w:rsidP="002D09BC">
      <w:pPr>
        <w:rPr>
          <w:color w:val="0000FF"/>
        </w:rPr>
      </w:pPr>
      <w:r>
        <w:rPr>
          <w:color w:val="0000FF"/>
        </w:rPr>
        <w:t>The results are below in a table showing PNL standard deviation*10</w:t>
      </w:r>
      <w:r w:rsidRPr="00C310FF">
        <w:rPr>
          <w:color w:val="0000FF"/>
          <w:vertAlign w:val="superscript"/>
        </w:rPr>
        <w:t>5</w:t>
      </w:r>
      <w:r>
        <w:rPr>
          <w:color w:val="0000FF"/>
        </w:rPr>
        <w:t xml:space="preserve"> (just rescaled to make the numbers closer to 1):</w:t>
      </w:r>
    </w:p>
    <w:p w14:paraId="609626A8" w14:textId="77777777" w:rsidR="00C310FF" w:rsidRDefault="00C310FF" w:rsidP="002D09BC">
      <w:pPr>
        <w:rPr>
          <w:color w:val="0000FF"/>
        </w:rPr>
      </w:pPr>
    </w:p>
    <w:tbl>
      <w:tblPr>
        <w:tblW w:w="10140" w:type="dxa"/>
        <w:tblInd w:w="-324" w:type="dxa"/>
        <w:tblLook w:val="04A0" w:firstRow="1" w:lastRow="0" w:firstColumn="1" w:lastColumn="0" w:noHBand="0" w:noVBand="1"/>
      </w:tblPr>
      <w:tblGrid>
        <w:gridCol w:w="1300"/>
        <w:gridCol w:w="1640"/>
        <w:gridCol w:w="1640"/>
        <w:gridCol w:w="1640"/>
        <w:gridCol w:w="1960"/>
        <w:gridCol w:w="1960"/>
      </w:tblGrid>
      <w:tr w:rsidR="00C310FF" w:rsidRPr="00C310FF" w14:paraId="36D2018B" w14:textId="77777777" w:rsidTr="00C310FF">
        <w:trPr>
          <w:trHeight w:val="300"/>
        </w:trPr>
        <w:tc>
          <w:tcPr>
            <w:tcW w:w="1300" w:type="dxa"/>
            <w:tcBorders>
              <w:top w:val="nil"/>
              <w:left w:val="nil"/>
              <w:bottom w:val="nil"/>
              <w:right w:val="nil"/>
            </w:tcBorders>
            <w:shd w:val="clear" w:color="auto" w:fill="auto"/>
            <w:noWrap/>
            <w:vAlign w:val="bottom"/>
            <w:hideMark/>
          </w:tcPr>
          <w:p w14:paraId="2673E8AC" w14:textId="77777777" w:rsidR="00C310FF" w:rsidRPr="00C310FF" w:rsidRDefault="00C310FF" w:rsidP="00C310FF">
            <w:pPr>
              <w:jc w:val="right"/>
              <w:rPr>
                <w:rFonts w:ascii="Calibri" w:eastAsia="Times New Roman" w:hAnsi="Calibri" w:cs="Times New Roman"/>
                <w:b/>
                <w:bCs/>
                <w:color w:val="000000"/>
              </w:rPr>
            </w:pPr>
            <w:r w:rsidRPr="00C310FF">
              <w:rPr>
                <w:rFonts w:ascii="Calibri" w:eastAsia="Times New Roman" w:hAnsi="Calibri" w:cs="Times New Roman"/>
                <w:b/>
                <w:bCs/>
                <w:color w:val="000000"/>
              </w:rPr>
              <w:t>T</w:t>
            </w:r>
          </w:p>
        </w:tc>
        <w:tc>
          <w:tcPr>
            <w:tcW w:w="1640" w:type="dxa"/>
            <w:tcBorders>
              <w:top w:val="nil"/>
              <w:left w:val="nil"/>
              <w:bottom w:val="nil"/>
              <w:right w:val="nil"/>
            </w:tcBorders>
            <w:shd w:val="clear" w:color="auto" w:fill="auto"/>
            <w:noWrap/>
            <w:vAlign w:val="bottom"/>
            <w:hideMark/>
          </w:tcPr>
          <w:p w14:paraId="47B1D644" w14:textId="77777777" w:rsidR="00C310FF" w:rsidRPr="00C310FF" w:rsidRDefault="00C310FF" w:rsidP="00C310FF">
            <w:pPr>
              <w:jc w:val="right"/>
              <w:rPr>
                <w:rFonts w:ascii="Calibri" w:eastAsia="Times New Roman" w:hAnsi="Calibri" w:cs="Times New Roman"/>
                <w:b/>
                <w:bCs/>
                <w:color w:val="000000"/>
              </w:rPr>
            </w:pPr>
            <w:r w:rsidRPr="00C310FF">
              <w:rPr>
                <w:rFonts w:ascii="Calibri" w:eastAsia="Times New Roman" w:hAnsi="Calibri" w:cs="Times New Roman"/>
                <w:b/>
                <w:bCs/>
                <w:color w:val="000000"/>
              </w:rPr>
              <w:t>No Hedge</w:t>
            </w:r>
          </w:p>
        </w:tc>
        <w:tc>
          <w:tcPr>
            <w:tcW w:w="1640" w:type="dxa"/>
            <w:tcBorders>
              <w:top w:val="nil"/>
              <w:left w:val="nil"/>
              <w:bottom w:val="nil"/>
              <w:right w:val="nil"/>
            </w:tcBorders>
            <w:shd w:val="clear" w:color="auto" w:fill="auto"/>
            <w:noWrap/>
            <w:vAlign w:val="bottom"/>
            <w:hideMark/>
          </w:tcPr>
          <w:p w14:paraId="0C75C8FF" w14:textId="77777777" w:rsidR="00C310FF" w:rsidRPr="00C310FF" w:rsidRDefault="00C310FF" w:rsidP="00C310FF">
            <w:pPr>
              <w:jc w:val="right"/>
              <w:rPr>
                <w:rFonts w:ascii="Calibri" w:eastAsia="Times New Roman" w:hAnsi="Calibri" w:cs="Times New Roman"/>
                <w:b/>
                <w:bCs/>
                <w:color w:val="000000"/>
              </w:rPr>
            </w:pPr>
            <w:r w:rsidRPr="00C310FF">
              <w:rPr>
                <w:rFonts w:ascii="Calibri" w:eastAsia="Times New Roman" w:hAnsi="Calibri" w:cs="Times New Roman"/>
                <w:b/>
                <w:bCs/>
                <w:color w:val="000000"/>
              </w:rPr>
              <w:t>Triangle Hedge</w:t>
            </w:r>
          </w:p>
        </w:tc>
        <w:tc>
          <w:tcPr>
            <w:tcW w:w="1640" w:type="dxa"/>
            <w:tcBorders>
              <w:top w:val="nil"/>
              <w:left w:val="nil"/>
              <w:bottom w:val="nil"/>
              <w:right w:val="nil"/>
            </w:tcBorders>
            <w:shd w:val="clear" w:color="auto" w:fill="auto"/>
            <w:noWrap/>
            <w:vAlign w:val="bottom"/>
            <w:hideMark/>
          </w:tcPr>
          <w:p w14:paraId="1DAC8D65" w14:textId="77777777" w:rsidR="00C310FF" w:rsidRPr="00C310FF" w:rsidRDefault="00C310FF" w:rsidP="00C310FF">
            <w:pPr>
              <w:jc w:val="right"/>
              <w:rPr>
                <w:rFonts w:ascii="Calibri" w:eastAsia="Times New Roman" w:hAnsi="Calibri" w:cs="Times New Roman"/>
                <w:b/>
                <w:bCs/>
                <w:color w:val="000000"/>
              </w:rPr>
            </w:pPr>
            <w:r w:rsidRPr="00C310FF">
              <w:rPr>
                <w:rFonts w:ascii="Calibri" w:eastAsia="Times New Roman" w:hAnsi="Calibri" w:cs="Times New Roman"/>
                <w:b/>
                <w:bCs/>
                <w:color w:val="000000"/>
              </w:rPr>
              <w:t>Factor Hedge</w:t>
            </w:r>
          </w:p>
        </w:tc>
        <w:tc>
          <w:tcPr>
            <w:tcW w:w="1960" w:type="dxa"/>
            <w:tcBorders>
              <w:top w:val="nil"/>
              <w:left w:val="nil"/>
              <w:bottom w:val="nil"/>
              <w:right w:val="nil"/>
            </w:tcBorders>
            <w:shd w:val="clear" w:color="auto" w:fill="auto"/>
            <w:noWrap/>
            <w:vAlign w:val="bottom"/>
            <w:hideMark/>
          </w:tcPr>
          <w:p w14:paraId="7FB91C5A" w14:textId="77777777" w:rsidR="00C310FF" w:rsidRPr="00C310FF" w:rsidRDefault="00C310FF" w:rsidP="00C310FF">
            <w:pPr>
              <w:jc w:val="right"/>
              <w:rPr>
                <w:rFonts w:ascii="Calibri" w:eastAsia="Times New Roman" w:hAnsi="Calibri" w:cs="Times New Roman"/>
                <w:b/>
                <w:bCs/>
                <w:color w:val="000000"/>
              </w:rPr>
            </w:pPr>
            <w:r w:rsidRPr="00C310FF">
              <w:rPr>
                <w:rFonts w:ascii="Calibri" w:eastAsia="Times New Roman" w:hAnsi="Calibri" w:cs="Times New Roman"/>
                <w:b/>
                <w:bCs/>
                <w:color w:val="000000"/>
              </w:rPr>
              <w:t>Triangle Efficiency</w:t>
            </w:r>
          </w:p>
        </w:tc>
        <w:tc>
          <w:tcPr>
            <w:tcW w:w="1960" w:type="dxa"/>
            <w:tcBorders>
              <w:top w:val="nil"/>
              <w:left w:val="nil"/>
              <w:bottom w:val="nil"/>
              <w:right w:val="nil"/>
            </w:tcBorders>
            <w:shd w:val="clear" w:color="auto" w:fill="auto"/>
            <w:noWrap/>
            <w:vAlign w:val="bottom"/>
            <w:hideMark/>
          </w:tcPr>
          <w:p w14:paraId="7B819F87" w14:textId="77777777" w:rsidR="00C310FF" w:rsidRPr="00C310FF" w:rsidRDefault="00C310FF" w:rsidP="00C310FF">
            <w:pPr>
              <w:jc w:val="right"/>
              <w:rPr>
                <w:rFonts w:ascii="Calibri" w:eastAsia="Times New Roman" w:hAnsi="Calibri" w:cs="Times New Roman"/>
                <w:b/>
                <w:bCs/>
                <w:color w:val="000000"/>
              </w:rPr>
            </w:pPr>
            <w:r w:rsidRPr="00C310FF">
              <w:rPr>
                <w:rFonts w:ascii="Calibri" w:eastAsia="Times New Roman" w:hAnsi="Calibri" w:cs="Times New Roman"/>
                <w:b/>
                <w:bCs/>
                <w:color w:val="000000"/>
              </w:rPr>
              <w:t>Factor Efficiency</w:t>
            </w:r>
          </w:p>
        </w:tc>
      </w:tr>
      <w:tr w:rsidR="00C310FF" w:rsidRPr="00C310FF" w14:paraId="3EE5F258" w14:textId="77777777" w:rsidTr="00C310FF">
        <w:trPr>
          <w:trHeight w:val="300"/>
        </w:trPr>
        <w:tc>
          <w:tcPr>
            <w:tcW w:w="1300" w:type="dxa"/>
            <w:tcBorders>
              <w:top w:val="nil"/>
              <w:left w:val="nil"/>
              <w:bottom w:val="nil"/>
              <w:right w:val="nil"/>
            </w:tcBorders>
            <w:shd w:val="clear" w:color="auto" w:fill="auto"/>
            <w:noWrap/>
            <w:vAlign w:val="bottom"/>
            <w:hideMark/>
          </w:tcPr>
          <w:p w14:paraId="319202F2"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0.10</w:t>
            </w:r>
          </w:p>
        </w:tc>
        <w:tc>
          <w:tcPr>
            <w:tcW w:w="1640" w:type="dxa"/>
            <w:tcBorders>
              <w:top w:val="nil"/>
              <w:left w:val="nil"/>
              <w:bottom w:val="nil"/>
              <w:right w:val="nil"/>
            </w:tcBorders>
            <w:shd w:val="clear" w:color="auto" w:fill="auto"/>
            <w:noWrap/>
            <w:vAlign w:val="bottom"/>
            <w:hideMark/>
          </w:tcPr>
          <w:p w14:paraId="4987C266"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0.3023</w:t>
            </w:r>
          </w:p>
        </w:tc>
        <w:tc>
          <w:tcPr>
            <w:tcW w:w="1640" w:type="dxa"/>
            <w:tcBorders>
              <w:top w:val="nil"/>
              <w:left w:val="nil"/>
              <w:bottom w:val="nil"/>
              <w:right w:val="nil"/>
            </w:tcBorders>
            <w:shd w:val="clear" w:color="auto" w:fill="auto"/>
            <w:noWrap/>
            <w:vAlign w:val="bottom"/>
            <w:hideMark/>
          </w:tcPr>
          <w:p w14:paraId="78399DA4"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0.0204</w:t>
            </w:r>
          </w:p>
        </w:tc>
        <w:tc>
          <w:tcPr>
            <w:tcW w:w="1640" w:type="dxa"/>
            <w:tcBorders>
              <w:top w:val="nil"/>
              <w:left w:val="nil"/>
              <w:bottom w:val="nil"/>
              <w:right w:val="nil"/>
            </w:tcBorders>
            <w:shd w:val="clear" w:color="auto" w:fill="auto"/>
            <w:noWrap/>
            <w:vAlign w:val="bottom"/>
            <w:hideMark/>
          </w:tcPr>
          <w:p w14:paraId="55618D92"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0.0000</w:t>
            </w:r>
          </w:p>
        </w:tc>
        <w:tc>
          <w:tcPr>
            <w:tcW w:w="1960" w:type="dxa"/>
            <w:tcBorders>
              <w:top w:val="nil"/>
              <w:left w:val="nil"/>
              <w:bottom w:val="nil"/>
              <w:right w:val="nil"/>
            </w:tcBorders>
            <w:shd w:val="clear" w:color="auto" w:fill="auto"/>
            <w:noWrap/>
            <w:vAlign w:val="bottom"/>
            <w:hideMark/>
          </w:tcPr>
          <w:p w14:paraId="1A80F095"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93.3%</w:t>
            </w:r>
          </w:p>
        </w:tc>
        <w:tc>
          <w:tcPr>
            <w:tcW w:w="1960" w:type="dxa"/>
            <w:tcBorders>
              <w:top w:val="nil"/>
              <w:left w:val="nil"/>
              <w:bottom w:val="nil"/>
              <w:right w:val="nil"/>
            </w:tcBorders>
            <w:shd w:val="clear" w:color="auto" w:fill="auto"/>
            <w:noWrap/>
            <w:vAlign w:val="bottom"/>
            <w:hideMark/>
          </w:tcPr>
          <w:p w14:paraId="5F9A5619"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100.0%</w:t>
            </w:r>
          </w:p>
        </w:tc>
      </w:tr>
      <w:tr w:rsidR="00C310FF" w:rsidRPr="00C310FF" w14:paraId="0286DCA0" w14:textId="77777777" w:rsidTr="00C310FF">
        <w:trPr>
          <w:trHeight w:val="300"/>
        </w:trPr>
        <w:tc>
          <w:tcPr>
            <w:tcW w:w="1300" w:type="dxa"/>
            <w:tcBorders>
              <w:top w:val="nil"/>
              <w:left w:val="nil"/>
              <w:bottom w:val="nil"/>
              <w:right w:val="nil"/>
            </w:tcBorders>
            <w:shd w:val="clear" w:color="auto" w:fill="auto"/>
            <w:noWrap/>
            <w:vAlign w:val="bottom"/>
            <w:hideMark/>
          </w:tcPr>
          <w:p w14:paraId="168EFE13"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0.25</w:t>
            </w:r>
          </w:p>
        </w:tc>
        <w:tc>
          <w:tcPr>
            <w:tcW w:w="1640" w:type="dxa"/>
            <w:tcBorders>
              <w:top w:val="nil"/>
              <w:left w:val="nil"/>
              <w:bottom w:val="nil"/>
              <w:right w:val="nil"/>
            </w:tcBorders>
            <w:shd w:val="clear" w:color="auto" w:fill="auto"/>
            <w:noWrap/>
            <w:vAlign w:val="bottom"/>
            <w:hideMark/>
          </w:tcPr>
          <w:p w14:paraId="06B5EC28"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0.7140</w:t>
            </w:r>
          </w:p>
        </w:tc>
        <w:tc>
          <w:tcPr>
            <w:tcW w:w="1640" w:type="dxa"/>
            <w:tcBorders>
              <w:top w:val="nil"/>
              <w:left w:val="nil"/>
              <w:bottom w:val="nil"/>
              <w:right w:val="nil"/>
            </w:tcBorders>
            <w:shd w:val="clear" w:color="auto" w:fill="auto"/>
            <w:noWrap/>
            <w:vAlign w:val="bottom"/>
            <w:hideMark/>
          </w:tcPr>
          <w:p w14:paraId="0C31786D"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0.0000</w:t>
            </w:r>
          </w:p>
        </w:tc>
        <w:tc>
          <w:tcPr>
            <w:tcW w:w="1640" w:type="dxa"/>
            <w:tcBorders>
              <w:top w:val="nil"/>
              <w:left w:val="nil"/>
              <w:bottom w:val="nil"/>
              <w:right w:val="nil"/>
            </w:tcBorders>
            <w:shd w:val="clear" w:color="auto" w:fill="auto"/>
            <w:noWrap/>
            <w:vAlign w:val="bottom"/>
            <w:hideMark/>
          </w:tcPr>
          <w:p w14:paraId="60E5A26C"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0.0000</w:t>
            </w:r>
          </w:p>
        </w:tc>
        <w:tc>
          <w:tcPr>
            <w:tcW w:w="1960" w:type="dxa"/>
            <w:tcBorders>
              <w:top w:val="nil"/>
              <w:left w:val="nil"/>
              <w:bottom w:val="nil"/>
              <w:right w:val="nil"/>
            </w:tcBorders>
            <w:shd w:val="clear" w:color="auto" w:fill="auto"/>
            <w:noWrap/>
            <w:vAlign w:val="bottom"/>
            <w:hideMark/>
          </w:tcPr>
          <w:p w14:paraId="6494E53F"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100.0%</w:t>
            </w:r>
          </w:p>
        </w:tc>
        <w:tc>
          <w:tcPr>
            <w:tcW w:w="1960" w:type="dxa"/>
            <w:tcBorders>
              <w:top w:val="nil"/>
              <w:left w:val="nil"/>
              <w:bottom w:val="nil"/>
              <w:right w:val="nil"/>
            </w:tcBorders>
            <w:shd w:val="clear" w:color="auto" w:fill="auto"/>
            <w:noWrap/>
            <w:vAlign w:val="bottom"/>
            <w:hideMark/>
          </w:tcPr>
          <w:p w14:paraId="3F2B7DD3"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100.0%</w:t>
            </w:r>
          </w:p>
        </w:tc>
      </w:tr>
      <w:tr w:rsidR="00C310FF" w:rsidRPr="00C310FF" w14:paraId="6F135C16" w14:textId="77777777" w:rsidTr="00C310FF">
        <w:trPr>
          <w:trHeight w:val="300"/>
        </w:trPr>
        <w:tc>
          <w:tcPr>
            <w:tcW w:w="1300" w:type="dxa"/>
            <w:tcBorders>
              <w:top w:val="nil"/>
              <w:left w:val="nil"/>
              <w:bottom w:val="nil"/>
              <w:right w:val="nil"/>
            </w:tcBorders>
            <w:shd w:val="clear" w:color="auto" w:fill="auto"/>
            <w:noWrap/>
            <w:vAlign w:val="bottom"/>
            <w:hideMark/>
          </w:tcPr>
          <w:p w14:paraId="0ACA98DB"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0.50</w:t>
            </w:r>
          </w:p>
        </w:tc>
        <w:tc>
          <w:tcPr>
            <w:tcW w:w="1640" w:type="dxa"/>
            <w:tcBorders>
              <w:top w:val="nil"/>
              <w:left w:val="nil"/>
              <w:bottom w:val="nil"/>
              <w:right w:val="nil"/>
            </w:tcBorders>
            <w:shd w:val="clear" w:color="auto" w:fill="auto"/>
            <w:noWrap/>
            <w:vAlign w:val="bottom"/>
            <w:hideMark/>
          </w:tcPr>
          <w:p w14:paraId="1956BBEA"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1.3071</w:t>
            </w:r>
          </w:p>
        </w:tc>
        <w:tc>
          <w:tcPr>
            <w:tcW w:w="1640" w:type="dxa"/>
            <w:tcBorders>
              <w:top w:val="nil"/>
              <w:left w:val="nil"/>
              <w:bottom w:val="nil"/>
              <w:right w:val="nil"/>
            </w:tcBorders>
            <w:shd w:val="clear" w:color="auto" w:fill="auto"/>
            <w:noWrap/>
            <w:vAlign w:val="bottom"/>
            <w:hideMark/>
          </w:tcPr>
          <w:p w14:paraId="2F73CCE0"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0.0179</w:t>
            </w:r>
          </w:p>
        </w:tc>
        <w:tc>
          <w:tcPr>
            <w:tcW w:w="1640" w:type="dxa"/>
            <w:tcBorders>
              <w:top w:val="nil"/>
              <w:left w:val="nil"/>
              <w:bottom w:val="nil"/>
              <w:right w:val="nil"/>
            </w:tcBorders>
            <w:shd w:val="clear" w:color="auto" w:fill="auto"/>
            <w:noWrap/>
            <w:vAlign w:val="bottom"/>
            <w:hideMark/>
          </w:tcPr>
          <w:p w14:paraId="088785E8"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0.0000</w:t>
            </w:r>
          </w:p>
        </w:tc>
        <w:tc>
          <w:tcPr>
            <w:tcW w:w="1960" w:type="dxa"/>
            <w:tcBorders>
              <w:top w:val="nil"/>
              <w:left w:val="nil"/>
              <w:bottom w:val="nil"/>
              <w:right w:val="nil"/>
            </w:tcBorders>
            <w:shd w:val="clear" w:color="auto" w:fill="auto"/>
            <w:noWrap/>
            <w:vAlign w:val="bottom"/>
            <w:hideMark/>
          </w:tcPr>
          <w:p w14:paraId="5228CCEA"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98.6%</w:t>
            </w:r>
          </w:p>
        </w:tc>
        <w:tc>
          <w:tcPr>
            <w:tcW w:w="1960" w:type="dxa"/>
            <w:tcBorders>
              <w:top w:val="nil"/>
              <w:left w:val="nil"/>
              <w:bottom w:val="nil"/>
              <w:right w:val="nil"/>
            </w:tcBorders>
            <w:shd w:val="clear" w:color="auto" w:fill="auto"/>
            <w:noWrap/>
            <w:vAlign w:val="bottom"/>
            <w:hideMark/>
          </w:tcPr>
          <w:p w14:paraId="024A14FA"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100.0%</w:t>
            </w:r>
          </w:p>
        </w:tc>
      </w:tr>
      <w:tr w:rsidR="00C310FF" w:rsidRPr="00C310FF" w14:paraId="5A52C5AD" w14:textId="77777777" w:rsidTr="00C310FF">
        <w:trPr>
          <w:trHeight w:val="300"/>
        </w:trPr>
        <w:tc>
          <w:tcPr>
            <w:tcW w:w="1300" w:type="dxa"/>
            <w:tcBorders>
              <w:top w:val="nil"/>
              <w:left w:val="nil"/>
              <w:bottom w:val="nil"/>
              <w:right w:val="nil"/>
            </w:tcBorders>
            <w:shd w:val="clear" w:color="auto" w:fill="auto"/>
            <w:noWrap/>
            <w:vAlign w:val="bottom"/>
            <w:hideMark/>
          </w:tcPr>
          <w:p w14:paraId="54C0AAB5"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0.75</w:t>
            </w:r>
          </w:p>
        </w:tc>
        <w:tc>
          <w:tcPr>
            <w:tcW w:w="1640" w:type="dxa"/>
            <w:tcBorders>
              <w:top w:val="nil"/>
              <w:left w:val="nil"/>
              <w:bottom w:val="nil"/>
              <w:right w:val="nil"/>
            </w:tcBorders>
            <w:shd w:val="clear" w:color="auto" w:fill="auto"/>
            <w:noWrap/>
            <w:vAlign w:val="bottom"/>
            <w:hideMark/>
          </w:tcPr>
          <w:p w14:paraId="7E61D61D"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1.8096</w:t>
            </w:r>
          </w:p>
        </w:tc>
        <w:tc>
          <w:tcPr>
            <w:tcW w:w="1640" w:type="dxa"/>
            <w:tcBorders>
              <w:top w:val="nil"/>
              <w:left w:val="nil"/>
              <w:bottom w:val="nil"/>
              <w:right w:val="nil"/>
            </w:tcBorders>
            <w:shd w:val="clear" w:color="auto" w:fill="auto"/>
            <w:noWrap/>
            <w:vAlign w:val="bottom"/>
            <w:hideMark/>
          </w:tcPr>
          <w:p w14:paraId="0A601A1D"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0.0256</w:t>
            </w:r>
          </w:p>
        </w:tc>
        <w:tc>
          <w:tcPr>
            <w:tcW w:w="1640" w:type="dxa"/>
            <w:tcBorders>
              <w:top w:val="nil"/>
              <w:left w:val="nil"/>
              <w:bottom w:val="nil"/>
              <w:right w:val="nil"/>
            </w:tcBorders>
            <w:shd w:val="clear" w:color="auto" w:fill="auto"/>
            <w:noWrap/>
            <w:vAlign w:val="bottom"/>
            <w:hideMark/>
          </w:tcPr>
          <w:p w14:paraId="23D67C84"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0.0000</w:t>
            </w:r>
          </w:p>
        </w:tc>
        <w:tc>
          <w:tcPr>
            <w:tcW w:w="1960" w:type="dxa"/>
            <w:tcBorders>
              <w:top w:val="nil"/>
              <w:left w:val="nil"/>
              <w:bottom w:val="nil"/>
              <w:right w:val="nil"/>
            </w:tcBorders>
            <w:shd w:val="clear" w:color="auto" w:fill="auto"/>
            <w:noWrap/>
            <w:vAlign w:val="bottom"/>
            <w:hideMark/>
          </w:tcPr>
          <w:p w14:paraId="76738D58"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98.6%</w:t>
            </w:r>
          </w:p>
        </w:tc>
        <w:tc>
          <w:tcPr>
            <w:tcW w:w="1960" w:type="dxa"/>
            <w:tcBorders>
              <w:top w:val="nil"/>
              <w:left w:val="nil"/>
              <w:bottom w:val="nil"/>
              <w:right w:val="nil"/>
            </w:tcBorders>
            <w:shd w:val="clear" w:color="auto" w:fill="auto"/>
            <w:noWrap/>
            <w:vAlign w:val="bottom"/>
            <w:hideMark/>
          </w:tcPr>
          <w:p w14:paraId="4A026E6A"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100.0%</w:t>
            </w:r>
          </w:p>
        </w:tc>
      </w:tr>
      <w:tr w:rsidR="00C310FF" w:rsidRPr="00C310FF" w14:paraId="5B0E8BF1" w14:textId="77777777" w:rsidTr="00C310FF">
        <w:trPr>
          <w:trHeight w:val="300"/>
        </w:trPr>
        <w:tc>
          <w:tcPr>
            <w:tcW w:w="1300" w:type="dxa"/>
            <w:tcBorders>
              <w:top w:val="nil"/>
              <w:left w:val="nil"/>
              <w:bottom w:val="nil"/>
              <w:right w:val="nil"/>
            </w:tcBorders>
            <w:shd w:val="clear" w:color="auto" w:fill="auto"/>
            <w:noWrap/>
            <w:vAlign w:val="bottom"/>
            <w:hideMark/>
          </w:tcPr>
          <w:p w14:paraId="347670A4"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1.00</w:t>
            </w:r>
          </w:p>
        </w:tc>
        <w:tc>
          <w:tcPr>
            <w:tcW w:w="1640" w:type="dxa"/>
            <w:tcBorders>
              <w:top w:val="nil"/>
              <w:left w:val="nil"/>
              <w:bottom w:val="nil"/>
              <w:right w:val="nil"/>
            </w:tcBorders>
            <w:shd w:val="clear" w:color="auto" w:fill="auto"/>
            <w:noWrap/>
            <w:vAlign w:val="bottom"/>
            <w:hideMark/>
          </w:tcPr>
          <w:p w14:paraId="3ECC018B"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2.2454</w:t>
            </w:r>
          </w:p>
        </w:tc>
        <w:tc>
          <w:tcPr>
            <w:tcW w:w="1640" w:type="dxa"/>
            <w:tcBorders>
              <w:top w:val="nil"/>
              <w:left w:val="nil"/>
              <w:bottom w:val="nil"/>
              <w:right w:val="nil"/>
            </w:tcBorders>
            <w:shd w:val="clear" w:color="auto" w:fill="auto"/>
            <w:noWrap/>
            <w:vAlign w:val="bottom"/>
            <w:hideMark/>
          </w:tcPr>
          <w:p w14:paraId="336413A7"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0.0000</w:t>
            </w:r>
          </w:p>
        </w:tc>
        <w:tc>
          <w:tcPr>
            <w:tcW w:w="1640" w:type="dxa"/>
            <w:tcBorders>
              <w:top w:val="nil"/>
              <w:left w:val="nil"/>
              <w:bottom w:val="nil"/>
              <w:right w:val="nil"/>
            </w:tcBorders>
            <w:shd w:val="clear" w:color="auto" w:fill="auto"/>
            <w:noWrap/>
            <w:vAlign w:val="bottom"/>
            <w:hideMark/>
          </w:tcPr>
          <w:p w14:paraId="2152C590"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0.0000</w:t>
            </w:r>
          </w:p>
        </w:tc>
        <w:tc>
          <w:tcPr>
            <w:tcW w:w="1960" w:type="dxa"/>
            <w:tcBorders>
              <w:top w:val="nil"/>
              <w:left w:val="nil"/>
              <w:bottom w:val="nil"/>
              <w:right w:val="nil"/>
            </w:tcBorders>
            <w:shd w:val="clear" w:color="auto" w:fill="auto"/>
            <w:noWrap/>
            <w:vAlign w:val="bottom"/>
            <w:hideMark/>
          </w:tcPr>
          <w:p w14:paraId="7F71DB42"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100.0%</w:t>
            </w:r>
          </w:p>
        </w:tc>
        <w:tc>
          <w:tcPr>
            <w:tcW w:w="1960" w:type="dxa"/>
            <w:tcBorders>
              <w:top w:val="nil"/>
              <w:left w:val="nil"/>
              <w:bottom w:val="nil"/>
              <w:right w:val="nil"/>
            </w:tcBorders>
            <w:shd w:val="clear" w:color="auto" w:fill="auto"/>
            <w:noWrap/>
            <w:vAlign w:val="bottom"/>
            <w:hideMark/>
          </w:tcPr>
          <w:p w14:paraId="4DF56AC9"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100.0%</w:t>
            </w:r>
          </w:p>
        </w:tc>
      </w:tr>
      <w:tr w:rsidR="00C310FF" w:rsidRPr="00C310FF" w14:paraId="3C4691D0" w14:textId="77777777" w:rsidTr="00C310FF">
        <w:trPr>
          <w:trHeight w:val="300"/>
        </w:trPr>
        <w:tc>
          <w:tcPr>
            <w:tcW w:w="1300" w:type="dxa"/>
            <w:tcBorders>
              <w:top w:val="nil"/>
              <w:left w:val="nil"/>
              <w:bottom w:val="nil"/>
              <w:right w:val="nil"/>
            </w:tcBorders>
            <w:shd w:val="clear" w:color="auto" w:fill="auto"/>
            <w:noWrap/>
            <w:vAlign w:val="bottom"/>
            <w:hideMark/>
          </w:tcPr>
          <w:p w14:paraId="581B7E1B"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2.00</w:t>
            </w:r>
          </w:p>
        </w:tc>
        <w:tc>
          <w:tcPr>
            <w:tcW w:w="1640" w:type="dxa"/>
            <w:tcBorders>
              <w:top w:val="nil"/>
              <w:left w:val="nil"/>
              <w:bottom w:val="nil"/>
              <w:right w:val="nil"/>
            </w:tcBorders>
            <w:shd w:val="clear" w:color="auto" w:fill="auto"/>
            <w:noWrap/>
            <w:vAlign w:val="bottom"/>
            <w:hideMark/>
          </w:tcPr>
          <w:p w14:paraId="31C1BEAE"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3.6166</w:t>
            </w:r>
          </w:p>
        </w:tc>
        <w:tc>
          <w:tcPr>
            <w:tcW w:w="1640" w:type="dxa"/>
            <w:tcBorders>
              <w:top w:val="nil"/>
              <w:left w:val="nil"/>
              <w:bottom w:val="nil"/>
              <w:right w:val="nil"/>
            </w:tcBorders>
            <w:shd w:val="clear" w:color="auto" w:fill="auto"/>
            <w:noWrap/>
            <w:vAlign w:val="bottom"/>
            <w:hideMark/>
          </w:tcPr>
          <w:p w14:paraId="70BCF020"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1.3080</w:t>
            </w:r>
          </w:p>
        </w:tc>
        <w:tc>
          <w:tcPr>
            <w:tcW w:w="1640" w:type="dxa"/>
            <w:tcBorders>
              <w:top w:val="nil"/>
              <w:left w:val="nil"/>
              <w:bottom w:val="nil"/>
              <w:right w:val="nil"/>
            </w:tcBorders>
            <w:shd w:val="clear" w:color="auto" w:fill="auto"/>
            <w:noWrap/>
            <w:vAlign w:val="bottom"/>
            <w:hideMark/>
          </w:tcPr>
          <w:p w14:paraId="1B54F071"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0.0003</w:t>
            </w:r>
          </w:p>
        </w:tc>
        <w:tc>
          <w:tcPr>
            <w:tcW w:w="1960" w:type="dxa"/>
            <w:tcBorders>
              <w:top w:val="nil"/>
              <w:left w:val="nil"/>
              <w:bottom w:val="nil"/>
              <w:right w:val="nil"/>
            </w:tcBorders>
            <w:shd w:val="clear" w:color="auto" w:fill="auto"/>
            <w:noWrap/>
            <w:vAlign w:val="bottom"/>
            <w:hideMark/>
          </w:tcPr>
          <w:p w14:paraId="2498D96C"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63.8%</w:t>
            </w:r>
          </w:p>
        </w:tc>
        <w:tc>
          <w:tcPr>
            <w:tcW w:w="1960" w:type="dxa"/>
            <w:tcBorders>
              <w:top w:val="nil"/>
              <w:left w:val="nil"/>
              <w:bottom w:val="nil"/>
              <w:right w:val="nil"/>
            </w:tcBorders>
            <w:shd w:val="clear" w:color="auto" w:fill="auto"/>
            <w:noWrap/>
            <w:vAlign w:val="bottom"/>
            <w:hideMark/>
          </w:tcPr>
          <w:p w14:paraId="16D9CAD2"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100.0%</w:t>
            </w:r>
          </w:p>
        </w:tc>
      </w:tr>
      <w:tr w:rsidR="00C310FF" w:rsidRPr="00C310FF" w14:paraId="6763DA87" w14:textId="77777777" w:rsidTr="00C310FF">
        <w:trPr>
          <w:trHeight w:val="300"/>
        </w:trPr>
        <w:tc>
          <w:tcPr>
            <w:tcW w:w="1300" w:type="dxa"/>
            <w:tcBorders>
              <w:top w:val="nil"/>
              <w:left w:val="nil"/>
              <w:bottom w:val="nil"/>
              <w:right w:val="nil"/>
            </w:tcBorders>
            <w:shd w:val="clear" w:color="auto" w:fill="auto"/>
            <w:noWrap/>
            <w:vAlign w:val="bottom"/>
          </w:tcPr>
          <w:p w14:paraId="7CC35B56" w14:textId="77777777" w:rsidR="00C310FF" w:rsidRDefault="00C310FF" w:rsidP="00C310FF">
            <w:pPr>
              <w:jc w:val="right"/>
              <w:rPr>
                <w:rFonts w:ascii="Calibri" w:eastAsia="Times New Roman" w:hAnsi="Calibri" w:cs="Times New Roman"/>
                <w:color w:val="000000"/>
              </w:rPr>
            </w:pPr>
          </w:p>
          <w:p w14:paraId="33689BB4" w14:textId="77777777" w:rsidR="00C310FF" w:rsidRPr="00C310FF" w:rsidRDefault="00C310FF" w:rsidP="00C310FF">
            <w:pPr>
              <w:rPr>
                <w:rFonts w:ascii="Calibri" w:eastAsia="Times New Roman" w:hAnsi="Calibri" w:cs="Times New Roman"/>
                <w:color w:val="000000"/>
              </w:rPr>
            </w:pPr>
          </w:p>
        </w:tc>
        <w:tc>
          <w:tcPr>
            <w:tcW w:w="1640" w:type="dxa"/>
            <w:tcBorders>
              <w:top w:val="nil"/>
              <w:left w:val="nil"/>
              <w:bottom w:val="nil"/>
              <w:right w:val="nil"/>
            </w:tcBorders>
            <w:shd w:val="clear" w:color="auto" w:fill="auto"/>
            <w:noWrap/>
            <w:vAlign w:val="bottom"/>
          </w:tcPr>
          <w:p w14:paraId="4F2A08AE" w14:textId="77777777" w:rsidR="00C310FF" w:rsidRPr="00C310FF" w:rsidRDefault="00C310FF" w:rsidP="00C310FF">
            <w:pPr>
              <w:jc w:val="right"/>
              <w:rPr>
                <w:rFonts w:ascii="Calibri" w:eastAsia="Times New Roman" w:hAnsi="Calibri" w:cs="Times New Roman"/>
                <w:color w:val="000000"/>
              </w:rPr>
            </w:pPr>
          </w:p>
        </w:tc>
        <w:tc>
          <w:tcPr>
            <w:tcW w:w="1640" w:type="dxa"/>
            <w:tcBorders>
              <w:top w:val="nil"/>
              <w:left w:val="nil"/>
              <w:bottom w:val="nil"/>
              <w:right w:val="nil"/>
            </w:tcBorders>
            <w:shd w:val="clear" w:color="auto" w:fill="auto"/>
            <w:noWrap/>
            <w:vAlign w:val="bottom"/>
          </w:tcPr>
          <w:p w14:paraId="1A9BCF35" w14:textId="77777777" w:rsidR="00C310FF" w:rsidRPr="00C310FF" w:rsidRDefault="00C310FF" w:rsidP="00C310FF">
            <w:pPr>
              <w:jc w:val="right"/>
              <w:rPr>
                <w:rFonts w:ascii="Calibri" w:eastAsia="Times New Roman" w:hAnsi="Calibri" w:cs="Times New Roman"/>
                <w:color w:val="000000"/>
              </w:rPr>
            </w:pPr>
          </w:p>
        </w:tc>
        <w:tc>
          <w:tcPr>
            <w:tcW w:w="1640" w:type="dxa"/>
            <w:tcBorders>
              <w:top w:val="nil"/>
              <w:left w:val="nil"/>
              <w:bottom w:val="nil"/>
              <w:right w:val="nil"/>
            </w:tcBorders>
            <w:shd w:val="clear" w:color="auto" w:fill="auto"/>
            <w:noWrap/>
            <w:vAlign w:val="bottom"/>
          </w:tcPr>
          <w:p w14:paraId="6668EF7B" w14:textId="77777777" w:rsidR="00C310FF" w:rsidRPr="00C310FF" w:rsidRDefault="00C310FF" w:rsidP="00C310FF">
            <w:pPr>
              <w:jc w:val="right"/>
              <w:rPr>
                <w:rFonts w:ascii="Calibri" w:eastAsia="Times New Roman" w:hAnsi="Calibri" w:cs="Times New Roman"/>
                <w:color w:val="000000"/>
              </w:rPr>
            </w:pPr>
          </w:p>
        </w:tc>
        <w:tc>
          <w:tcPr>
            <w:tcW w:w="1960" w:type="dxa"/>
            <w:tcBorders>
              <w:top w:val="nil"/>
              <w:left w:val="nil"/>
              <w:bottom w:val="nil"/>
              <w:right w:val="nil"/>
            </w:tcBorders>
            <w:shd w:val="clear" w:color="auto" w:fill="auto"/>
            <w:noWrap/>
            <w:vAlign w:val="bottom"/>
          </w:tcPr>
          <w:p w14:paraId="62B8299B" w14:textId="77777777" w:rsidR="00C310FF" w:rsidRPr="00C310FF" w:rsidRDefault="00C310FF" w:rsidP="00C310FF">
            <w:pPr>
              <w:jc w:val="right"/>
              <w:rPr>
                <w:rFonts w:ascii="Calibri" w:eastAsia="Times New Roman" w:hAnsi="Calibri" w:cs="Times New Roman"/>
                <w:color w:val="000000"/>
              </w:rPr>
            </w:pPr>
          </w:p>
        </w:tc>
        <w:tc>
          <w:tcPr>
            <w:tcW w:w="1960" w:type="dxa"/>
            <w:tcBorders>
              <w:top w:val="nil"/>
              <w:left w:val="nil"/>
              <w:bottom w:val="nil"/>
              <w:right w:val="nil"/>
            </w:tcBorders>
            <w:shd w:val="clear" w:color="auto" w:fill="auto"/>
            <w:noWrap/>
            <w:vAlign w:val="bottom"/>
          </w:tcPr>
          <w:p w14:paraId="4E211D0A" w14:textId="77777777" w:rsidR="00C310FF" w:rsidRPr="00C310FF" w:rsidRDefault="00C310FF" w:rsidP="00C310FF">
            <w:pPr>
              <w:jc w:val="right"/>
              <w:rPr>
                <w:rFonts w:ascii="Calibri" w:eastAsia="Times New Roman" w:hAnsi="Calibri" w:cs="Times New Roman"/>
                <w:color w:val="000000"/>
              </w:rPr>
            </w:pPr>
          </w:p>
        </w:tc>
      </w:tr>
    </w:tbl>
    <w:p w14:paraId="2B662C0D" w14:textId="69C71A6C" w:rsidR="00C310FF" w:rsidRDefault="00C310FF" w:rsidP="002D09BC">
      <w:pPr>
        <w:rPr>
          <w:color w:val="0000FF"/>
        </w:rPr>
      </w:pPr>
      <w:r>
        <w:rPr>
          <w:color w:val="0000FF"/>
        </w:rPr>
        <w:t>The “factor” hedge is essentially perfect: after the hedge the PNL standard deviation is vanishingly small. This is as expected: there are only two drivers of moves in the curve, and if you hedge exactly as they are expected to move, you should be hedging all the risk (to first order anyways).</w:t>
      </w:r>
    </w:p>
    <w:p w14:paraId="164D9BE5" w14:textId="77777777" w:rsidR="00C310FF" w:rsidRDefault="00C310FF" w:rsidP="002D09BC">
      <w:pPr>
        <w:rPr>
          <w:color w:val="0000FF"/>
        </w:rPr>
      </w:pPr>
    </w:p>
    <w:p w14:paraId="3A6260EE" w14:textId="4711B3C8" w:rsidR="00C310FF" w:rsidRDefault="00C310FF" w:rsidP="002D09BC">
      <w:pPr>
        <w:rPr>
          <w:color w:val="0000FF"/>
        </w:rPr>
      </w:pPr>
      <w:r>
        <w:rPr>
          <w:color w:val="0000FF"/>
        </w:rPr>
        <w:lastRenderedPageBreak/>
        <w:t>The triangle hedge does a very good job in between the two benchmark hedging tenors (T=0.25 and T=1.00), reducing the PNL standard deviation to less than 1.5% of its value when unhedged.</w:t>
      </w:r>
    </w:p>
    <w:p w14:paraId="6B2D61E6" w14:textId="77777777" w:rsidR="00C310FF" w:rsidRDefault="00C310FF" w:rsidP="002D09BC">
      <w:pPr>
        <w:rPr>
          <w:color w:val="0000FF"/>
        </w:rPr>
      </w:pPr>
    </w:p>
    <w:p w14:paraId="0D2AE9FC" w14:textId="4B7D30D1" w:rsidR="00C310FF" w:rsidRDefault="00C310FF" w:rsidP="002D09BC">
      <w:pPr>
        <w:rPr>
          <w:color w:val="0000FF"/>
        </w:rPr>
      </w:pPr>
      <w:r>
        <w:rPr>
          <w:color w:val="0000FF"/>
        </w:rPr>
        <w:t>It does somewhat worse for short tenors (T=0.10), but still reasonably well; but it performs quite poorly for long tenors (T=2.00). That’s because the triangle model assumes that the curve will move in parallel from 1y and out when it calculates the notional of the 1y forward to hedge the portfolio; but the real move for the 2y tenor will be less than that of the 1y tenor because of the mean reversion, so the triangle shock results in too large a notional of the 1y forward hedge.</w:t>
      </w:r>
    </w:p>
    <w:p w14:paraId="1491D457" w14:textId="77777777" w:rsidR="00EF4913" w:rsidRDefault="00EF4913" w:rsidP="002D09BC">
      <w:pPr>
        <w:rPr>
          <w:color w:val="0000FF"/>
        </w:rPr>
      </w:pPr>
    </w:p>
    <w:p w14:paraId="398BBED6" w14:textId="143AF2C8" w:rsidR="00EF4913" w:rsidRDefault="00EF4913" w:rsidP="002D09BC">
      <w:pPr>
        <w:rPr>
          <w:color w:val="0000FF"/>
        </w:rPr>
      </w:pPr>
      <w:r>
        <w:rPr>
          <w:color w:val="0000FF"/>
        </w:rPr>
        <w:t xml:space="preserve">The conclusion: the triangle shock approach to risk calculations is accurate so long as the benchmark tenors used for the hedges span most of the portfolio risk. </w:t>
      </w:r>
      <w:r w:rsidR="00EA0B3C">
        <w:rPr>
          <w:color w:val="0000FF"/>
        </w:rPr>
        <w:t>That’s a relief: it means we can construct risk reports using fairly simple-minded shocks and get about the same hedging performance we’d get with a much more complicated factor model.</w:t>
      </w:r>
    </w:p>
    <w:p w14:paraId="76D46EA9" w14:textId="77777777" w:rsidR="00EF4913" w:rsidRDefault="00EF4913" w:rsidP="002D09BC">
      <w:pPr>
        <w:rPr>
          <w:color w:val="0000FF"/>
        </w:rPr>
      </w:pPr>
    </w:p>
    <w:p w14:paraId="55EBFFE6" w14:textId="7644DCD0" w:rsidR="008E2AF7" w:rsidRDefault="008E2AF7" w:rsidP="002D09BC">
      <w:pPr>
        <w:rPr>
          <w:color w:val="0000FF"/>
        </w:rPr>
      </w:pPr>
      <w:r>
        <w:rPr>
          <w:color w:val="0000FF"/>
        </w:rPr>
        <w:t>Python code to reproduce:</w:t>
      </w:r>
    </w:p>
    <w:p w14:paraId="59C5045A" w14:textId="77777777" w:rsidR="008E2AF7" w:rsidRDefault="008E2AF7" w:rsidP="002D09BC">
      <w:pPr>
        <w:rPr>
          <w:color w:val="0000FF"/>
        </w:rPr>
      </w:pPr>
    </w:p>
    <w:p w14:paraId="67B5CEE3"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w:t>
      </w:r>
    </w:p>
    <w:p w14:paraId="44CEB667"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Copyright: Copyright (C) 2014  Washington Square Technologies - All Rights Reserved</w:t>
      </w:r>
    </w:p>
    <w:p w14:paraId="49386263"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Description: Functions for testing hedging power of different shock forms in hedging</w:t>
      </w:r>
    </w:p>
    <w:p w14:paraId="1323490F"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an FX forward with benchmark FX forwards.</w:t>
      </w:r>
    </w:p>
    <w:p w14:paraId="4BB676CD"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w:t>
      </w:r>
    </w:p>
    <w:p w14:paraId="31F872B6" w14:textId="77777777" w:rsidR="008E2AF7" w:rsidRPr="008E2AF7" w:rsidRDefault="008E2AF7" w:rsidP="008E2AF7">
      <w:pPr>
        <w:rPr>
          <w:rFonts w:ascii="Courier New" w:hAnsi="Courier New" w:cs="Courier New"/>
          <w:color w:val="0000FF"/>
          <w:sz w:val="12"/>
          <w:szCs w:val="12"/>
        </w:rPr>
      </w:pPr>
    </w:p>
    <w:p w14:paraId="23557A99"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import math</w:t>
      </w:r>
    </w:p>
    <w:p w14:paraId="214D0831"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import scipy</w:t>
      </w:r>
    </w:p>
    <w:p w14:paraId="233FF3A7" w14:textId="77777777" w:rsidR="008E2AF7" w:rsidRPr="008E2AF7" w:rsidRDefault="008E2AF7" w:rsidP="008E2AF7">
      <w:pPr>
        <w:rPr>
          <w:rFonts w:ascii="Courier New" w:hAnsi="Courier New" w:cs="Courier New"/>
          <w:color w:val="0000FF"/>
          <w:sz w:val="12"/>
          <w:szCs w:val="12"/>
        </w:rPr>
      </w:pPr>
    </w:p>
    <w:p w14:paraId="67731BD1" w14:textId="77777777" w:rsidR="008E2AF7" w:rsidRPr="008E2AF7" w:rsidRDefault="008E2AF7" w:rsidP="008E2AF7">
      <w:pPr>
        <w:rPr>
          <w:rFonts w:ascii="Courier New" w:hAnsi="Courier New" w:cs="Courier New"/>
          <w:color w:val="0000FF"/>
          <w:sz w:val="12"/>
          <w:szCs w:val="12"/>
        </w:rPr>
      </w:pPr>
    </w:p>
    <w:p w14:paraId="45FF0C13"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def hedge_stddev(sigma1, sigma2, beta1, beta2, rho, T, T1, T2, spot, Q, dt, nruns, seed, hedge_model):</w:t>
      </w:r>
    </w:p>
    <w:p w14:paraId="647F0500"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'''Runs a Monte Carlo simulation hedging a portfolio with an </w:t>
      </w:r>
    </w:p>
    <w:p w14:paraId="77EFB181"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FX forward settling at time T with FX forwards settling at </w:t>
      </w:r>
    </w:p>
    <w:p w14:paraId="4179A044"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times T1 and T2. Here we're hedging the non-USD interest rate</w:t>
      </w:r>
    </w:p>
    <w:p w14:paraId="72063B06"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sensitivity, and we'll assume that the asset currency is the</w:t>
      </w:r>
    </w:p>
    <w:p w14:paraId="74134BB7"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non-USD interest rate. The rate curve moves according to a</w:t>
      </w:r>
    </w:p>
    <w:p w14:paraId="234C931C"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parametric 2f model</w:t>
      </w:r>
    </w:p>
    <w:p w14:paraId="4BB454BD"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6023C002"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dQ(T) = sigma1 exp(-beta1 T) dz1(dt) + sigma2 exp(-beta2 T) dz2(dt)</w:t>
      </w:r>
    </w:p>
    <w:p w14:paraId="5689F566"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E[dz1(t) dz2(t)] = rho dt</w:t>
      </w:r>
    </w:p>
    <w:p w14:paraId="059840BF"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3CF88813"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It returns the standard deviation of the PNL after hedging.</w:t>
      </w:r>
    </w:p>
    <w:p w14:paraId="25890C95"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15B47524"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sigma1:      the volatility of the first parameter</w:t>
      </w:r>
    </w:p>
    <w:p w14:paraId="46FEA4B8"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sigma2:      the volatility of the second parameter</w:t>
      </w:r>
    </w:p>
    <w:p w14:paraId="3201FAFD"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beta1:       the mean reversion strength of the first parameter</w:t>
      </w:r>
    </w:p>
    <w:p w14:paraId="11069514"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beta2:       the mean reversion strength of the second parameter</w:t>
      </w:r>
    </w:p>
    <w:p w14:paraId="4491D996"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rho:         the correlation between the Brownian shocks</w:t>
      </w:r>
    </w:p>
    <w:p w14:paraId="2A55279C"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T:           the time to settlement of the unit FX forward position</w:t>
      </w:r>
    </w:p>
    <w:p w14:paraId="1FDD5687"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T1:          the time to settlement of the near hedge forward</w:t>
      </w:r>
    </w:p>
    <w:p w14:paraId="094D3E21"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T2:          the time to settlement of the far hedge forward</w:t>
      </w:r>
    </w:p>
    <w:p w14:paraId="73553D98"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spot:        the FX spot rate</w:t>
      </w:r>
    </w:p>
    <w:p w14:paraId="2828E69B"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Q:           the initial asset currency discount rate; assumed to be flat across the curve at the start</w:t>
      </w:r>
    </w:p>
    <w:p w14:paraId="4423A1D9"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dt:          the length of the time step the simulation advances over</w:t>
      </w:r>
    </w:p>
    <w:p w14:paraId="2604DDFF"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nruns:       the number of Monte Carlo runs</w:t>
      </w:r>
    </w:p>
    <w:p w14:paraId="23C54326"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seed:        the RNG seed</w:t>
      </w:r>
    </w:p>
    <w:p w14:paraId="61ADD588"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hedge_model: the string name of the hedging model to use. "Factor" means hedge according to</w:t>
      </w:r>
    </w:p>
    <w:p w14:paraId="64E59C3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the same factor model that drives moves in the curve; "Triangle" means hedge according</w:t>
      </w:r>
    </w:p>
    <w:p w14:paraId="57A7EE8F"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to the triangle shock model; and "None" means no hedging at all.</w:t>
      </w:r>
    </w:p>
    <w:p w14:paraId="6077BD56"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6CA780D4"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71063721"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initialize the random number generator with the seed passed in. This ensures that every</w:t>
      </w:r>
    </w:p>
    <w:p w14:paraId="167DDF68"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run will give the same results, so you can reproduce values.</w:t>
      </w:r>
    </w:p>
    <w:p w14:paraId="75F05A57"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20C6B956"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scipy.random.seed(seed)</w:t>
      </w:r>
    </w:p>
    <w:p w14:paraId="02C0EA4B"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3DE8EEC0"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generate the Brownian motion shocks. These are scipy.arrays with nruns elements; we're </w:t>
      </w:r>
    </w:p>
    <w:p w14:paraId="2C1C1BBD"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doing vectorized calculations again to make the calculation more efficient.</w:t>
      </w:r>
    </w:p>
    <w:p w14:paraId="4D60DFED"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187B5EC4"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sqrtdt = math.sqrt(dt)</w:t>
      </w:r>
    </w:p>
    <w:p w14:paraId="4FEF4C9C"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2A5ADA7C"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r1 = scipy.random.normal(0, sqrtdt, nruns)</w:t>
      </w:r>
    </w:p>
    <w:p w14:paraId="7A7C8A67"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r2 = scipy.random.normal(0, sqrtdt, nruns)</w:t>
      </w:r>
    </w:p>
    <w:p w14:paraId="16D69CF0"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424F5F0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dz1s = r1</w:t>
      </w:r>
    </w:p>
    <w:p w14:paraId="79FE7AF1"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dz2s = rho * r1 + math.sqrt(1 - rho * rho) * r2</w:t>
      </w:r>
    </w:p>
    <w:p w14:paraId="32BF6E1B"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lastRenderedPageBreak/>
        <w:t xml:space="preserve">    </w:t>
      </w:r>
    </w:p>
    <w:p w14:paraId="74EFD3B4"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generate the rate shocks for the three tenors: T, T1, and T2</w:t>
      </w:r>
    </w:p>
    <w:p w14:paraId="2F998EB0"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3103B7CD"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dQTs = sigma1 * math.exp(-beta1 * T)  * dz1s + sigma2 * math.exp(-beta2 * T)  * dz2s</w:t>
      </w:r>
    </w:p>
    <w:p w14:paraId="76AF0059"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dQ1s = sigma1 * math.exp(-beta1 * T1) * dz1s + sigma2 * math.exp(-beta2 * T1) * dz2s</w:t>
      </w:r>
    </w:p>
    <w:p w14:paraId="32AD3E1C"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dQ2s = sigma1 * math.exp(-beta1 * T2) * dz1s + sigma2 * math.exp(-beta2 * T2) * dz2s</w:t>
      </w:r>
    </w:p>
    <w:p w14:paraId="3B3481AD"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685FAAF4"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figure out the hedge notionals; this depends on the hedging model we're using</w:t>
      </w:r>
    </w:p>
    <w:p w14:paraId="392E3C11"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3DC32175"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if hedge_model == 'None':</w:t>
      </w:r>
    </w:p>
    <w:p w14:paraId="01E751B6"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no hedging; hedge quantities are zero</w:t>
      </w:r>
    </w:p>
    <w:p w14:paraId="22365C2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N1 = N2 = 0</w:t>
      </w:r>
    </w:p>
    <w:p w14:paraId="1A7B18DF"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elif hedge_model == 'Triangle':</w:t>
      </w:r>
    </w:p>
    <w:p w14:paraId="7F75EA6A"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use triangle rate shocks</w:t>
      </w:r>
    </w:p>
    <w:p w14:paraId="69AEE8A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762144EF"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if T &lt;= T1:</w:t>
      </w:r>
    </w:p>
    <w:p w14:paraId="755E69F9"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all rates for tenors &lt; T1 are moved in parallel when Q1 is shocked; Q(T)</w:t>
      </w:r>
    </w:p>
    <w:p w14:paraId="42147E0D"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gets no bump at all when Q2 is shocked</w:t>
      </w:r>
    </w:p>
    <w:p w14:paraId="273497A9"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27AAE731"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N1 = T / T1 * math.exp(-Q * (T - T1))</w:t>
      </w:r>
    </w:p>
    <w:p w14:paraId="62741080"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N2 = 0</w:t>
      </w:r>
    </w:p>
    <w:p w14:paraId="19A9E634"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elif T &gt;= T2:</w:t>
      </w:r>
    </w:p>
    <w:p w14:paraId="25F11B5B"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all rates for tenors &gt; T2 are moved in parallel when Q2 is shocked; Q(T)</w:t>
      </w:r>
    </w:p>
    <w:p w14:paraId="2DB329F5"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gets no bump at all when Q1 is shocked</w:t>
      </w:r>
    </w:p>
    <w:p w14:paraId="4D5D62D0"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12A491F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N1 = 0</w:t>
      </w:r>
    </w:p>
    <w:p w14:paraId="4E817B3D"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N2 = T / T2 * math.exp(-Q * (T - T2))</w:t>
      </w:r>
    </w:p>
    <w:p w14:paraId="5861B551"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else:</w:t>
      </w:r>
    </w:p>
    <w:p w14:paraId="3775BC51"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T is between T1 and T2 and gets a triangle shock from both Q1 and Q2 shocks</w:t>
      </w:r>
    </w:p>
    <w:p w14:paraId="3AC64BBD"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6454631B"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N1 = (T2 - T) / (T2 - T1) * T / T1 * math.exp(-Q * (T - T1))</w:t>
      </w:r>
    </w:p>
    <w:p w14:paraId="146AEDA9"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N2 = (T - T1) / (T2 - T1) * T / T2 * math.exp( Q * (T2 - T))</w:t>
      </w:r>
    </w:p>
    <w:p w14:paraId="652C209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68EC3E63"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elif hedge_model=='Factor':</w:t>
      </w:r>
    </w:p>
    <w:p w14:paraId="4A2258DF"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use shocks based on the factor model that's driving moves in the curve</w:t>
      </w:r>
    </w:p>
    <w:p w14:paraId="22B834FC"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0FD57673"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first shock: dQ1=1 unit, dQ2=0; figure out dz1 and dz2 that result in this move</w:t>
      </w:r>
    </w:p>
    <w:p w14:paraId="0B2DD786"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78B1D690"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dz1 = -1 / sigma1 * math.exp(beta1 * T2 - beta2 * (T2 - T1)) / (1 - math.exp((beta1 - beta2) * (T2 - T1)))</w:t>
      </w:r>
    </w:p>
    <w:p w14:paraId="59815CE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dz2 =  1 / sigma2 * math.exp(beta2 * T1)/(1 - math.exp((beta1 - beta2)*(T2 - T1)))</w:t>
      </w:r>
    </w:p>
    <w:p w14:paraId="52D6F1CC"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1B070910"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figure out the resulting shock to Q(T); this gets us dQ(T)/dQ1</w:t>
      </w:r>
    </w:p>
    <w:p w14:paraId="77F35824"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4D895929"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dQTdQ1 = sigma1 * math.exp(-beta1 * T) * dz1 + sigma2 * math.exp(-beta2 * T) * dz2</w:t>
      </w:r>
    </w:p>
    <w:p w14:paraId="292E4BF1"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7024326A"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second shock: dQ1=0, dQ2=1 unit; similarly get dz1 and dz2 that result in this move,</w:t>
      </w:r>
    </w:p>
    <w:p w14:paraId="37AF12DB"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and then get dQ(T)/dQ2</w:t>
      </w:r>
    </w:p>
    <w:p w14:paraId="52732942"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2702B0A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dz1 = -1 / sigma1 * math.exp(beta1 * T1 + beta2 * (T2 - T1)) / (1 - math.exp((beta2 - beta1) * (T2 - T1)))</w:t>
      </w:r>
    </w:p>
    <w:p w14:paraId="2D40C5AC"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dz2 =  1 / sigma2 * math.exp(beta2 * T2) / (1 - math.exp((beta2 - beta1) * (T2 - T1)))</w:t>
      </w:r>
    </w:p>
    <w:p w14:paraId="28EC35BF"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08D6A733"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dQTdQ2 = sigma1 * math.exp(-beta1 * T) * dz1 + sigma2 * math.exp(-beta2 * T) * dz2</w:t>
      </w:r>
    </w:p>
    <w:p w14:paraId="2DD8F598"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7752862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use these two partial derivatives to get the two hedge notionals</w:t>
      </w:r>
    </w:p>
    <w:p w14:paraId="33F29B3B"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7D39FE79"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N1 = dQTdQ1 *T / T1 * math.exp(-Q * (T - T1))</w:t>
      </w:r>
    </w:p>
    <w:p w14:paraId="34E45235"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N2 = dQTdQ2 *T / T2 * math.exp( Q * (T2 - T))</w:t>
      </w:r>
    </w:p>
    <w:p w14:paraId="3632849C"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else:</w:t>
      </w:r>
    </w:p>
    <w:p w14:paraId="4B1627D8"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raise ValueError('hedge_model must be "None", "Triangle", or "Factor"; not "' + hedge_model + '"')</w:t>
      </w:r>
    </w:p>
    <w:p w14:paraId="2C0354C6"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16D7F877"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calculate the portfolio PNLs under the rate shocks; for this we use the function for</w:t>
      </w:r>
    </w:p>
    <w:p w14:paraId="76639A1C"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the price of a forward settling at time t, v(t) = S exp(-Q(t) t) - K exp(-R(t) t). The</w:t>
      </w:r>
    </w:p>
    <w:p w14:paraId="661C1CC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change in the price of that forward under a rate shock dQ is then </w:t>
      </w:r>
    </w:p>
    <w:p w14:paraId="5F89F5C2"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dv(t) = S ( exp(-(Q+dQ) t) - exp(-Q t) ) - ie the PNL doesn't depend on the forward strike</w:t>
      </w:r>
    </w:p>
    <w:p w14:paraId="4AA5F508"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K or the denominated (USD) discount rate R.</w:t>
      </w:r>
    </w:p>
    <w:p w14:paraId="5BB620C7"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75144935"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pnls  =      spot * (scipy.exp(-(Q + dQTs) * T)  - scipy.exp(-Q * T))</w:t>
      </w:r>
    </w:p>
    <w:p w14:paraId="26496B12"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pnls -= N1 * spot * (scipy.exp(-(Q + dQ1s) * T1) - scipy.exp(-Q * T1))</w:t>
      </w:r>
    </w:p>
    <w:p w14:paraId="699D4BE8"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pnls -= N2 * spot * (scipy.exp(-(Q + dQ2s) * T2) - scipy.exp(-Q * T2))</w:t>
      </w:r>
    </w:p>
    <w:p w14:paraId="5275F03A"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118DBEF5"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return the simulation PNLs</w:t>
      </w:r>
    </w:p>
    <w:p w14:paraId="05E38756"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04CBA8EA"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return pnls.std()</w:t>
      </w:r>
    </w:p>
    <w:p w14:paraId="141BD51A" w14:textId="77777777" w:rsidR="008E2AF7" w:rsidRPr="008E2AF7" w:rsidRDefault="008E2AF7" w:rsidP="008E2AF7">
      <w:pPr>
        <w:rPr>
          <w:rFonts w:ascii="Courier New" w:hAnsi="Courier New" w:cs="Courier New"/>
          <w:color w:val="0000FF"/>
          <w:sz w:val="12"/>
          <w:szCs w:val="12"/>
        </w:rPr>
      </w:pPr>
    </w:p>
    <w:p w14:paraId="0ACB13DA" w14:textId="77777777" w:rsidR="008E2AF7" w:rsidRPr="008E2AF7" w:rsidRDefault="008E2AF7" w:rsidP="008E2AF7">
      <w:pPr>
        <w:rPr>
          <w:rFonts w:ascii="Courier New" w:hAnsi="Courier New" w:cs="Courier New"/>
          <w:color w:val="0000FF"/>
          <w:sz w:val="12"/>
          <w:szCs w:val="12"/>
        </w:rPr>
      </w:pPr>
    </w:p>
    <w:p w14:paraId="2BC537A9"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def test():</w:t>
      </w:r>
    </w:p>
    <w:p w14:paraId="47F52157"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'''Test out the MC sim'''</w:t>
      </w:r>
    </w:p>
    <w:p w14:paraId="220CE35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637B620A"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set up the model parameters per the assignment question</w:t>
      </w:r>
    </w:p>
    <w:p w14:paraId="0F6D121F"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665CE5BC"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sigma1 = 0.01</w:t>
      </w:r>
    </w:p>
    <w:p w14:paraId="14E63929"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sigma2 = 0.008</w:t>
      </w:r>
    </w:p>
    <w:p w14:paraId="5F2BA7E5"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beta1  = 0.5</w:t>
      </w:r>
    </w:p>
    <w:p w14:paraId="28D4D967"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beta2  = 0.1</w:t>
      </w:r>
    </w:p>
    <w:p w14:paraId="08A51CC3"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rho    = -0.4</w:t>
      </w:r>
    </w:p>
    <w:p w14:paraId="414D1E3C"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T1     = 0.25</w:t>
      </w:r>
    </w:p>
    <w:p w14:paraId="468DC2E1"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T2     = 1</w:t>
      </w:r>
    </w:p>
    <w:p w14:paraId="477A1ED5"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spot   = 1</w:t>
      </w:r>
    </w:p>
    <w:p w14:paraId="32FDBD34"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Q      = 0.03</w:t>
      </w:r>
    </w:p>
    <w:p w14:paraId="4B5035FA"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dt     = 1e-3</w:t>
      </w:r>
    </w:p>
    <w:p w14:paraId="5F33999A"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nruns  = 100000</w:t>
      </w:r>
    </w:p>
    <w:p w14:paraId="5998845B"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seed   = 1</w:t>
      </w:r>
    </w:p>
    <w:p w14:paraId="4B1A87FA"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53DF5165"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run through a range of values of T and look at the results for the</w:t>
      </w:r>
    </w:p>
    <w:p w14:paraId="394265C9"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three different hedging strategies</w:t>
      </w:r>
    </w:p>
    <w:p w14:paraId="43479E8B"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lastRenderedPageBreak/>
        <w:t xml:space="preserve">    </w:t>
      </w:r>
    </w:p>
    <w:p w14:paraId="2D9A2220"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Ts = [0.1, 0.25, 0.5, 0.75, 1, 2]</w:t>
      </w:r>
    </w:p>
    <w:p w14:paraId="0D1BE11F"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hedge_models = ['None','Triangle','Factor']</w:t>
      </w:r>
    </w:p>
    <w:p w14:paraId="01981E49"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43CE7697"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for T in Ts:</w:t>
      </w:r>
    </w:p>
    <w:p w14:paraId="62A84EC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print('Forward time',T)</w:t>
      </w:r>
    </w:p>
    <w:p w14:paraId="6DE412D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for hedge_model in hedge_models:</w:t>
      </w:r>
    </w:p>
    <w:p w14:paraId="61B4CD47"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std = hedge_stddev(sigma1, sigma2, beta1, beta2, rho, T, T1, T2, spot, Q, dt, nruns, seed, hedge_model)</w:t>
      </w:r>
    </w:p>
    <w:p w14:paraId="7033F5BB"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print('   hedge model', hedge_model, 'standard deviation is', std * 1e4)</w:t>
      </w:r>
    </w:p>
    <w:p w14:paraId="1466F814"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print()</w:t>
      </w:r>
    </w:p>
    <w:p w14:paraId="4D47D588" w14:textId="77777777" w:rsidR="008E2AF7" w:rsidRPr="008E2AF7" w:rsidRDefault="008E2AF7" w:rsidP="008E2AF7">
      <w:pPr>
        <w:rPr>
          <w:rFonts w:ascii="Courier New" w:hAnsi="Courier New" w:cs="Courier New"/>
          <w:color w:val="0000FF"/>
          <w:sz w:val="12"/>
          <w:szCs w:val="12"/>
        </w:rPr>
      </w:pPr>
    </w:p>
    <w:p w14:paraId="57D79A12"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053E9250"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if __name__=="__main__":</w:t>
      </w:r>
    </w:p>
    <w:p w14:paraId="4C7FBE82"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test()</w:t>
      </w:r>
    </w:p>
    <w:p w14:paraId="5BBC6AF3" w14:textId="77777777" w:rsidR="008E2AF7" w:rsidRPr="008E2AF7" w:rsidRDefault="008E2AF7" w:rsidP="008E2AF7">
      <w:pPr>
        <w:rPr>
          <w:rFonts w:ascii="Courier New" w:hAnsi="Courier New" w:cs="Courier New"/>
          <w:color w:val="0000FF"/>
          <w:sz w:val="12"/>
          <w:szCs w:val="12"/>
        </w:rPr>
      </w:pPr>
    </w:p>
    <w:p w14:paraId="4AD81BE3" w14:textId="77777777" w:rsidR="008E2AF7" w:rsidRPr="00E02168" w:rsidRDefault="008E2AF7" w:rsidP="002D09BC">
      <w:pPr>
        <w:rPr>
          <w:color w:val="0000FF"/>
        </w:rPr>
      </w:pPr>
    </w:p>
    <w:sectPr w:rsidR="008E2AF7" w:rsidRPr="00E02168"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7C4BF5"/>
    <w:multiLevelType w:val="hybridMultilevel"/>
    <w:tmpl w:val="58C8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57A1"/>
    <w:rsid w:val="00002959"/>
    <w:rsid w:val="00112621"/>
    <w:rsid w:val="001941E9"/>
    <w:rsid w:val="001B45E6"/>
    <w:rsid w:val="00266A41"/>
    <w:rsid w:val="002D09BC"/>
    <w:rsid w:val="003757A1"/>
    <w:rsid w:val="003F3395"/>
    <w:rsid w:val="00405489"/>
    <w:rsid w:val="00536913"/>
    <w:rsid w:val="005E55E3"/>
    <w:rsid w:val="00621163"/>
    <w:rsid w:val="00741978"/>
    <w:rsid w:val="00822676"/>
    <w:rsid w:val="00853A3C"/>
    <w:rsid w:val="008E0764"/>
    <w:rsid w:val="008E2AF7"/>
    <w:rsid w:val="009D7BF9"/>
    <w:rsid w:val="00B60E9F"/>
    <w:rsid w:val="00BA6B90"/>
    <w:rsid w:val="00BF6AAC"/>
    <w:rsid w:val="00C310FF"/>
    <w:rsid w:val="00CE2212"/>
    <w:rsid w:val="00E02168"/>
    <w:rsid w:val="00E731C4"/>
    <w:rsid w:val="00EA0B3C"/>
    <w:rsid w:val="00EF4913"/>
    <w:rsid w:val="00F20FA7"/>
    <w:rsid w:val="00F2436B"/>
    <w:rsid w:val="00F31B87"/>
    <w:rsid w:val="00FD1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5ED55"/>
  <w14:defaultImageDpi w14:val="300"/>
  <w15:docId w15:val="{A1FDA7A4-A428-4ECB-9D5E-BAB77D47A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461934">
      <w:bodyDiv w:val="1"/>
      <w:marLeft w:val="0"/>
      <w:marRight w:val="0"/>
      <w:marTop w:val="0"/>
      <w:marBottom w:val="0"/>
      <w:divBdr>
        <w:top w:val="none" w:sz="0" w:space="0" w:color="auto"/>
        <w:left w:val="none" w:sz="0" w:space="0" w:color="auto"/>
        <w:bottom w:val="none" w:sz="0" w:space="0" w:color="auto"/>
        <w:right w:val="none" w:sz="0" w:space="0" w:color="auto"/>
      </w:divBdr>
    </w:div>
    <w:div w:id="19433392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2930</Words>
  <Characters>16702</Characters>
  <Application>Microsoft Office Word</Application>
  <DocSecurity>0</DocSecurity>
  <Lines>139</Lines>
  <Paragraphs>39</Paragraphs>
  <ScaleCrop>false</ScaleCrop>
  <Company/>
  <LinksUpToDate>false</LinksUpToDate>
  <CharactersWithSpaces>19593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18</cp:revision>
  <dcterms:created xsi:type="dcterms:W3CDTF">2014-11-11T17:06:00Z</dcterms:created>
  <dcterms:modified xsi:type="dcterms:W3CDTF">2019-09-18T18:54:00Z</dcterms:modified>
</cp:coreProperties>
</file>