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090ADE" w:rsidP="008D657C">
      <w:hyperlink r:id="rId5" w:history="1">
        <w:r w:rsidR="008D657C">
          <w:rPr>
            <w:rStyle w:val="Hyperlink"/>
          </w:rPr>
          <w:t>https://learn.sparkfun.com/tu</w:t>
        </w:r>
        <w:r w:rsidR="008D657C">
          <w:rPr>
            <w:rStyle w:val="Hyperlink"/>
          </w:rPr>
          <w:t>t</w:t>
        </w:r>
        <w:r w:rsidR="008D657C">
          <w:rPr>
            <w:rStyle w:val="Hyperlink"/>
          </w:rPr>
          <w:t>orials/serial-communication/all</w:t>
        </w:r>
      </w:hyperlink>
    </w:p>
    <w:p w14:paraId="6FE96B2A" w14:textId="5D5A9C70" w:rsidR="008D657C" w:rsidRDefault="00090ADE" w:rsidP="008D657C">
      <w:hyperlink r:id="rId6"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090ADE" w:rsidP="00A50268">
      <w:hyperlink r:id="rId7" w:history="1">
        <w:r w:rsidR="00A50268">
          <w:rPr>
            <w:rStyle w:val="Hyperlink"/>
          </w:rPr>
          <w:t>https://learn.sparkfun.co</w:t>
        </w:r>
        <w:r w:rsidR="00A50268">
          <w:rPr>
            <w:rStyle w:val="Hyperlink"/>
          </w:rPr>
          <w:t>m</w:t>
        </w:r>
        <w:r w:rsidR="00A50268">
          <w:rPr>
            <w:rStyle w:val="Hyperlink"/>
          </w:rPr>
          <w:t>/tutorials/serial-peripheral-interface-spi/all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t xml:space="preserve">Accelerometer, gyroscope and magnetometer theory </w:t>
      </w:r>
    </w:p>
    <w:p w14:paraId="2DF5D359" w14:textId="00718CDA" w:rsidR="00A9417E" w:rsidRDefault="00A9417E" w:rsidP="00A50268">
      <w:pPr>
        <w:pStyle w:val="ListParagraph"/>
        <w:numPr>
          <w:ilvl w:val="0"/>
          <w:numId w:val="1"/>
        </w:numPr>
      </w:pPr>
      <w:r>
        <w:t xml:space="preserve">Getting angles from the three theory </w:t>
      </w:r>
    </w:p>
    <w:p w14:paraId="56697D8E" w14:textId="41976CD0" w:rsidR="00A9417E" w:rsidRDefault="00A9417E" w:rsidP="00A50268">
      <w:pPr>
        <w:pStyle w:val="ListParagraph"/>
        <w:numPr>
          <w:ilvl w:val="0"/>
          <w:numId w:val="1"/>
        </w:numPr>
      </w:pPr>
      <w:r>
        <w:t>Gyroscope noise, gimbal lock</w:t>
      </w:r>
    </w:p>
    <w:p w14:paraId="510AA984" w14:textId="74D1681C" w:rsidR="002A100B" w:rsidRPr="00A50268" w:rsidRDefault="002A100B" w:rsidP="00612755">
      <w:pPr>
        <w:pStyle w:val="ListParagraph"/>
        <w:numPr>
          <w:ilvl w:val="0"/>
          <w:numId w:val="1"/>
        </w:numPr>
      </w:pPr>
      <w:r>
        <w:t>sensor accel, gyro and magnetometer offsets and noise and cross-axis sensitivity</w:t>
      </w:r>
    </w:p>
    <w:p w14:paraId="6AF7899A" w14:textId="7CF82D41" w:rsidR="002B0042" w:rsidRDefault="002B0042">
      <w:pPr>
        <w:rPr>
          <w:b/>
        </w:rPr>
      </w:pPr>
      <w:r w:rsidRPr="008D657C">
        <w:rPr>
          <w:b/>
        </w:rPr>
        <w:t>Complementary Filter</w:t>
      </w:r>
    </w:p>
    <w:p w14:paraId="57ECFEC3" w14:textId="5200697A" w:rsidR="002264AF" w:rsidRDefault="002264AF" w:rsidP="002264AF">
      <w:pPr>
        <w:pStyle w:val="ListParagraph"/>
        <w:numPr>
          <w:ilvl w:val="0"/>
          <w:numId w:val="1"/>
        </w:numPr>
      </w:pPr>
      <w:r>
        <w:t>Complementary filter equation</w:t>
      </w:r>
    </w:p>
    <w:p w14:paraId="74DB5458" w14:textId="6718D0B5" w:rsidR="002264AF" w:rsidRDefault="002264AF" w:rsidP="002264AF">
      <w:pPr>
        <w:pStyle w:val="ListParagraph"/>
        <w:numPr>
          <w:ilvl w:val="0"/>
          <w:numId w:val="1"/>
        </w:numPr>
      </w:pPr>
      <w:r>
        <w:t>Theory</w:t>
      </w:r>
    </w:p>
    <w:p w14:paraId="3E0B9EA6" w14:textId="0AA9AD8C" w:rsidR="00612755" w:rsidRDefault="00090ADE" w:rsidP="00612755">
      <w:hyperlink r:id="rId8" w:history="1">
        <w:r w:rsidR="00612755">
          <w:rPr>
            <w:rStyle w:val="Hyperlink"/>
          </w:rPr>
          <w:t>https://www.pieter-jan.com/node/11</w:t>
        </w:r>
      </w:hyperlink>
    </w:p>
    <w:p w14:paraId="2A737F8B" w14:textId="6ECF9175" w:rsidR="00612755" w:rsidRPr="002264AF" w:rsidRDefault="00090ADE" w:rsidP="00612755">
      <w:hyperlink r:id="rId9"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t>Bluetooth Wireless</w:t>
      </w:r>
    </w:p>
    <w:p w14:paraId="696F4A75" w14:textId="63704B54" w:rsidR="002B0042" w:rsidRDefault="002B0042">
      <w:pPr>
        <w:rPr>
          <w:b/>
        </w:rPr>
      </w:pPr>
      <w:r w:rsidRPr="008D657C">
        <w:rPr>
          <w:b/>
        </w:rPr>
        <w:lastRenderedPageBreak/>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Default="002B0042">
      <w:pPr>
        <w:rPr>
          <w:b/>
        </w:rPr>
      </w:pPr>
      <w:r w:rsidRPr="008D657C">
        <w:rPr>
          <w:b/>
        </w:rPr>
        <w:t xml:space="preserve">Euler Angles </w:t>
      </w:r>
    </w:p>
    <w:p w14:paraId="1673B7F6" w14:textId="2C0C168A" w:rsidR="002264AF" w:rsidRDefault="002264AF" w:rsidP="002264AF">
      <w:pPr>
        <w:pStyle w:val="ListParagraph"/>
        <w:numPr>
          <w:ilvl w:val="0"/>
          <w:numId w:val="1"/>
        </w:numPr>
      </w:pPr>
      <w:r>
        <w:t>Gimbal lock</w:t>
      </w:r>
    </w:p>
    <w:p w14:paraId="66C9684C" w14:textId="3A164406" w:rsidR="00612755" w:rsidRDefault="00612755" w:rsidP="002264AF">
      <w:pPr>
        <w:pStyle w:val="ListParagraph"/>
        <w:numPr>
          <w:ilvl w:val="0"/>
          <w:numId w:val="1"/>
        </w:numPr>
      </w:pPr>
      <w:r>
        <w:t>Theory</w:t>
      </w:r>
    </w:p>
    <w:p w14:paraId="033C79DE" w14:textId="7FD70030" w:rsidR="00612755" w:rsidRDefault="00090ADE" w:rsidP="00612755">
      <w:hyperlink r:id="rId10" w:history="1">
        <w:r w:rsidR="00612755">
          <w:rPr>
            <w:rStyle w:val="Hyperlink"/>
          </w:rPr>
          <w:t>https://en.wikipedia.org/wiki/Euler_angles</w:t>
        </w:r>
      </w:hyperlink>
    </w:p>
    <w:p w14:paraId="762F39BB" w14:textId="666DA068" w:rsidR="00612755" w:rsidRDefault="00090ADE" w:rsidP="00612755">
      <w:pPr>
        <w:rPr>
          <w:rStyle w:val="Hyperlink"/>
        </w:rPr>
      </w:pPr>
      <w:hyperlink r:id="rId11"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lastRenderedPageBreak/>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w:t>
      </w:r>
      <w:proofErr w:type="gramStart"/>
      <w:r w:rsidR="00E300FA">
        <w:rPr>
          <w:rStyle w:val="Hyperlink"/>
          <w:color w:val="auto"/>
          <w:u w:val="none"/>
        </w:rPr>
        <w:t>even,</w:t>
      </w:r>
      <w:proofErr w:type="gramEnd"/>
      <w:r w:rsidR="00E300FA">
        <w:rPr>
          <w:rStyle w:val="Hyperlink"/>
          <w:color w:val="auto"/>
          <w:u w:val="none"/>
        </w:rPr>
        <w:t xml:space="preserve">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xml:space="preserve">– The Master Out Slave </w:t>
      </w:r>
      <w:proofErr w:type="gramStart"/>
      <w:r>
        <w:rPr>
          <w:rStyle w:val="Hyperlink"/>
          <w:color w:val="auto"/>
          <w:u w:val="none"/>
        </w:rPr>
        <w:t>In</w:t>
      </w:r>
      <w:proofErr w:type="gramEnd"/>
      <w:r>
        <w:rPr>
          <w:rStyle w:val="Hyperlink"/>
          <w:color w:val="auto"/>
          <w:u w:val="none"/>
        </w:rPr>
        <w:t xml:space="preserve">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lastRenderedPageBreak/>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bookmarkStart w:id="0" w:name="_GoBack"/>
      <w:bookmarkEnd w:id="0"/>
    </w:p>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3F97F86A" w:rsidR="001602A8" w:rsidRPr="002264AF" w:rsidRDefault="001602A8" w:rsidP="00612755"/>
    <w:sectPr w:rsidR="001602A8" w:rsidRPr="002264AF"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C5"/>
    <w:rsid w:val="00090ADE"/>
    <w:rsid w:val="000D26C5"/>
    <w:rsid w:val="000F6B37"/>
    <w:rsid w:val="00155827"/>
    <w:rsid w:val="001602A8"/>
    <w:rsid w:val="001A6446"/>
    <w:rsid w:val="001B367C"/>
    <w:rsid w:val="001F3DE6"/>
    <w:rsid w:val="00201C53"/>
    <w:rsid w:val="002264AF"/>
    <w:rsid w:val="002423E9"/>
    <w:rsid w:val="002778A7"/>
    <w:rsid w:val="002A100B"/>
    <w:rsid w:val="002B0042"/>
    <w:rsid w:val="002E033A"/>
    <w:rsid w:val="003A5795"/>
    <w:rsid w:val="003B5E34"/>
    <w:rsid w:val="003C3595"/>
    <w:rsid w:val="00430315"/>
    <w:rsid w:val="004977EF"/>
    <w:rsid w:val="00612755"/>
    <w:rsid w:val="006F08CF"/>
    <w:rsid w:val="006F6CB4"/>
    <w:rsid w:val="007268D7"/>
    <w:rsid w:val="008D657C"/>
    <w:rsid w:val="009412FA"/>
    <w:rsid w:val="0094294E"/>
    <w:rsid w:val="00955369"/>
    <w:rsid w:val="009E4394"/>
    <w:rsid w:val="009E58F4"/>
    <w:rsid w:val="00A50268"/>
    <w:rsid w:val="00A9417E"/>
    <w:rsid w:val="00BA61D2"/>
    <w:rsid w:val="00C138BB"/>
    <w:rsid w:val="00C309AF"/>
    <w:rsid w:val="00C57186"/>
    <w:rsid w:val="00CF478D"/>
    <w:rsid w:val="00D6414E"/>
    <w:rsid w:val="00E006F7"/>
    <w:rsid w:val="00E300FA"/>
    <w:rsid w:val="00EB75D6"/>
    <w:rsid w:val="00EC1BEE"/>
    <w:rsid w:val="00F062D7"/>
    <w:rsid w:val="00F925CE"/>
    <w:rsid w:val="00FE0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9DC8EDC8-A442-4E90-B2FE-0776A23F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eter-jan.com/node/1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arn.sparkfun.com/tutorials/serial-peripheral-interface-spi/al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basics.com/basics-uart-communication/" TargetMode="External"/><Relationship Id="rId11" Type="http://schemas.openxmlformats.org/officeDocument/2006/relationships/hyperlink" Target="https://en.wikipedia.org/wiki/Gimbal_lock" TargetMode="External"/><Relationship Id="rId5" Type="http://schemas.openxmlformats.org/officeDocument/2006/relationships/hyperlink" Target="https://learn.sparkfun.com/tutorials/serial-communication/all" TargetMode="External"/><Relationship Id="rId15" Type="http://schemas.openxmlformats.org/officeDocument/2006/relationships/theme" Target="theme/theme1.xml"/><Relationship Id="rId10" Type="http://schemas.openxmlformats.org/officeDocument/2006/relationships/hyperlink" Target="https://en.wikipedia.org/wiki/Euler_angles" TargetMode="External"/><Relationship Id="rId4" Type="http://schemas.openxmlformats.org/officeDocument/2006/relationships/webSettings" Target="webSettings.xml"/><Relationship Id="rId9" Type="http://schemas.openxmlformats.org/officeDocument/2006/relationships/hyperlink" Target="https://www.researchgate.net/publication/308850497_MEMS_based_IMU_for_tilting_measurement_Comparison_of_complementary_and_kalman_filter_based_data_fusion/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(s) Zbigniew Druzbacki</cp:lastModifiedBy>
  <cp:revision>21</cp:revision>
  <dcterms:created xsi:type="dcterms:W3CDTF">2019-05-02T20:36:00Z</dcterms:created>
  <dcterms:modified xsi:type="dcterms:W3CDTF">2019-05-03T14:52:00Z</dcterms:modified>
</cp:coreProperties>
</file>