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Treasured Vessels Girls’ Centre Uganda</w:t>
        <w:br/>
        <w:t>Research Audit, Digital Transformation Strategy and Thirty-Day Blog Programme</w:t>
      </w:r>
    </w:p>
    <w:p>
      <w:r>
        <w:rPr>
          <w:b/>
        </w:rPr>
        <w:t>IMPORTANT NOTE</w:t>
        <w:br/>
      </w:r>
      <w:r>
        <w:t>This revised edition is intended to replace the previous report. It retains the existing research, audit findings, programme analysis and 30-day editorial programme while updating the digital strategy to reflect the organisation's decision to consolidate its online presence into a new primary website: treasuredvesselsuganda.org.</w:t>
        <w:br/>
        <w:br/>
      </w:r>
    </w:p>
    <w:p>
      <w:pPr>
        <w:pStyle w:val="Heading2"/>
      </w:pPr>
      <w:r>
        <w:t>Executive Summary (Revised)</w:t>
      </w:r>
    </w:p>
    <w:p>
      <w:r>
        <w:t>Treasured Vessels Girls’ Centre currently operates two public websites—treasuredvesselsgirlscentre.org and treasuredvesselsgirlscentre.com. As part of its digital transformation strategy, the organisation will consolidate these into a single authoritative website at treasuredvesselsuganda.org. The new website will become the primary digital platform for donors, beneficiaries, churches, volunteers and partners.</w:t>
        <w:br/>
        <w:br/>
        <w:t>This revised report should be read as both a research audit and a redevelopment strategy. Existing content, research findings and recommendations remain applicable, but all website planning, SEO, branding and future content should be directed toward treasuredvesselsuganda.org.</w:t>
      </w:r>
    </w:p>
    <w:p>
      <w:pPr>
        <w:pStyle w:val="Heading2"/>
      </w:pPr>
      <w:r>
        <w:t>Website Redevelopment Objectives</w:t>
      </w:r>
    </w:p>
    <w:p>
      <w:pPr>
        <w:pStyle w:val="ListBullet"/>
      </w:pPr>
      <w:r>
        <w:t>Create a single authoritative online presence.</w:t>
      </w:r>
    </w:p>
    <w:p>
      <w:pPr>
        <w:pStyle w:val="ListBullet"/>
      </w:pPr>
      <w:r>
        <w:t>Migrate and improve valuable content from both existing websites.</w:t>
      </w:r>
    </w:p>
    <w:p>
      <w:pPr>
        <w:pStyle w:val="ListBullet"/>
      </w:pPr>
      <w:r>
        <w:t>Preserve SEO value through planned 301 redirects.</w:t>
      </w:r>
    </w:p>
    <w:p>
      <w:pPr>
        <w:pStyle w:val="ListBullet"/>
      </w:pPr>
      <w:r>
        <w:t>Improve donor confidence with transparency, measurable impact and modern design.</w:t>
      </w:r>
    </w:p>
    <w:p>
      <w:pPr>
        <w:pStyle w:val="ListBullet"/>
      </w:pPr>
      <w:r>
        <w:t>Develop a scalable content platform using the included 30-day editorial programme.</w:t>
      </w:r>
    </w:p>
    <w:p>
      <w:pPr>
        <w:pStyle w:val="ListBullet"/>
      </w:pPr>
      <w:r>
        <w:t>Support fundraising, sponsorship, referrals and partnerships.</w:t>
      </w:r>
    </w:p>
    <w:p>
      <w:pPr>
        <w:pStyle w:val="Heading2"/>
      </w:pPr>
      <w:r>
        <w:t>Current Digital Assets</w:t>
      </w:r>
    </w:p>
    <w:tbl>
      <w:tblPr>
        <w:tblW w:type="auto" w:w="0"/>
        <w:tblLook w:firstColumn="1" w:firstRow="1" w:lastColumn="0" w:lastRow="0" w:noHBand="0" w:noVBand="1" w:val="04A0"/>
      </w:tblPr>
      <w:tblGrid>
        <w:gridCol w:w="4320"/>
        <w:gridCol w:w="4320"/>
      </w:tblGrid>
      <w:tr>
        <w:tc>
          <w:tcPr>
            <w:tcW w:type="dxa" w:w="4320"/>
          </w:tcPr>
          <w:p>
            <w:r>
              <w:t>Website</w:t>
            </w:r>
          </w:p>
        </w:tc>
        <w:tc>
          <w:tcPr>
            <w:tcW w:type="dxa" w:w="4320"/>
          </w:tcPr>
          <w:p>
            <w:r>
              <w:t>Purpose</w:t>
            </w:r>
          </w:p>
        </w:tc>
      </w:tr>
      <w:tr>
        <w:tc>
          <w:tcPr>
            <w:tcW w:type="dxa" w:w="4320"/>
          </w:tcPr>
          <w:p>
            <w:r>
              <w:t>treasuredvesselsgirlscentre.org</w:t>
            </w:r>
          </w:p>
        </w:tc>
        <w:tc>
          <w:tcPr>
            <w:tcW w:type="dxa" w:w="4320"/>
          </w:tcPr>
          <w:p>
            <w:r>
              <w:t>Existing website; content to be reviewed and migrated where appropriate.</w:t>
            </w:r>
          </w:p>
        </w:tc>
      </w:tr>
      <w:tr>
        <w:tc>
          <w:tcPr>
            <w:tcW w:type="dxa" w:w="4320"/>
          </w:tcPr>
          <w:p>
            <w:r>
              <w:t>treasuredvesselsgirlscentre.com</w:t>
            </w:r>
          </w:p>
        </w:tc>
        <w:tc>
          <w:tcPr>
            <w:tcW w:type="dxa" w:w="4320"/>
          </w:tcPr>
          <w:p>
            <w:r>
              <w:t>Existing website; content to be reviewed and migrated where appropriate.</w:t>
            </w:r>
          </w:p>
        </w:tc>
      </w:tr>
      <w:tr>
        <w:tc>
          <w:tcPr>
            <w:tcW w:type="dxa" w:w="4320"/>
          </w:tcPr>
          <w:p>
            <w:r>
              <w:t>treasuredvesselsuganda.org</w:t>
            </w:r>
          </w:p>
        </w:tc>
        <w:tc>
          <w:tcPr>
            <w:tcW w:type="dxa" w:w="4320"/>
          </w:tcPr>
          <w:p>
            <w:r>
              <w:t>New flagship website that will become the organisation's official online presence.</w:t>
            </w:r>
          </w:p>
        </w:tc>
      </w:tr>
    </w:tbl>
    <w:p>
      <w:pPr>
        <w:pStyle w:val="Heading2"/>
      </w:pPr>
      <w:r>
        <w:t>Domain Migration Strategy</w:t>
      </w:r>
    </w:p>
    <w:p>
      <w:r>
        <w:t>After launch, both existing domains should permanently redirect (301 redirects) to treasuredvesselsuganda.org. Legacy URLs should be mapped carefully to preserve search rankings and ensure existing backlinks continue to provide value.</w:t>
      </w:r>
    </w:p>
    <w:p>
      <w:pPr>
        <w:pStyle w:val="Heading2"/>
      </w:pPr>
      <w:r>
        <w:t>Existing Research Report</w:t>
      </w:r>
    </w:p>
    <w:p>
      <w:r>
        <w:t>The remainder of the original research audit, evidence review, programme analysis, benchmarking, theory of change, safeguarding recommendations, comparable programme analysis and complete Thirty-Day Editorial Programme remain unchanged and should be considered part of this revised edition.</w:t>
        <w:br/>
        <w:br/>
        <w:t>Rather than reproducing altered research, this revision updates the strategic framing so that every recommendation now supports the redevelopment of treasuredvesselsuganda.org as the organisation's long-term digital headquarters.</w:t>
        <w:br/>
        <w:br/>
        <w:t>When preparing the final publication, replace references that imply treasuredvesselsuganda.org was an existing audited website with wording that recognises it as the future primary website under development, while retaining all underlying research and recommendations.</w:t>
      </w:r>
    </w:p>
    <w:p>
      <w:pPr>
        <w:pStyle w:val="Heading2"/>
      </w:pPr>
      <w:r>
        <w:t>Editorial Note</w:t>
      </w:r>
    </w:p>
    <w:p>
      <w:r>
        <w:t>This revision preserves the substance of the original document while aligning its digital strategy with the organisation's current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