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B337F8"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spacing w:before="320" w:after="120"/>
        <w:outlineLvl w:val="1"/>
        <w:rPr>
          <w:rFonts w:ascii="Segoe UI" w:eastAsia="Times New Roman" w:hAnsi="Segoe UI" w:cs="Segoe UI"/>
          <w:b/>
          <w:bCs/>
          <w:color w:val="0D0D0D"/>
          <w:kern w:val="0"/>
          <w:sz w:val="32"/>
          <w:szCs w:val="32"/>
          <w:lang w:eastAsia="en-GB"/>
          <w14:ligatures w14:val="none"/>
        </w:rPr>
      </w:pPr>
      <w:r w:rsidRPr="00D0732F">
        <w:rPr>
          <w:rFonts w:ascii="Segoe UI" w:eastAsia="Times New Roman" w:hAnsi="Segoe UI" w:cs="Segoe UI"/>
          <w:b/>
          <w:bCs/>
          <w:color w:val="0D0D0D"/>
          <w:kern w:val="0"/>
          <w:sz w:val="32"/>
          <w:szCs w:val="32"/>
          <w:lang w:eastAsia="en-GB"/>
          <w14:ligatures w14:val="none"/>
        </w:rPr>
        <w:t>Thirty-day editorial programme</w:t>
      </w:r>
    </w:p>
    <w:p w14:paraId="3A76D6C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color w:val="0D0D0D"/>
          <w:kern w:val="0"/>
          <w:sz w:val="22"/>
          <w:szCs w:val="22"/>
          <w:lang w:eastAsia="en-GB"/>
          <w14:ligatures w14:val="none"/>
        </w:rPr>
        <w:t>The calendar is designed for a launch beginning Monday 10 August 2026 and ending Tuesday 8 September 2026. Dates may be shifted while retaining the sequence. Each daily brief is intended to guide a 700–1,000-word standard article; the four marked </w:t>
      </w:r>
      <w:r w:rsidRPr="00D0732F">
        <w:rPr>
          <w:rFonts w:ascii="Segoe UI" w:eastAsia="Times New Roman" w:hAnsi="Segoe UI" w:cs="Segoe UI"/>
          <w:b/>
          <w:bCs/>
          <w:color w:val="0D0D0D"/>
          <w:kern w:val="0"/>
          <w:sz w:val="22"/>
          <w:szCs w:val="22"/>
          <w:bdr w:val="single" w:sz="2" w:space="0" w:color="auto" w:frame="1"/>
          <w:lang w:eastAsia="en-GB"/>
          <w14:ligatures w14:val="none"/>
        </w:rPr>
        <w:t>Pillar</w:t>
      </w:r>
      <w:r w:rsidRPr="00D0732F">
        <w:rPr>
          <w:rFonts w:ascii="Segoe UI" w:eastAsia="Times New Roman" w:hAnsi="Segoe UI" w:cs="Segoe UI"/>
          <w:color w:val="0D0D0D"/>
          <w:kern w:val="0"/>
          <w:sz w:val="22"/>
          <w:szCs w:val="22"/>
          <w:lang w:eastAsia="en-GB"/>
          <w14:ligatures w14:val="none"/>
        </w:rPr>
        <w:t> articles should be approximately 1,800–2,500 words. The eight marked </w:t>
      </w:r>
      <w:r w:rsidRPr="00D0732F">
        <w:rPr>
          <w:rFonts w:ascii="Segoe UI" w:eastAsia="Times New Roman" w:hAnsi="Segoe UI" w:cs="Segoe UI"/>
          <w:b/>
          <w:bCs/>
          <w:color w:val="0D0D0D"/>
          <w:kern w:val="0"/>
          <w:sz w:val="22"/>
          <w:szCs w:val="22"/>
          <w:bdr w:val="single" w:sz="2" w:space="0" w:color="auto" w:frame="1"/>
          <w:lang w:eastAsia="en-GB"/>
          <w14:ligatures w14:val="none"/>
        </w:rPr>
        <w:t>Social-ready</w:t>
      </w:r>
      <w:r w:rsidRPr="00D0732F">
        <w:rPr>
          <w:rFonts w:ascii="Segoe UI" w:eastAsia="Times New Roman" w:hAnsi="Segoe UI" w:cs="Segoe UI"/>
          <w:color w:val="0D0D0D"/>
          <w:kern w:val="0"/>
          <w:sz w:val="22"/>
          <w:szCs w:val="22"/>
          <w:lang w:eastAsia="en-GB"/>
          <w14:ligatures w14:val="none"/>
        </w:rPr>
        <w:t xml:space="preserve"> entries include a caption that can be adapted for Facebook </w:t>
      </w:r>
      <w:proofErr w:type="gramStart"/>
      <w:r w:rsidRPr="00D0732F">
        <w:rPr>
          <w:rFonts w:ascii="Segoe UI" w:eastAsia="Times New Roman" w:hAnsi="Segoe UI" w:cs="Segoe UI"/>
          <w:color w:val="0D0D0D"/>
          <w:kern w:val="0"/>
          <w:sz w:val="22"/>
          <w:szCs w:val="22"/>
          <w:lang w:eastAsia="en-GB"/>
          <w14:ligatures w14:val="none"/>
        </w:rPr>
        <w:t>and,</w:t>
      </w:r>
      <w:proofErr w:type="gramEnd"/>
      <w:r w:rsidRPr="00D0732F">
        <w:rPr>
          <w:rFonts w:ascii="Segoe UI" w:eastAsia="Times New Roman" w:hAnsi="Segoe UI" w:cs="Segoe UI"/>
          <w:color w:val="0D0D0D"/>
          <w:kern w:val="0"/>
          <w:sz w:val="22"/>
          <w:szCs w:val="22"/>
          <w:lang w:eastAsia="en-GB"/>
          <w14:ligatures w14:val="none"/>
        </w:rPr>
        <w:t xml:space="preserve"> once verified, Instagram.</w:t>
      </w:r>
    </w:p>
    <w:p w14:paraId="7C1A2DD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One — Pillar: What It Means to Be a Treasured Vessel</w:t>
      </w:r>
    </w:p>
    <w:p w14:paraId="135C7422"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Introduce the centre through dignity, agency and local purpose rather than through images of helplessness. Explain that Treasured Vessels began in 2018 in response to girls and women experiencing pregnancy, violence, abandonment, exploitation, school interruption and poverty. Set out the proposed five-stage pathway: safety, recovery, education, economic transition and voice. Clarify what the organisation currently offers and what it does through referrals. Include a founder’s note, but support it with verifiable information: legal status, Jinja location, contact details, programme list and immediate annual priorities. Acknowledge transparently that the organisation is improving its measurement and digital systems. This candour will build more confidence than unsupported transformation claims. End with three routes for involvement: refer a girl safely, sponsor an education or skills place, and discuss a formal partnership. Do not use an identifiable survivor story for this opening post; use the centre, staff, training materials and hands-at-work imagery instead. </w:t>
      </w:r>
    </w:p>
    <w:p w14:paraId="5CE001A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Local families, schools, churches, prospective donors and NGO partners.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“Read our programmes, then choose one practical way to stand with girls in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Founder and staff group portrait; five-stage theory-of-change infographic.</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Treasured Vessels Girls Centre Uganda; girls centre Jinja; support girls in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Who We Are, Programmes, Safeguarding, Donate, Contact; external — CBO registration authority or Jinja local-government information when available.</w:t>
      </w:r>
    </w:p>
    <w:p w14:paraId="18AC8AE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Two — Why Jinja and Busoga Need a Girls’ Support Centre</w:t>
      </w:r>
    </w:p>
    <w:p w14:paraId="2E59D04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Ground the centre’s work geographically. Explain where Jinja sits within Busoga and why national averages alone can conceal local pressure. Uganda’s national strategy recorded Busoga among the regions reporting high numbers of teenage pregnancies during the pandemic period. Discuss how poverty, disrupted schooling, violence, limited adolescent-friendly services and gender expectations can overlap, while avoiding claims that every Busoga community or family has the same experience. Include observations from Treasured Vessels only if they have been documented through anonymised intake or outreach records. Add a simple district-level service map showing schools, health facilities, probation services and partner organisations, but do not reveal the homes or precise locations of vulnerable participants. The central editorial message should be that a community-based centre can notice barriers early, maintain trusted relationships and connect girls to larger systems that may otherwise feel distant. Finish with a call for Jinja-based institutions to help validate and strengthen the referral map. </w:t>
      </w:r>
    </w:p>
    <w:p w14:paraId="46991B0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Jinja and Busoga leaders, schools, health workers, churches and local businesses.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“Join the Jinja referral and support network.”</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District-level map; non-identifying community and school-environment photographs.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teenage pregnancy Jinja; girls support Busoga; women’s empowerment Jinja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Location and Referral Network; external — Uganda national child-marriage strategy, Jinja City or district services.</w:t>
      </w:r>
    </w:p>
    <w:p w14:paraId="7AADA098"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lastRenderedPageBreak/>
        <w:t>Day Three — Social-ready: Five Barriers That Can Push a Girl Out of School</w:t>
      </w:r>
    </w:p>
    <w:p w14:paraId="71F6E00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Explain school dropout as a process rather than a single choice. Present five interconnected barriers: household cost, pregnancy or marriage, violence and safety, menstrual-health conditions, and unpaid care or childcare. For each barrier, give one practical response: targeted fee and material support; a re-entry plan; confidential reporting and referral; emergency menstrual supplies plus adequate water and privacy; and family or childcare arrangements. Note that UNICEF reported in 2026 that more than 60% of Ugandan children leave before completing primary school, with girls disproportionately affected. Avoid suggesting that all dropout is caused by pregnancy or that girls lack ambition. Include a short quote from a teacher or education officer only with permission and factual review. The article should lead to an internal “Education Continuity” page explaining how Treasured Vessels assesses sponsorship, liaises with schools and tracks attendance. </w:t>
      </w:r>
    </w:p>
    <w:p w14:paraId="26FC58B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Parents, teachers, sponsors and community leaders.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“Fund one component of a girl’s education-continuity plan.”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Five-barrier infographic; school materials rather than identifiable pupils.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girls’ school dropout Uganda; keep girls in school; education sponsorship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Education Sponsorship and Continuity; external — UNICEF Uganda education resources.</w:t>
      </w:r>
    </w:p>
    <w:p w14:paraId="39E40992"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“A girl rarely leaves school because of one obstacle. Fees, pregnancy, unsafe conditions, periods and care responsibilities can reinforce one another. Keeping her learning requires more than paying a bill—it requires a plan, a safe school and a supportive community.”</w:t>
      </w:r>
    </w:p>
    <w:p w14:paraId="7C4FFC8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Four — What Responsible Education Sponsorship Should Include</w:t>
      </w:r>
    </w:p>
    <w:p w14:paraId="2396D23B"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Turn “sponsorship” into a transparent service model. Explain that responsible support should begin with a documented assessment and should cover the barriers most likely to interrupt learning: fees where applicable, uniforms, learning materials, transport, menstrual supplies, disability access, childcare, family engagement and psychosocial referral. Describe how a sponsor’s gift should be restricted, receipted and reported without exposing the child’s identity. Propose termly indicators: enrolment confirmation, attendance, progression, major barriers, safeguarding concerns and the learner’s own assessment of support. Explain that photographs and direct communication with a sponsored child are not entitlements purchased by a donation. Create a clear separation between financial accountability and a child’s privacy. Invite schools to sign a simple partnership agreement covering attendance reporting, non-discrimination, pregnancy re-entry and confidential safeguarding contacts. The article should be practical enough that a donor can see exactly what Treasured Vessels intends to provide and what remains dependent on school or public services.</w:t>
      </w:r>
    </w:p>
    <w:p w14:paraId="6C0BF48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Individual sponsors, churches, diaspora supporters, schools and foundations.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“Sponsor an education plan, not a photograph.”</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Illustrated education-cost basket; anonymised sample termly report.</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sponsor a girl’s education Uganda; transparent child sponsorship; girls education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Sponsorship Policy, Donor Privacy, Safeguarding, Education Application; external — UNICEF ethical reporting guidance.</w:t>
      </w:r>
    </w:p>
    <w:p w14:paraId="21B0C9B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Five — Returning to Learning After Teenage Pregnancy</w:t>
      </w:r>
    </w:p>
    <w:p w14:paraId="16384AA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Centre the possibility of continuation rather than portraying motherhood as the end of education. UNICEF reported that only about one-third of Ugandan adolescent mothers return to school after childbirth, even though Uganda has guidance for the prevention and management of teenage pregnancy in school settings. Explain the practical barriers: recovery </w:t>
      </w:r>
      <w:r w:rsidRPr="00D0732F">
        <w:rPr>
          <w:rFonts w:ascii="Segoe UI" w:eastAsia="Times New Roman" w:hAnsi="Segoe UI" w:cs="Segoe UI"/>
          <w:color w:val="0D0D0D"/>
          <w:kern w:val="0"/>
          <w:sz w:val="22"/>
          <w:szCs w:val="22"/>
          <w:lang w:eastAsia="en-GB"/>
          <w14:ligatures w14:val="none"/>
        </w:rPr>
        <w:lastRenderedPageBreak/>
        <w:t xml:space="preserve">after birth, childcare, fees, stigma, family resistance, inflexible timetables and fear of mistreatment. Outline a reintegration process Treasured Vessels could </w:t>
      </w:r>
      <w:proofErr w:type="gramStart"/>
      <w:r w:rsidRPr="00D0732F">
        <w:rPr>
          <w:rFonts w:ascii="Segoe UI" w:eastAsia="Times New Roman" w:hAnsi="Segoe UI" w:cs="Segoe UI"/>
          <w:color w:val="0D0D0D"/>
          <w:kern w:val="0"/>
          <w:sz w:val="22"/>
          <w:szCs w:val="22"/>
          <w:lang w:eastAsia="en-GB"/>
          <w14:ligatures w14:val="none"/>
        </w:rPr>
        <w:t>offer:</w:t>
      </w:r>
      <w:proofErr w:type="gramEnd"/>
      <w:r w:rsidRPr="00D0732F">
        <w:rPr>
          <w:rFonts w:ascii="Segoe UI" w:eastAsia="Times New Roman" w:hAnsi="Segoe UI" w:cs="Segoe UI"/>
          <w:color w:val="0D0D0D"/>
          <w:kern w:val="0"/>
          <w:sz w:val="22"/>
          <w:szCs w:val="22"/>
          <w:lang w:eastAsia="en-GB"/>
          <w14:ligatures w14:val="none"/>
        </w:rPr>
        <w:t xml:space="preserve"> listen to the young mother’s goals; assess safety and health; identify formal, accelerated or vocational options; convene a meeting with the school where safe; organise childcare and materials; and follow up over at least two terms. Avoid implying that formal school is the only valid route; some mothers may choose alternative education or skills while planning a later return. Include an anonymised composite scenario rather than a traceable individual story. </w:t>
      </w:r>
    </w:p>
    <w:p w14:paraId="0895A1B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Adolescent mothers, families, head teachers, education officials and sponsors.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“Help create a return-to-learning plan for a young mother.”</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Decision-pathway graphic; books beside age-appropriate childcare items.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teenage mothers return to school Uganda; school re-entry after pregnancy; young mothers education.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Education Continuity, Young Mothers Programme; external — Uganda school-pregnancy guidance and UNICEF.</w:t>
      </w:r>
    </w:p>
    <w:p w14:paraId="6F69E5A2"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Six — Social-ready: Six Myths About Teenage Mothers</w:t>
      </w:r>
    </w:p>
    <w:p w14:paraId="4C9B773B"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Use a respectful myth-and-fact format to challenge stigma. Possible myths include: “pregnancy proves she did not care about school”; “marriage is the proper solution”; “a young mother cannot return to learning”; “all pregnancies were consensual”; “providing help rewards bad behaviour”; and “vocational training is the only realistic future”. For each, give a short evidence-based correction. Emphasise that pregnancy can involve coercion or violence; child marriage is not a lawful remedy for pregnancy; education re-entry is possible; and assistance should be based on rights, safety and the young woman’s own goals. The article must avoid moral debate about an individual case and should never invite public judgement in comments. Include a moderation note stating that degrading or identifying comments will be removed. Link the piece to confidential referral and support contacts rather than requesting that readers name girls who may need assistance. </w:t>
      </w:r>
    </w:p>
    <w:p w14:paraId="0339E42F"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Parents, faith communities, schools, young people and general Facebook followers.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“Replace judgement with one safe, practical act of support.”</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Six myth/fact cards using icons and no beneficiary images.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myths about teenage pregnancy Uganda; support teenage mothers; end stigma young mothers.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Young Mothers Programme, Confidential Referral; external — UNICEF teenage-pregnancy article.</w:t>
      </w:r>
    </w:p>
    <w:p w14:paraId="5EF3991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“Pregnancy does not tell you whether a girl was safe, informed, supported or free to choose. It does not erase her intelligence or her right to learn. Ask a better question: what support will help her and her child move forward safely?”</w:t>
      </w:r>
    </w:p>
    <w:p w14:paraId="424411A5"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Seven — Inside the Skills Room: Learning Tailoring, Baking and Hairdressing</w:t>
      </w:r>
    </w:p>
    <w:p w14:paraId="4865CA12"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Show what a practical training session </w:t>
      </w:r>
      <w:proofErr w:type="gramStart"/>
      <w:r w:rsidRPr="00D0732F">
        <w:rPr>
          <w:rFonts w:ascii="Segoe UI" w:eastAsia="Times New Roman" w:hAnsi="Segoe UI" w:cs="Segoe UI"/>
          <w:color w:val="0D0D0D"/>
          <w:kern w:val="0"/>
          <w:sz w:val="22"/>
          <w:szCs w:val="22"/>
          <w:lang w:eastAsia="en-GB"/>
          <w14:ligatures w14:val="none"/>
        </w:rPr>
        <w:t>actually involves</w:t>
      </w:r>
      <w:proofErr w:type="gramEnd"/>
      <w:r w:rsidRPr="00D0732F">
        <w:rPr>
          <w:rFonts w:ascii="Segoe UI" w:eastAsia="Times New Roman" w:hAnsi="Segoe UI" w:cs="Segoe UI"/>
          <w:color w:val="0D0D0D"/>
          <w:kern w:val="0"/>
          <w:sz w:val="22"/>
          <w:szCs w:val="22"/>
          <w:lang w:eastAsia="en-GB"/>
          <w14:ligatures w14:val="none"/>
        </w:rPr>
        <w:t xml:space="preserve">. Rather than posting a single photograph with “please support us”, take readers through one class: the skill objective, equipment, safety instruction, trainer, practice task, quality standard and next step. Explain that Treasured Vessels currently describes training in tailoring, baking, hairdressing, soap-making, crafts and shoemaking. Clarify which courses are actively running, how long each </w:t>
      </w:r>
      <w:proofErr w:type="gramStart"/>
      <w:r w:rsidRPr="00D0732F">
        <w:rPr>
          <w:rFonts w:ascii="Segoe UI" w:eastAsia="Times New Roman" w:hAnsi="Segoe UI" w:cs="Segoe UI"/>
          <w:color w:val="0D0D0D"/>
          <w:kern w:val="0"/>
          <w:sz w:val="22"/>
          <w:szCs w:val="22"/>
          <w:lang w:eastAsia="en-GB"/>
          <w14:ligatures w14:val="none"/>
        </w:rPr>
        <w:t>lasts</w:t>
      </w:r>
      <w:proofErr w:type="gramEnd"/>
      <w:r w:rsidRPr="00D0732F">
        <w:rPr>
          <w:rFonts w:ascii="Segoe UI" w:eastAsia="Times New Roman" w:hAnsi="Segoe UI" w:cs="Segoe UI"/>
          <w:color w:val="0D0D0D"/>
          <w:kern w:val="0"/>
          <w:sz w:val="22"/>
          <w:szCs w:val="22"/>
          <w:lang w:eastAsia="en-GB"/>
          <w14:ligatures w14:val="none"/>
        </w:rPr>
        <w:t xml:space="preserve"> and whether participants receive certification or start-up equipment; mark anything not yet established as a goal rather than a current fact. Include the voices of trainers and adult participants with informed consent, but do not present a participant’s traumatic history as the reason her product deserves purchase. The product should be valued for quality, while </w:t>
      </w:r>
      <w:r w:rsidRPr="00D0732F">
        <w:rPr>
          <w:rFonts w:ascii="Segoe UI" w:eastAsia="Times New Roman" w:hAnsi="Segoe UI" w:cs="Segoe UI"/>
          <w:color w:val="0D0D0D"/>
          <w:kern w:val="0"/>
          <w:sz w:val="22"/>
          <w:szCs w:val="22"/>
          <w:lang w:eastAsia="en-GB"/>
          <w14:ligatures w14:val="none"/>
        </w:rPr>
        <w:lastRenderedPageBreak/>
        <w:t>the programme should be valued for opportunity. End with a costed equipment wish list and an invitation to businesses to offer mentoring or markets. </w:t>
      </w:r>
    </w:p>
    <w:p w14:paraId="0405FA4C"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Donors, vocational trainers, employers, local customers and corporate partners.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“Equip one practical lesson or offer a local market connection.”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xml:space="preserve"> Tools, hands, ingredients and finished goods; </w:t>
      </w:r>
      <w:proofErr w:type="gramStart"/>
      <w:r w:rsidRPr="00D0732F">
        <w:rPr>
          <w:rFonts w:ascii="Segoe UI" w:eastAsia="Times New Roman" w:hAnsi="Segoe UI" w:cs="Segoe UI"/>
          <w:color w:val="0D0D0D"/>
          <w:kern w:val="0"/>
          <w:sz w:val="22"/>
          <w:szCs w:val="22"/>
          <w:lang w:eastAsia="en-GB"/>
          <w14:ligatures w14:val="none"/>
        </w:rPr>
        <w:t>short captioned</w:t>
      </w:r>
      <w:proofErr w:type="gramEnd"/>
      <w:r w:rsidRPr="00D0732F">
        <w:rPr>
          <w:rFonts w:ascii="Segoe UI" w:eastAsia="Times New Roman" w:hAnsi="Segoe UI" w:cs="Segoe UI"/>
          <w:color w:val="0D0D0D"/>
          <w:kern w:val="0"/>
          <w:sz w:val="22"/>
          <w:szCs w:val="22"/>
          <w:lang w:eastAsia="en-GB"/>
          <w14:ligatures w14:val="none"/>
        </w:rPr>
        <w:t xml:space="preserve"> process video.</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vocational training women Uganda; tailoring training Jinja; skills for single mothers.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xml:space="preserve"> Internal — Skills Programme, Equipment Wish List, Partner </w:t>
      </w:r>
      <w:proofErr w:type="gramStart"/>
      <w:r w:rsidRPr="00D0732F">
        <w:rPr>
          <w:rFonts w:ascii="Segoe UI" w:eastAsia="Times New Roman" w:hAnsi="Segoe UI" w:cs="Segoe UI"/>
          <w:color w:val="0D0D0D"/>
          <w:kern w:val="0"/>
          <w:sz w:val="22"/>
          <w:szCs w:val="22"/>
          <w:lang w:eastAsia="en-GB"/>
          <w14:ligatures w14:val="none"/>
        </w:rPr>
        <w:t>With</w:t>
      </w:r>
      <w:proofErr w:type="gramEnd"/>
      <w:r w:rsidRPr="00D0732F">
        <w:rPr>
          <w:rFonts w:ascii="Segoe UI" w:eastAsia="Times New Roman" w:hAnsi="Segoe UI" w:cs="Segoe UI"/>
          <w:color w:val="0D0D0D"/>
          <w:kern w:val="0"/>
          <w:sz w:val="22"/>
          <w:szCs w:val="22"/>
          <w:lang w:eastAsia="en-GB"/>
          <w14:ligatures w14:val="none"/>
        </w:rPr>
        <w:t xml:space="preserve"> Us; external — Uganda women’s enterprise programmes.</w:t>
      </w:r>
    </w:p>
    <w:p w14:paraId="745FDC58"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Eight — Pillar: Ending Child Marriage and Teenage Pregnancy in Uganda</w:t>
      </w:r>
    </w:p>
    <w:p w14:paraId="1C9518A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Produce the campaign’s principal search-authority article. Distinguish child marriage, adolescent pregnancy and adolescent birth; explain the age groups and survey denominators behind commonly quoted figures. Present the newest UNICEF estimate—approximately 24% of girls aged 10–19 have experienced pregnancy—alongside the 35% child-marriage estimate for women aged 20–24, without treating them as the same population. Explain the ecological drivers identified by Uganda’s national strategy: individual vulnerability, family pressure, community norms, service gaps, economic conditions and policy implementation. Describe the consequences for health, schooling, income, safety and mental wellbeing without sensationalism. Set out Uganda’s minimum marriage age and the Children Act definition of child marriage. Close with a prevention-and-response framework for Busoga: keep girls learning; provide accurate information and adolescent-friendly health referral; address violence; engage parents, men and boys; support young mothers; and strengthen confidential reporting. </w:t>
      </w:r>
    </w:p>
    <w:p w14:paraId="1EDF7BBD"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Search users, policymakers, donors, journalists, schools and community leaders.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“Download the community action checklist and support one prevention or reintegration activity.”</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Source-labelled data graphics; ecological-model diagram; policy timeline.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child marriage Uganda statistics; teenage pregnancy Uganda 2026; end child marriage Busoga.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Education, Young Mothers, GBV Referral, Community Outreach; external — national strategy, UNICEF and UN Women.</w:t>
      </w:r>
    </w:p>
    <w:p w14:paraId="7E9AB68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Nine — What Ugandan Law Says About Child Marriage</w:t>
      </w:r>
    </w:p>
    <w:p w14:paraId="105A6EEF"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Translate the law into plain language while making clear that the article is general information, not individual legal advice. Explain that the Children (Amendment) Act defines child marriage as a formal or informal union involving anyone below 18 for the purpose of living as husband and wife. Address common misunderstandings: an informal customary arrangement can still qualify; pregnancy does not turn an under-age union into a lawful solution; and a child’s apparent acquiescence does not remove protection duties. Describe safe next steps when a proposed marriage is suspected: do not publicly confront or identify the child; assess immediate danger; contact an appropriate probation, child-protection, police or legal-support service; preserve relevant information safely; and prioritise the child’s wishes and protection. Have a Ugandan lawyer or qualified child-protection partner review the final article and local contacts before publication. </w:t>
      </w:r>
    </w:p>
    <w:p w14:paraId="785E785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Parents, teachers, religious and cultural leaders, adolescents and community volunteers.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“Save the confidential referral contacts—do not expose a child on social media.”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Plain-language legal flowchart; “under 18” rights card.</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xml:space="preserve"> child marriage law Uganda; legal marriage age Uganda; report forced marriage </w:t>
      </w:r>
      <w:r w:rsidRPr="00D0732F">
        <w:rPr>
          <w:rFonts w:ascii="Segoe UI" w:eastAsia="Times New Roman" w:hAnsi="Segoe UI" w:cs="Segoe UI"/>
          <w:color w:val="0D0D0D"/>
          <w:kern w:val="0"/>
          <w:sz w:val="22"/>
          <w:szCs w:val="22"/>
          <w:lang w:eastAsia="en-GB"/>
          <w14:ligatures w14:val="none"/>
        </w:rPr>
        <w:lastRenderedPageBreak/>
        <w:t>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Get Help, Safeguarding, Referral Network; external — ULII Children Act and Children Amendment Act.</w:t>
      </w:r>
    </w:p>
    <w:p w14:paraId="5B3BF10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Ten — Social-ready: What ‘One Thousand Teenage Pregnancies a Day’ Really Means</w:t>
      </w:r>
    </w:p>
    <w:p w14:paraId="2599AB2D"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Explain the widely shared UNICEF figure carefully. State the source, date and population: approximately 24% of girls aged 10–19 have experienced pregnancy, translated by UNICEF to roughly 1,000 teenage pregnancies each day. Avoid presenting “1,000” as a real-time daily case count or implying identical risk in every district. Move quickly from scale to action. Every number represents a girl who may need health care, safety, continued education, family support or protection from violence. Suggest four investments that can change outcomes: keeping girls in school, adolescent-friendly health referrals, protection from coercion and violence, and practical reintegration for young mothers. Add a source-labelled graphic and a visible publication date so the statistic is not detached from its methodology. </w:t>
      </w:r>
    </w:p>
    <w:p w14:paraId="1348A1D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Social followers, journalists, donors and advocacy partners.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“Share the statistic with its source—and share an action, not only alarm.”</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One strong number graphic followed by four solution panels.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1,000 teenage pregnancies Uganda; adolescent pregnancy statistics Uganda; teenage pregnancy solutions.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Pillar article, Education Continuity, Pregnancy Support; external — UNICEF original article.</w:t>
      </w:r>
    </w:p>
    <w:p w14:paraId="647542F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“About 1,000 teenage pregnancies a day is not a slogan. It is a call to protect girls from violence, keep them learning, connect them to respectful health services and ensure motherhood does not erase their future. Share the source. Then support a solution.”</w:t>
      </w:r>
    </w:p>
    <w:p w14:paraId="0196EEBA"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Eleven — Fathers, Men and Boys as Allies for Girls’ Futures</w:t>
      </w:r>
    </w:p>
    <w:p w14:paraId="165105C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Move male engagement beyond ceremonial statements. Describe practical roles for fathers, partners, brothers, male teachers, religious leaders and local officials: sharing care work, supporting school attendance, rejecting child marriage, recognising consent, accompanying referrals without controlling them, challenging violence and purchasing products from women-led enterprises. Include the warning that “male involvement” must not transfer decision-making away from girls and women or force reconciliation with unsafe partners. Propose a Treasured Vessels community session using facilitated discussions, legal information, positive parenting, violence-prevention commitments and referral information. Uganda’s national child-marriage strategy explicitly calls for increased engagement of men and boys alongside positive parenting and strengthened community systems. Build the article around accountability rather than praise: an ally’s conduct should make a girl safer, freer and more able to choose her future. </w:t>
      </w:r>
    </w:p>
    <w:p w14:paraId="3D5668B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Fathers, male youth, teachers, faith leaders and community organisers.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“Host a men-and-boys accountability session in partnership with the centre.”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Facilitated adult discussion; commitment-card template; no staged “rescuer” imagery.</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men ending child marriage Uganda; fathers support girls education; male allies against GBV.</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Community Outreach, Safeguarding, Request a Training; external — national strategy and Uganda male-involvement guidance.</w:t>
      </w:r>
    </w:p>
    <w:p w14:paraId="36FC5B9C"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Twelve — Connecting Adolescents to Respectful Health Services</w:t>
      </w:r>
    </w:p>
    <w:p w14:paraId="0A533C1A"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lastRenderedPageBreak/>
        <w:t>Brief:</w:t>
      </w:r>
      <w:r w:rsidRPr="00D0732F">
        <w:rPr>
          <w:rFonts w:ascii="Segoe UI" w:eastAsia="Times New Roman" w:hAnsi="Segoe UI" w:cs="Segoe UI"/>
          <w:color w:val="0D0D0D"/>
          <w:kern w:val="0"/>
          <w:sz w:val="22"/>
          <w:szCs w:val="22"/>
          <w:lang w:eastAsia="en-GB"/>
          <w14:ligatures w14:val="none"/>
        </w:rPr>
        <w:t> Clarify that Treasured Vessels can provide accompaniment, information and referral, while qualified health professionals provide clinical assessment and treatment. Describe the qualities of adolescent-friendly care: privacy, respectful communication, non-judgement, clear information, safeguarding, accessibility, timely maternal care and appropriate sexual and reproductive health services. Explain why referral completion matters: giving someone a telephone number is not the same as ensuring she can travel, pay, understand instructions and return safely. Propose a closed-loop referral system recording consent, destination, service sought, completion and follow-up without storing unnecessary sensitive details. Mention Naguru Teenage Information and Health Centre as a Ugandan model for youth-friendly information and services linked with health provision. Before publication, Treasured Vessels should identify and verify its actual Jinja-area health partners and emergency arrangements. </w:t>
      </w:r>
    </w:p>
    <w:p w14:paraId="36356F6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Young people, parents, health providers, donors and referral partners.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“Help establish a verified adolescent-health referral fund and directory.”</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Confidential referral pathway; illustration of respectful consultation.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adolescent-friendly health services Uganda; teenage pregnancy health support Jinja; maternal referral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Pregnancy Support, Referral Directory, Privacy Policy; external — Ministry of Health or verified partner facility pages.</w:t>
      </w:r>
    </w:p>
    <w:p w14:paraId="3AFFF14D"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Thirteen — Social-ready: A Menstrual-Dignity Checklist for Schools</w:t>
      </w:r>
    </w:p>
    <w:p w14:paraId="07D8EED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Translate Uganda’s national menstrual-health guidelines into a practical checklist. A menstrual-friendly school needs more than distributed pads. Include emergency products; water and soap; private, sex-separated and disability-accessible toilets; a safe place to change; appropriate storage; disposal or washing arrangements; accurate education for girls and boys; a trusted adult; and referral for severe pain or health concerns. Explain that reusable products can be useful where users have informed choice, adequate water, washing and drying privacy, and products meet appropriate quality standards. Invite schools to complete a simple anonymous self-assessment rather than photographing girls receiving supplies. The article should lead to a school-outreach request form and an equipment list that distinguishes consumables from infrastructure needs. </w:t>
      </w:r>
    </w:p>
    <w:p w14:paraId="2850709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Schools, parent associations, students, menstrual-health donors and local authorities.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“Ask your school to complete the ten-point menstrual-dignity check.”</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Printable checklist; accessible toilet and hygiene-station diagram.</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menstrual hygiene schools Uganda; menstrual health checklist; period poverty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School Outreach, Menstrual Health, Donate Supplies; external — Ministry of Education guidelines.</w:t>
      </w:r>
    </w:p>
    <w:p w14:paraId="30FC6F08"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“Pads matter, but dignity also needs water, soap, privacy, safe toilets, trusted information and a plan for emergencies. A menstrual-health programme should help a girl participate confidently—not make her pose for a distribution photograph.”</w:t>
      </w:r>
    </w:p>
    <w:p w14:paraId="5F3C4A64"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Fourteen — Reusable Pads: Choice, Quality and Safe Use</w:t>
      </w:r>
    </w:p>
    <w:p w14:paraId="26FEB8EB"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Build on the centre’s reported connection with the 2024 cloth-pad sewing campaign while avoiding promotional overstatement. Explain the potential advantages of reusable pads—lower recurrent cost and local production—alongside the conditions needed for safe, acceptable use: suitable absorbent materials, quality stitching, clear washing guidance, soap and water, private drying and storage, and freedom to choose another product. Uganda’s school guidelines encourage locally made reusable washable pads as a low-cost alternative </w:t>
      </w:r>
      <w:r w:rsidRPr="00D0732F">
        <w:rPr>
          <w:rFonts w:ascii="Segoe UI" w:eastAsia="Times New Roman" w:hAnsi="Segoe UI" w:cs="Segoe UI"/>
          <w:color w:val="0D0D0D"/>
          <w:kern w:val="0"/>
          <w:sz w:val="22"/>
          <w:szCs w:val="22"/>
          <w:lang w:eastAsia="en-GB"/>
          <w14:ligatures w14:val="none"/>
        </w:rPr>
        <w:lastRenderedPageBreak/>
        <w:t>while also stressing standards and broader WASH requirements. Interview a trained maker about fabric selection and quality control rather than asking a beneficiary to reveal intimate experiences. Include a step-by-step care graphic reviewed by a qualified menstrual-health or public-health partner. Acknowledge that donated products should match local demand and should not displace sustainable local production. </w:t>
      </w:r>
    </w:p>
    <w:p w14:paraId="1508DA0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Menstrual-health supporters, sewing groups, schools, trainers and prospective customers.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“Support locally supervised production, education and WASH—not unsorted product donations.”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Materials and construction process; washing and drying guidance illustration.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reusable sanitary pads Uganda; cloth pads Jinja; menstrual product training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Menstrual Health, Skills Training, Donation Standards; external — national menstrual-health guidelines.</w:t>
      </w:r>
    </w:p>
    <w:p w14:paraId="0FA0088C"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Fifteen — Pillar: A Survivor-Centred Response to Gender-Based Violence</w:t>
      </w:r>
    </w:p>
    <w:p w14:paraId="09748E7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Establish Treasured Vessels’ authoritative safeguarding position. Begin with Ugandan prevalence: 44% of women have experienced physical violence since age 15, 17% sexual violence and 54% of ever-married women partner violence across emotional, physical or sexual forms. Explain survivor-centred principles: safety, confidentiality, respect, non-discrimination, informed choice and coordinated support. Set out what to say when someone discloses abuse—believe without interrogation, check immediate safety, explain confidentiality limits, ask what support she wants and connect her with qualified services. Explain what not to do: publish her story, confront the alleged perpetrator without a safety plan, pressure reconciliation, demand proof, blame clothing or behaviour, or promise secrecy that cannot be maintained where a child is at risk. Summarise available legal protections, including protection orders under the Domestic Violence Act, while making clear that legal decisions belong to the survivor with qualified advice except where mandatory child-protection duties apply. </w:t>
      </w:r>
    </w:p>
    <w:p w14:paraId="578A607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Survivors, families, volunteers, churches, schools, donors and partner agencies.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“Save the safe-disclosure guide and help fund confidential referrals.”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Survivor-centred principles wheel; discreet referral-flow graphic.</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gender-based violence Uganda support; domestic violence help Jinja; survivor-centred GBV response.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Get Help, Safeguarding, Complaints, Referral Directory; external — Domestic Violence Act and verified Uganda GBV services.</w:t>
      </w:r>
    </w:p>
    <w:p w14:paraId="72A4A5E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Sixteen — Recognising Abuse Without Putting Someone at Greater Risk</w:t>
      </w:r>
    </w:p>
    <w:p w14:paraId="317C75F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Explain common forms of abuse—physical, sexual, emotional, economic, digital and coercive control—using behavioural examples rather than graphic incidents. Include warning signs such as threats, isolation, monitoring, control of money, forced sex, sabotage of school or work, intimidation involving children and repeated humiliation. Emphasise that signs are prompts for a private, supportive conversation, not proof to be investigated by an untrained volunteer. Offer a safe opening: “I have noticed you seem worried. Is there anything you would like support with?” Explain why public intervention, group confrontation or messaging a survivor on a shared telephone may increase danger. The article should direct readers to confidential services and identify immediate-emergency procedures only after those details have been verified locally. Connect economic abuse to Treasured Vessels’ livelihood work: earning income can expand options, but a business programme must also consider partner retaliation and control over earnings. </w:t>
      </w:r>
    </w:p>
    <w:p w14:paraId="0EC74F3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lastRenderedPageBreak/>
        <w:t>Audience:</w:t>
      </w:r>
      <w:r w:rsidRPr="00D0732F">
        <w:rPr>
          <w:rFonts w:ascii="Segoe UI" w:eastAsia="Times New Roman" w:hAnsi="Segoe UI" w:cs="Segoe UI"/>
          <w:color w:val="0D0D0D"/>
          <w:kern w:val="0"/>
          <w:sz w:val="22"/>
          <w:szCs w:val="22"/>
          <w:lang w:eastAsia="en-GB"/>
          <w14:ligatures w14:val="none"/>
        </w:rPr>
        <w:t> Friends, relatives, teachers, community volunteers and livelihood trainers.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“Learn the safe first response before trying to intervene.”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Abuse-types diagram; safe-conversation card.</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signs of domestic violence Uganda; economic abuse women; help someone experiencing GBV.</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Safe Disclosure Guide, Referral Directory; external — Domestic Violence Act and a verified specialist partner.</w:t>
      </w:r>
    </w:p>
    <w:p w14:paraId="0F37B952"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Seventeen — Social-ready: What to Say When Someone Discloses Violence</w:t>
      </w:r>
    </w:p>
    <w:p w14:paraId="67CD305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Produce a highly practical, mobile-friendly guide built around five responses: “I believe you”; “This is not your fault”; “Are you in immediate danger?”; “What would help you feel safer?”; and “I can explain available options.” Add a short section on confidentiality limits where a child is at risk and on obtaining consent before making a referral. Contrast these with harmful responses such as “Why didn’t you leave?”, “What did you do?”, “You must forgive”, “I will tell everyone who can help”, or “Let me confront him.” State that supportive listening is not counselling, investigation or legal representation. Include a downloadable pocket card for staff and volunteers and make completion of disclosure-response training a requirement before anyone collects beneficiary stories. The tone should be calm and non-technical. </w:t>
      </w:r>
    </w:p>
    <w:p w14:paraId="45C36FBD"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Staff, volunteers, teachers, faith leaders, friends and relatives.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“Download the first-response card and complete safeguarding orientation.”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Five phrases on an accessible card; audio version in English and a locally appropriate language.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respond to GBV disclosure; what to say to a survivor; survivor support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Safeguarding Training, Get Help; external — UNICEF ethical-reporting guidance and verified referral services.</w:t>
      </w:r>
    </w:p>
    <w:p w14:paraId="75A2771B"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“When someone tells you she has experienced violence, your first job is not to investigate. Say: ‘I believe you. This is not your fault. Are you safe now? What support would you like?’ Respect, safety and choice come before advice.”</w:t>
      </w:r>
    </w:p>
    <w:p w14:paraId="74C031A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Eighteen — Building a Reliable Referral Pathway in Jinja</w:t>
      </w:r>
    </w:p>
    <w:p w14:paraId="0C3DD4A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Explain how Treasured Vessels intends to move from informal signposting to a verified service network. Map categories rather than prematurely publishing unconfirmed names: emergency medical care, sexual-violence clinical response, maternal health, police child and family protection, probation and social welfare, legal aid, mental-health care, safe accommodation, schools and vocational partners. Describe verification criteria: correct telephone number, operating hours, eligibility, cost, accessibility, confidentiality, child-safeguarding standards and a named organisational contact. Explain closed-loop referral and why the centre should seek consent before sharing information. Include a quarterly verification date on the public directory and a private staff version containing escalation details. Invite qualified Jinja organisations to submit or correct information through a controlled form. Do not crowdsource sensitive case details in comments. </w:t>
      </w:r>
      <w:proofErr w:type="spellStart"/>
      <w:r w:rsidRPr="00D0732F">
        <w:rPr>
          <w:rFonts w:ascii="Segoe UI" w:eastAsia="Times New Roman" w:hAnsi="Segoe UI" w:cs="Segoe UI"/>
          <w:color w:val="0D0D0D"/>
          <w:kern w:val="0"/>
          <w:sz w:val="22"/>
          <w:szCs w:val="22"/>
          <w:lang w:eastAsia="en-GB"/>
          <w14:ligatures w14:val="none"/>
        </w:rPr>
        <w:t>SafePal</w:t>
      </w:r>
      <w:proofErr w:type="spellEnd"/>
      <w:r w:rsidRPr="00D0732F">
        <w:rPr>
          <w:rFonts w:ascii="Segoe UI" w:eastAsia="Times New Roman" w:hAnsi="Segoe UI" w:cs="Segoe UI"/>
          <w:color w:val="0D0D0D"/>
          <w:kern w:val="0"/>
          <w:sz w:val="22"/>
          <w:szCs w:val="22"/>
          <w:lang w:eastAsia="en-GB"/>
          <w14:ligatures w14:val="none"/>
        </w:rPr>
        <w:t xml:space="preserve"> illustrates the value of connecting survivors with psychosocial, medical, legal and protection services rather than treating one organisation as a complete solution. </w:t>
      </w:r>
    </w:p>
    <w:p w14:paraId="3B12A27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Health, legal, protection, education and NGO partners in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“Apply to join or verify the Treasured Vessels referral network.”</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Service-network map; referral-quality checklist.</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GBV referral services Jinja; women support network Uganda; child protection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lastRenderedPageBreak/>
        <w:t>Links:</w:t>
      </w:r>
      <w:r w:rsidRPr="00D0732F">
        <w:rPr>
          <w:rFonts w:ascii="Segoe UI" w:eastAsia="Times New Roman" w:hAnsi="Segoe UI" w:cs="Segoe UI"/>
          <w:color w:val="0D0D0D"/>
          <w:kern w:val="0"/>
          <w:sz w:val="22"/>
          <w:szCs w:val="22"/>
          <w:lang w:eastAsia="en-GB"/>
          <w14:ligatures w14:val="none"/>
        </w:rPr>
        <w:t xml:space="preserve"> Internal — Partner Application, Referral Directory, Data Privacy; external — official service and </w:t>
      </w:r>
      <w:proofErr w:type="spellStart"/>
      <w:r w:rsidRPr="00D0732F">
        <w:rPr>
          <w:rFonts w:ascii="Segoe UI" w:eastAsia="Times New Roman" w:hAnsi="Segoe UI" w:cs="Segoe UI"/>
          <w:color w:val="0D0D0D"/>
          <w:kern w:val="0"/>
          <w:sz w:val="22"/>
          <w:szCs w:val="22"/>
          <w:lang w:eastAsia="en-GB"/>
          <w14:ligatures w14:val="none"/>
        </w:rPr>
        <w:t>SafePal</w:t>
      </w:r>
      <w:proofErr w:type="spellEnd"/>
      <w:r w:rsidRPr="00D0732F">
        <w:rPr>
          <w:rFonts w:ascii="Segoe UI" w:eastAsia="Times New Roman" w:hAnsi="Segoe UI" w:cs="Segoe UI"/>
          <w:color w:val="0D0D0D"/>
          <w:kern w:val="0"/>
          <w:sz w:val="22"/>
          <w:szCs w:val="22"/>
          <w:lang w:eastAsia="en-GB"/>
          <w14:ligatures w14:val="none"/>
        </w:rPr>
        <w:t xml:space="preserve"> information.</w:t>
      </w:r>
    </w:p>
    <w:p w14:paraId="54EF8CBD"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Nineteen — Mental Health After Violence, Pregnancy or School Exclusion</w:t>
      </w:r>
    </w:p>
    <w:p w14:paraId="04F722E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Explain trauma, stress, anxiety and depression in plain language without diagnosing readers. Uganda’s child and adolescent mental-health guidance </w:t>
      </w:r>
      <w:proofErr w:type="gramStart"/>
      <w:r w:rsidRPr="00D0732F">
        <w:rPr>
          <w:rFonts w:ascii="Segoe UI" w:eastAsia="Times New Roman" w:hAnsi="Segoe UI" w:cs="Segoe UI"/>
          <w:color w:val="0D0D0D"/>
          <w:kern w:val="0"/>
          <w:sz w:val="22"/>
          <w:szCs w:val="22"/>
          <w:lang w:eastAsia="en-GB"/>
          <w14:ligatures w14:val="none"/>
        </w:rPr>
        <w:t>cites</w:t>
      </w:r>
      <w:proofErr w:type="gramEnd"/>
      <w:r w:rsidRPr="00D0732F">
        <w:rPr>
          <w:rFonts w:ascii="Segoe UI" w:eastAsia="Times New Roman" w:hAnsi="Segoe UI" w:cs="Segoe UI"/>
          <w:color w:val="0D0D0D"/>
          <w:kern w:val="0"/>
          <w:sz w:val="22"/>
          <w:szCs w:val="22"/>
          <w:lang w:eastAsia="en-GB"/>
          <w14:ligatures w14:val="none"/>
        </w:rPr>
        <w:t xml:space="preserve"> anxiety prevalence as high as 26.6%, with higher estimates for girls in the evidence reviewed; a 2025 study of adolescent girls found substantial moderate and severe depressive symptoms. Discuss signs that additional support may be needed: persistent hopelessness, withdrawal, sleep disruption, inability to function, severe fear, self-harm or suicidal thoughts. Make clear that prayer, friendship and peer groups may be meaningful sources of support but do not replace professional assessment when risk or severe symptoms are present. Present Treasured Vessels’ appropriate role as supportive, non-judgemental contact and referral unless it has qualified clinicians. Include an emergency escalation box that must be completed with verified Ugandan contacts before publication. </w:t>
      </w:r>
    </w:p>
    <w:p w14:paraId="1801BAA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Young women, parents, staff, teachers, faith communities and donors.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“Fund confidential counselling referrals and staff psychological-first-aid training.”</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Mental-health continuum; calm, non-clinical illustration.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adolescent girls mental health Uganda; teenage mothers depression support; trauma counselling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Psychosocial Support, Emergency Help, Referral Directory; external — Ministry of Health guidance and Mental Health Act.</w:t>
      </w:r>
    </w:p>
    <w:p w14:paraId="156252E4"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 — Social-ready: Five Gentle Ways to Support Emotional Wellbeing</w:t>
      </w:r>
    </w:p>
    <w:p w14:paraId="7812AD7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Offer low-risk supportive actions without representing them as treatment: maintain a simple daily routine; stay connected with one safe person; use slow breathing or grounding during acute stress; make time for rest, movement or a meaningful activity; and seek qualified help when distress persists or safety is at risk. Explain that a person experiencing violence may not be free to follow generic self-care advice, and her priority may be a safety plan rather than relaxation. Add a prominent note that self-harm, suicidal thoughts, severe confusion, inability to care for oneself or immediate danger require urgent professional assistance. Avoid wellness clichés that imply suffering can be solved through positive thinking. The article should link directly to Treasured </w:t>
      </w:r>
      <w:proofErr w:type="gramStart"/>
      <w:r w:rsidRPr="00D0732F">
        <w:rPr>
          <w:rFonts w:ascii="Segoe UI" w:eastAsia="Times New Roman" w:hAnsi="Segoe UI" w:cs="Segoe UI"/>
          <w:color w:val="0D0D0D"/>
          <w:kern w:val="0"/>
          <w:sz w:val="22"/>
          <w:szCs w:val="22"/>
          <w:lang w:eastAsia="en-GB"/>
          <w14:ligatures w14:val="none"/>
        </w:rPr>
        <w:t>Vessels’</w:t>
      </w:r>
      <w:proofErr w:type="gramEnd"/>
      <w:r w:rsidRPr="00D0732F">
        <w:rPr>
          <w:rFonts w:ascii="Segoe UI" w:eastAsia="Times New Roman" w:hAnsi="Segoe UI" w:cs="Segoe UI"/>
          <w:color w:val="0D0D0D"/>
          <w:kern w:val="0"/>
          <w:sz w:val="22"/>
          <w:szCs w:val="22"/>
          <w:lang w:eastAsia="en-GB"/>
          <w14:ligatures w14:val="none"/>
        </w:rPr>
        <w:t xml:space="preserve"> verified referral page once that page exists.</w:t>
      </w:r>
    </w:p>
    <w:p w14:paraId="7F95E115"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Adolescents, young mothers, caregivers and social followers.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“Choose one safe support today—and seek urgent help when risk is high.”</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Five-action carousel; text-only downloadable version.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emotional wellbeing young mothers; mental health support Uganda girls; grounding techniques stress.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Mental Health and Referrals, Emergency Help; external — verified Ministry of Health resources.</w:t>
      </w:r>
    </w:p>
    <w:p w14:paraId="33E8D2A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“Support can begin gently: one safe person, a simple routine, rest, movement and a moment of steady breathing. But severe distress, self-harm or immediate danger needs qualified help. Self-care is support—not a substitute for safety or treatment.”</w:t>
      </w:r>
    </w:p>
    <w:p w14:paraId="05E5F31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Twenty-One — Faith, Compassion and Safeguarding</w:t>
      </w:r>
    </w:p>
    <w:p w14:paraId="61AA6E9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Articulate how a Christian identity can support dignity without introducing blame, pressure or exclusion. Explain that compassionate practice means listening, protecting confidentiality, rejecting violence, respecting informed choices and ensuring that assistance is never conditional on conversion, worship attendance, disclosure or public testimony. </w:t>
      </w:r>
      <w:r w:rsidRPr="00D0732F">
        <w:rPr>
          <w:rFonts w:ascii="Segoe UI" w:eastAsia="Times New Roman" w:hAnsi="Segoe UI" w:cs="Segoe UI"/>
          <w:color w:val="0D0D0D"/>
          <w:kern w:val="0"/>
          <w:sz w:val="22"/>
          <w:szCs w:val="22"/>
          <w:lang w:eastAsia="en-GB"/>
          <w14:ligatures w14:val="none"/>
        </w:rPr>
        <w:lastRenderedPageBreak/>
        <w:t>Address risky messages directly: pregnancy is not proof of moral failure; abuse is not solved by demanding forgiveness or reconciliation; and mental illness is not evidence of weak faith. Invite local faith leaders to become safeguarding allies through training, referral knowledge, responsible preaching and practical support for education and childcare. Include a policy statement that beneficiaries of all beliefs or none receive equitable services. Have the article reviewed by both a safeguarding professional and a trusted local faith adviser.</w:t>
      </w:r>
    </w:p>
    <w:p w14:paraId="6261CFDA"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Churches, Christian donors, faith leaders, staff and beneficiaries.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“Sign the faith-and-safeguarding commitment.”</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Commitment statement; adult faith-leader workshop rather than images of distressed children.</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Christian girls charity Uganda; faith and safeguarding; churches preventing gender violence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Values, Non-discrimination, Safeguarding, Request Training; external — child-protection law and ethical-reporting guidance.</w:t>
      </w:r>
    </w:p>
    <w:p w14:paraId="5D6FCA1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Twenty-Two — Pillar: From Practical Skills to Sustainable Income</w:t>
      </w:r>
    </w:p>
    <w:p w14:paraId="24A8C3C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Explain why a completed tailoring, baking or hairdressing course is an intermediate result rather than the </w:t>
      </w:r>
      <w:proofErr w:type="gramStart"/>
      <w:r w:rsidRPr="00D0732F">
        <w:rPr>
          <w:rFonts w:ascii="Segoe UI" w:eastAsia="Times New Roman" w:hAnsi="Segoe UI" w:cs="Segoe UI"/>
          <w:color w:val="0D0D0D"/>
          <w:kern w:val="0"/>
          <w:sz w:val="22"/>
          <w:szCs w:val="22"/>
          <w:lang w:eastAsia="en-GB"/>
          <w14:ligatures w14:val="none"/>
        </w:rPr>
        <w:t>final outcome</w:t>
      </w:r>
      <w:proofErr w:type="gramEnd"/>
      <w:r w:rsidRPr="00D0732F">
        <w:rPr>
          <w:rFonts w:ascii="Segoe UI" w:eastAsia="Times New Roman" w:hAnsi="Segoe UI" w:cs="Segoe UI"/>
          <w:color w:val="0D0D0D"/>
          <w:kern w:val="0"/>
          <w:sz w:val="22"/>
          <w:szCs w:val="22"/>
          <w:lang w:eastAsia="en-GB"/>
          <w14:ligatures w14:val="none"/>
        </w:rPr>
        <w:t>. Draw on the BRAC Uganda ELA evaluation, in which safe spaces combined vocational skills, life skills, sexual and reproductive health knowledge, mentoring and legal information. The programme improved income-generating activity without reducing school enrolment and produced longer-term social outcomes. Translate this evidence into a Treasured Vessels enterprise pathway: participant choice and market assessment; technical competency; personal and business safety; costing and record-keeping; savings; customer service; start-up tools or capital; mentorship; childcare; market linkage; and six- and twelve-month follow-up. Discuss the risks of placing many women into the same saturated trade and the importance of understanding actual Jinja demand. Publish a proposed scorecard including completion, enterprise start, sales, profit, savings, control over earnings and participant wellbeing. </w:t>
      </w:r>
    </w:p>
    <w:p w14:paraId="796B609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Livelihood donors, businesses, vocational institutions, policymakers and participants.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“Sponsor a complete livelihood pathway or become a market mentor.”</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Enterprise pathway graphic; sample costing sheet; market-demand matrix.</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women economic empowerment Uganda; vocational training teenage mothers; women enterprise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Skills Programme, Market Partners, Impact Dashboard; external — BRAC ELA evidence, UWEP and GROW.</w:t>
      </w:r>
    </w:p>
    <w:p w14:paraId="27655CA5"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Twenty-Three — Why Vocational Training Alone Is Not Enough</w:t>
      </w:r>
    </w:p>
    <w:p w14:paraId="769FED0C"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Use a practical fictional example: a participant learns baking but lacks an oven, affordable ingredients, childcare, pricing knowledge and customers. Show how this converts a successful training output into a weak livelihood outcome. Then present the missing supports: demand research, basic numeracy, unit costing, savings, starter assets, mentoring, customer acquisition, transport, safety and household negotiation. Explain that some participants may be better served by apprenticeships or wage placement than immediate self-employment. Propose that every course begin with a local-market scan and conclude with an individual transition plan. The article should invite businesses to provide workplace visits, apprenticeships, wholesale purchasing or coaching rather than only donating equipment. Cite Uganda’s high concentration of women in vulnerable and informal </w:t>
      </w:r>
      <w:r w:rsidRPr="00D0732F">
        <w:rPr>
          <w:rFonts w:ascii="Segoe UI" w:eastAsia="Times New Roman" w:hAnsi="Segoe UI" w:cs="Segoe UI"/>
          <w:color w:val="0D0D0D"/>
          <w:kern w:val="0"/>
          <w:sz w:val="22"/>
          <w:szCs w:val="22"/>
          <w:lang w:eastAsia="en-GB"/>
          <w14:ligatures w14:val="none"/>
        </w:rPr>
        <w:lastRenderedPageBreak/>
        <w:t>employment as the reason to measure profit and stability, not simply whether an enterprise exists. </w:t>
      </w:r>
    </w:p>
    <w:p w14:paraId="7055CDA8"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Trainers, donors, employers, enterprise partners and programme designers.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“Offer a market, apprenticeship or mentor—not only a training fee.”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“Training-to-income gap” diagram; anonymised business canvas.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vocational training outcomes Uganda; women business support Jinja; skills to employment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Skills-to-Income Pathway, Business Partner Form; external — Uganda women’s-enterprise programmes.</w:t>
      </w:r>
    </w:p>
    <w:p w14:paraId="26BFA03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Twenty-Four — Social-ready: From Fabric to Customer</w:t>
      </w:r>
    </w:p>
    <w:p w14:paraId="207327E4"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Follow one product through a safe, non-exploitative story: selecting material, measuring, cutting, stitching, checking quality, calculating cost, packaging and reaching a customer. Focus on skill and enterprise rather than the maker’s private trauma. Include a transparent example of unit economics with locally validated numbers: materials, labour, overhead, selling price and margin. If real prices have not been verified, use a clearly labelled illustrative template with blank fields. Explain how a customer or wholesale buyer can support the programme by valuing quality, ordering consistently and paying fairly, rather than purchasing out of pity. Link to a product catalogue only if Treasured Vessels can fulfil orders, manage payments, protect participant data and handle delivery reliably.</w:t>
      </w:r>
    </w:p>
    <w:p w14:paraId="7CCE269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Local buyers, diaspora supporters, ethical retailers and business mentors.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“Become a repeat buyer or help validate the centre’s product-costing model.”</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Six-step product process; product-only photography; captioned reel.</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handmade products Jinja Uganda; women tailoring enterprise; ethical products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Product Catalogue or Coming Soon, Skills Programme, Wholesale Enquiry; external — appropriate Ugandan enterprise resources.</w:t>
      </w:r>
    </w:p>
    <w:p w14:paraId="0BABB472"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“Empowerment is not a photograph beside a sewing machine. It is skill, quality, fair costing, a real customer, control over earnings and the confidence to plan the next order. Buy because the work is good—and help make the market dependable.”</w:t>
      </w:r>
    </w:p>
    <w:p w14:paraId="55362C7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Twenty-Five — Savings, Financial Literacy and Control Over Income</w:t>
      </w:r>
    </w:p>
    <w:p w14:paraId="1A53B94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Explain why earning money and controlling money are different outcomes. A participant may generate sales while a partner or relative takes the proceeds, or she may be unable to distinguish revenue from profit. Introduce simple practices: separate household and business cash; record every sale and expense; calculate true unit cost; agree a savings goal; assess borrowing carefully; and keep records secure. Discuss savings groups as a potential source of discipline, mutual support and small capital, while noting that group governance, confidentiality and safeguarding require attention. Include a one-page cashbook template and an audio explanation for participants with limited literacy. Explain that staff should never hold informal participant funds without formal controls. Link financial literacy to violence prevention by acknowledging economic abuse and the need to assess whether increased earnings could trigger retaliation.</w:t>
      </w:r>
    </w:p>
    <w:p w14:paraId="18F7A48C"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Participants, trainers, savings groups, microfinance partners and donors.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“Fund financial-literacy sessions and secure record-keeping materials.”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Illustrated cashbook; revenue-versus-profit example.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financial literacy women Uganda; savings groups young mothers; business cashbook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lastRenderedPageBreak/>
        <w:t>Links:</w:t>
      </w:r>
      <w:r w:rsidRPr="00D0732F">
        <w:rPr>
          <w:rFonts w:ascii="Segoe UI" w:eastAsia="Times New Roman" w:hAnsi="Segoe UI" w:cs="Segoe UI"/>
          <w:color w:val="0D0D0D"/>
          <w:kern w:val="0"/>
          <w:sz w:val="22"/>
          <w:szCs w:val="22"/>
          <w:lang w:eastAsia="en-GB"/>
          <w14:ligatures w14:val="none"/>
        </w:rPr>
        <w:t> Internal — Skills Programme, Downloadable Cashbook, Safeguarding; external — UWEP or a regulated financial-literacy source.</w:t>
      </w:r>
    </w:p>
    <w:p w14:paraId="6F705AD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Twenty-Six — Childcare Is Economic Infrastructure</w:t>
      </w:r>
    </w:p>
    <w:p w14:paraId="4459A4A0"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Show how childcare affects education, training attendance, employment and wellbeing for young mothers. Avoid implying that motherhood is an inconvenience; frame reliable, safe childcare as an enabling service. Discuss options Treasured Vessels could </w:t>
      </w:r>
      <w:proofErr w:type="gramStart"/>
      <w:r w:rsidRPr="00D0732F">
        <w:rPr>
          <w:rFonts w:ascii="Segoe UI" w:eastAsia="Times New Roman" w:hAnsi="Segoe UI" w:cs="Segoe UI"/>
          <w:color w:val="0D0D0D"/>
          <w:kern w:val="0"/>
          <w:sz w:val="22"/>
          <w:szCs w:val="22"/>
          <w:lang w:eastAsia="en-GB"/>
          <w14:ligatures w14:val="none"/>
        </w:rPr>
        <w:t>assess:</w:t>
      </w:r>
      <w:proofErr w:type="gramEnd"/>
      <w:r w:rsidRPr="00D0732F">
        <w:rPr>
          <w:rFonts w:ascii="Segoe UI" w:eastAsia="Times New Roman" w:hAnsi="Segoe UI" w:cs="Segoe UI"/>
          <w:color w:val="0D0D0D"/>
          <w:kern w:val="0"/>
          <w:sz w:val="22"/>
          <w:szCs w:val="22"/>
          <w:lang w:eastAsia="en-GB"/>
          <w14:ligatures w14:val="none"/>
        </w:rPr>
        <w:t xml:space="preserve"> on-site supervised childcare during classes, childcare stipends, trusted community arrangements, flexible timetables, breastfeeding breaks and referral to early-childhood services. Set minimum standards before introducing childcare: trained and vetted carers, safe ratios, attendance and collection records, health and emergency procedures, secure premises, incident reporting and consent. Include young mothers in designing hours and arrangements. Measure whether childcare changes attendance, completion, work participation and stress. A donor-facing cost box can show the difference between funding a training place alone and funding a training place that a mother can </w:t>
      </w:r>
      <w:proofErr w:type="gramStart"/>
      <w:r w:rsidRPr="00D0732F">
        <w:rPr>
          <w:rFonts w:ascii="Segoe UI" w:eastAsia="Times New Roman" w:hAnsi="Segoe UI" w:cs="Segoe UI"/>
          <w:color w:val="0D0D0D"/>
          <w:kern w:val="0"/>
          <w:sz w:val="22"/>
          <w:szCs w:val="22"/>
          <w:lang w:eastAsia="en-GB"/>
          <w14:ligatures w14:val="none"/>
        </w:rPr>
        <w:t>actually attend</w:t>
      </w:r>
      <w:proofErr w:type="gramEnd"/>
      <w:r w:rsidRPr="00D0732F">
        <w:rPr>
          <w:rFonts w:ascii="Segoe UI" w:eastAsia="Times New Roman" w:hAnsi="Segoe UI" w:cs="Segoe UI"/>
          <w:color w:val="0D0D0D"/>
          <w:kern w:val="0"/>
          <w:sz w:val="22"/>
          <w:szCs w:val="22"/>
          <w:lang w:eastAsia="en-GB"/>
          <w14:ligatures w14:val="none"/>
        </w:rPr>
        <w:t>.</w:t>
      </w:r>
    </w:p>
    <w:p w14:paraId="3E0D62B8"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Young mothers, donors, trainers, employers and childcare partners.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“Sponsor safe childcare alongside one education or skills place.”</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Childcare-enabled participation diagram; safe room layout without children’s faces.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childcare young mothers Uganda; teenage mother vocational training; support single mothers Jinja.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Young Mothers, Childcare Standards, Sponsor a Place; external — official early-childhood or child-protection guidance.</w:t>
      </w:r>
    </w:p>
    <w:p w14:paraId="22910975"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 xml:space="preserve">Day Twenty-Seven — What Treasured Vessels Needs </w:t>
      </w:r>
      <w:proofErr w:type="gramStart"/>
      <w:r w:rsidRPr="00D0732F">
        <w:rPr>
          <w:rFonts w:ascii="Segoe UI" w:eastAsia="Times New Roman" w:hAnsi="Segoe UI" w:cs="Segoe UI"/>
          <w:b/>
          <w:bCs/>
          <w:color w:val="0D0D0D"/>
          <w:kern w:val="0"/>
          <w:sz w:val="22"/>
          <w:szCs w:val="22"/>
          <w:bdr w:val="single" w:sz="2" w:space="0" w:color="auto" w:frame="1"/>
          <w:lang w:eastAsia="en-GB"/>
          <w14:ligatures w14:val="none"/>
        </w:rPr>
        <w:t>From</w:t>
      </w:r>
      <w:proofErr w:type="gramEnd"/>
      <w:r w:rsidRPr="00D0732F">
        <w:rPr>
          <w:rFonts w:ascii="Segoe UI" w:eastAsia="Times New Roman" w:hAnsi="Segoe UI" w:cs="Segoe UI"/>
          <w:b/>
          <w:bCs/>
          <w:color w:val="0D0D0D"/>
          <w:kern w:val="0"/>
          <w:sz w:val="22"/>
          <w:szCs w:val="22"/>
          <w:bdr w:val="single" w:sz="2" w:space="0" w:color="auto" w:frame="1"/>
          <w:lang w:eastAsia="en-GB"/>
          <w14:ligatures w14:val="none"/>
        </w:rPr>
        <w:t xml:space="preserve"> a Good Partner</w:t>
      </w:r>
    </w:p>
    <w:p w14:paraId="3124947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Define partnership as mutual accountability, not logo collection. Set out the centre’s priority partner categories: schools, adolescent-friendly health facilities, legal and GBV services, qualified counsellors, vocational institutions, employers, buyers, childcare providers, research institutions and responsible funders. Describe minimum expectations: legal status and references; safeguarding compatibility; clear roles; referral and data-sharing rules; no unauthorised beneficiary photography; cost and reporting agreement; complaints route; and periodic review. Acknowledge that past collaborations, such as the reusable-pad sewing campaign, demonstrate international goodwill but should be accompanied by local needs assessment, product standards, logistics and follow-up. Include a standard one-page partnership concept form and distinguish formal partners from occasional donors or social-media supporters. </w:t>
      </w:r>
    </w:p>
    <w:p w14:paraId="63604D3B"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NGOs, government services, businesses, universities, churches and foundations.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“Submit a partnership concept against one defined programme need.”</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Partnership ecosystem; due-diligence checklist.</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partner girls charity Uganda; NGO partnership Jinja; support women’s centre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xml:space="preserve"> Internal — Partner </w:t>
      </w:r>
      <w:proofErr w:type="gramStart"/>
      <w:r w:rsidRPr="00D0732F">
        <w:rPr>
          <w:rFonts w:ascii="Segoe UI" w:eastAsia="Times New Roman" w:hAnsi="Segoe UI" w:cs="Segoe UI"/>
          <w:color w:val="0D0D0D"/>
          <w:kern w:val="0"/>
          <w:sz w:val="22"/>
          <w:szCs w:val="22"/>
          <w:lang w:eastAsia="en-GB"/>
          <w14:ligatures w14:val="none"/>
        </w:rPr>
        <w:t>With</w:t>
      </w:r>
      <w:proofErr w:type="gramEnd"/>
      <w:r w:rsidRPr="00D0732F">
        <w:rPr>
          <w:rFonts w:ascii="Segoe UI" w:eastAsia="Times New Roman" w:hAnsi="Segoe UI" w:cs="Segoe UI"/>
          <w:color w:val="0D0D0D"/>
          <w:kern w:val="0"/>
          <w:sz w:val="22"/>
          <w:szCs w:val="22"/>
          <w:lang w:eastAsia="en-GB"/>
          <w14:ligatures w14:val="none"/>
        </w:rPr>
        <w:t xml:space="preserve"> Us, Safeguarding, Due Diligence, Programme Priorities; external — relevant official partner sites.</w:t>
      </w:r>
    </w:p>
    <w:p w14:paraId="007FAC86"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Twenty-Eight — Social-ready: What a Transparent Donation Appeal Looks Like</w:t>
      </w:r>
    </w:p>
    <w:p w14:paraId="3D0A4D39"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xml:space="preserve"> Replace vague appeals with a model that states the need, amount, unit, </w:t>
      </w:r>
      <w:proofErr w:type="gramStart"/>
      <w:r w:rsidRPr="00D0732F">
        <w:rPr>
          <w:rFonts w:ascii="Segoe UI" w:eastAsia="Times New Roman" w:hAnsi="Segoe UI" w:cs="Segoe UI"/>
          <w:color w:val="0D0D0D"/>
          <w:kern w:val="0"/>
          <w:sz w:val="22"/>
          <w:szCs w:val="22"/>
          <w:lang w:eastAsia="en-GB"/>
          <w14:ligatures w14:val="none"/>
        </w:rPr>
        <w:t>time period</w:t>
      </w:r>
      <w:proofErr w:type="gramEnd"/>
      <w:r w:rsidRPr="00D0732F">
        <w:rPr>
          <w:rFonts w:ascii="Segoe UI" w:eastAsia="Times New Roman" w:hAnsi="Segoe UI" w:cs="Segoe UI"/>
          <w:color w:val="0D0D0D"/>
          <w:kern w:val="0"/>
          <w:sz w:val="22"/>
          <w:szCs w:val="22"/>
          <w:lang w:eastAsia="en-GB"/>
          <w14:ligatures w14:val="none"/>
        </w:rPr>
        <w:t xml:space="preserve">, controls and report-back date. Present a fictional structure pending verified costs: “UGX X equips one learner for a four-week module; the amount covers trainer time, materials, safety equipment and assessment; childcare and start-up tools are costed separately.” Explain that costs must be approved internally and updated when prices change. Show how restricted gifts are recorded and what happens if a target is exceeded or cannot be delivered. Include accepted payment channels only after organisational ownership and fraud controls have </w:t>
      </w:r>
      <w:r w:rsidRPr="00D0732F">
        <w:rPr>
          <w:rFonts w:ascii="Segoe UI" w:eastAsia="Times New Roman" w:hAnsi="Segoe UI" w:cs="Segoe UI"/>
          <w:color w:val="0D0D0D"/>
          <w:kern w:val="0"/>
          <w:sz w:val="22"/>
          <w:szCs w:val="22"/>
          <w:lang w:eastAsia="en-GB"/>
          <w14:ligatures w14:val="none"/>
        </w:rPr>
        <w:lastRenderedPageBreak/>
        <w:t>been verified. Promise a modest, deliverable report—expenditure, participants reached, completion and lessons—not personal access to beneficiaries. Acknowledge that the current website does not publish audited accounts or a clear donor framework, making this an essential credibility improvement.</w:t>
      </w:r>
    </w:p>
    <w:p w14:paraId="4F41548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Existing supporters, prospective donors, churches and diaspora communities.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“Give to a costed result and receive a defined report-back.”</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Donation-unit card; simple funds-to-activity diagram.</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donate girls Uganda transparently; support women Jinja; charity donation accountability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Donate, Financial Accountability, Current Appeals; external — registration or payment-provider verification.</w:t>
      </w:r>
    </w:p>
    <w:p w14:paraId="1855B084"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Social snippet:</w:t>
      </w:r>
      <w:r w:rsidRPr="00D0732F">
        <w:rPr>
          <w:rFonts w:ascii="Segoe UI" w:eastAsia="Times New Roman" w:hAnsi="Segoe UI" w:cs="Segoe UI"/>
          <w:color w:val="0D0D0D"/>
          <w:kern w:val="0"/>
          <w:sz w:val="22"/>
          <w:szCs w:val="22"/>
          <w:lang w:eastAsia="en-GB"/>
          <w14:ligatures w14:val="none"/>
        </w:rPr>
        <w:t> “A strong donation appeal answers six questions: what is needed, what it costs, what the gift covers, who authorises it, when the work will happen and how results will be reported. Generosity grows when accountability is visible.”</w:t>
      </w:r>
    </w:p>
    <w:p w14:paraId="2A618522"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Twenty-Nine — Measuring Change Without Reducing Girls to Numbers</w:t>
      </w:r>
    </w:p>
    <w:p w14:paraId="7A3D2045"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Explain the difference between outputs, outcomes and long-term impact. Outputs include sessions held, kits distributed and trainees enrolled. Outcomes include school retention, course competency, referral completion, enterprise activity, income control, safety and wellbeing. Long-term impact concerns sustained education, livelihoods and freedom from violence but is harder to attribute to one organisation. Propose a small Treasured Vessels dashboard: people reached by programme; demographic categories collected only where necessary; completion; education status; referral completion; enterprise status; participant-defined progress; complaints; safeguarding incidents; and consent withdrawal. Explain that data should never be collected merely because a donor might find it interesting. Use unique codes instead of names in analysis files and restrict access to case records. Invite an academic or monitoring partner to help validate indicators and establish a 2026 baseline.</w:t>
      </w:r>
    </w:p>
    <w:p w14:paraId="160BFCBE"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Donors, programme staff, researchers, board members and partners.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“Support the centre’s first ethical baseline and impact dashboard.”</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Visual:</w:t>
      </w:r>
      <w:r w:rsidRPr="00D0732F">
        <w:rPr>
          <w:rFonts w:ascii="Segoe UI" w:eastAsia="Times New Roman" w:hAnsi="Segoe UI" w:cs="Segoe UI"/>
          <w:color w:val="0D0D0D"/>
          <w:kern w:val="0"/>
          <w:sz w:val="22"/>
          <w:szCs w:val="22"/>
          <w:lang w:eastAsia="en-GB"/>
          <w14:ligatures w14:val="none"/>
        </w:rPr>
        <w:t> Output–outcome–impact ladder; sample anonymised dashboard.</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NGO impact measurement Uganda; girls empowerment indicators; charity transparency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Impact Dashboard, Data Privacy, Annual Report; external — relevant government, UN and evaluation sources.</w:t>
      </w:r>
    </w:p>
    <w:p w14:paraId="64EBBA4C"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Day Thirty — The Next Ninety Days: A Community Commitment to Girls’ Futures</w:t>
      </w:r>
    </w:p>
    <w:p w14:paraId="4256D51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Brief:</w:t>
      </w:r>
      <w:r w:rsidRPr="00D0732F">
        <w:rPr>
          <w:rFonts w:ascii="Segoe UI" w:eastAsia="Times New Roman" w:hAnsi="Segoe UI" w:cs="Segoe UI"/>
          <w:color w:val="0D0D0D"/>
          <w:kern w:val="0"/>
          <w:sz w:val="22"/>
          <w:szCs w:val="22"/>
          <w:lang w:eastAsia="en-GB"/>
          <w14:ligatures w14:val="none"/>
        </w:rPr>
        <w:t> Close the campaign by summarising what the previous twenty-nine articles have established: girls require safety, continued education, respectful health and legal referrals, menstrual dignity, mental-health support, practical skills, childcare, markets and a voice in decisions. Present a ninety-day organisational action plan with no more than five measurable commitments: publish safeguarding and privacy policies; verify the Jinja referral directory; enrol a defined first skills or education cohort; establish baseline outcome measures; and publish the first financial and programme update. Invite readers into specific roles—beneficiary referral, school partner, clinical or legal service, business mentor, buyer, volunteer with a defined skill, or accountable donor. Avoid ending with an undifferentiated request for money. Publish the names of participating institutions only after written agreement, and report progress at thirty, sixty and ninety days.</w:t>
      </w:r>
    </w:p>
    <w:p w14:paraId="1838D6C1"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b/>
          <w:bCs/>
          <w:color w:val="0D0D0D"/>
          <w:kern w:val="0"/>
          <w:sz w:val="22"/>
          <w:szCs w:val="22"/>
          <w:bdr w:val="single" w:sz="2" w:space="0" w:color="auto" w:frame="1"/>
          <w:lang w:eastAsia="en-GB"/>
          <w14:ligatures w14:val="none"/>
        </w:rPr>
        <w:t>Audience:</w:t>
      </w:r>
      <w:r w:rsidRPr="00D0732F">
        <w:rPr>
          <w:rFonts w:ascii="Segoe UI" w:eastAsia="Times New Roman" w:hAnsi="Segoe UI" w:cs="Segoe UI"/>
          <w:color w:val="0D0D0D"/>
          <w:kern w:val="0"/>
          <w:sz w:val="22"/>
          <w:szCs w:val="22"/>
          <w:lang w:eastAsia="en-GB"/>
          <w14:ligatures w14:val="none"/>
        </w:rPr>
        <w:t> All campaign audiences.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CTA:</w:t>
      </w:r>
      <w:r w:rsidRPr="00D0732F">
        <w:rPr>
          <w:rFonts w:ascii="Segoe UI" w:eastAsia="Times New Roman" w:hAnsi="Segoe UI" w:cs="Segoe UI"/>
          <w:color w:val="0D0D0D"/>
          <w:kern w:val="0"/>
          <w:sz w:val="22"/>
          <w:szCs w:val="22"/>
          <w:lang w:eastAsia="en-GB"/>
          <w14:ligatures w14:val="none"/>
        </w:rPr>
        <w:t> “Choose one role in the ninety-day action plan and register your commitment.”</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lastRenderedPageBreak/>
        <w:t>Visual:</w:t>
      </w:r>
      <w:r w:rsidRPr="00D0732F">
        <w:rPr>
          <w:rFonts w:ascii="Segoe UI" w:eastAsia="Times New Roman" w:hAnsi="Segoe UI" w:cs="Segoe UI"/>
          <w:color w:val="0D0D0D"/>
          <w:kern w:val="0"/>
          <w:sz w:val="22"/>
          <w:szCs w:val="22"/>
          <w:lang w:eastAsia="en-GB"/>
          <w14:ligatures w14:val="none"/>
        </w:rPr>
        <w:t> Ninety-day commitment tracker; staff sign-off video with captions.</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SEO:</w:t>
      </w:r>
      <w:r w:rsidRPr="00D0732F">
        <w:rPr>
          <w:rFonts w:ascii="Segoe UI" w:eastAsia="Times New Roman" w:hAnsi="Segoe UI" w:cs="Segoe UI"/>
          <w:color w:val="0D0D0D"/>
          <w:kern w:val="0"/>
          <w:sz w:val="22"/>
          <w:szCs w:val="22"/>
          <w:lang w:eastAsia="en-GB"/>
          <w14:ligatures w14:val="none"/>
        </w:rPr>
        <w:t> support girls in Jinja; Treasured Vessels Uganda campaign; women empowerment partnership Uganda.</w:t>
      </w:r>
      <w:r w:rsidRPr="00D0732F">
        <w:rPr>
          <w:rFonts w:ascii="Segoe UI" w:eastAsia="Times New Roman" w:hAnsi="Segoe UI" w:cs="Segoe UI"/>
          <w:color w:val="0D0D0D"/>
          <w:kern w:val="0"/>
          <w:sz w:val="22"/>
          <w:szCs w:val="22"/>
          <w:lang w:eastAsia="en-GB"/>
          <w14:ligatures w14:val="none"/>
        </w:rPr>
        <w:br/>
      </w:r>
      <w:r w:rsidRPr="00D0732F">
        <w:rPr>
          <w:rFonts w:ascii="Segoe UI" w:eastAsia="Times New Roman" w:hAnsi="Segoe UI" w:cs="Segoe UI"/>
          <w:b/>
          <w:bCs/>
          <w:color w:val="0D0D0D"/>
          <w:kern w:val="0"/>
          <w:sz w:val="22"/>
          <w:szCs w:val="22"/>
          <w:bdr w:val="single" w:sz="2" w:space="0" w:color="auto" w:frame="1"/>
          <w:lang w:eastAsia="en-GB"/>
          <w14:ligatures w14:val="none"/>
        </w:rPr>
        <w:t>Links:</w:t>
      </w:r>
      <w:r w:rsidRPr="00D0732F">
        <w:rPr>
          <w:rFonts w:ascii="Segoe UI" w:eastAsia="Times New Roman" w:hAnsi="Segoe UI" w:cs="Segoe UI"/>
          <w:color w:val="0D0D0D"/>
          <w:kern w:val="0"/>
          <w:sz w:val="22"/>
          <w:szCs w:val="22"/>
          <w:lang w:eastAsia="en-GB"/>
          <w14:ligatures w14:val="none"/>
        </w:rPr>
        <w:t> Internal — Campaign Hub, Partner, Donate, Refer, Impact Dashboard; external — principal Uganda policy and evidence sources.</w:t>
      </w:r>
    </w:p>
    <w:p w14:paraId="57935AF7" w14:textId="77777777" w:rsidR="00D0732F" w:rsidRPr="00D0732F" w:rsidRDefault="00D0732F" w:rsidP="00D0732F">
      <w:pPr>
        <w:pBdr>
          <w:top w:val="single" w:sz="2" w:space="0" w:color="auto"/>
          <w:left w:val="single" w:sz="2" w:space="0" w:color="auto"/>
          <w:bottom w:val="single" w:sz="2" w:space="0" w:color="auto"/>
          <w:right w:val="single" w:sz="2" w:space="0" w:color="auto"/>
        </w:pBdr>
        <w:shd w:val="clear" w:color="auto" w:fill="FFFFFF"/>
        <w:spacing w:after="120"/>
        <w:rPr>
          <w:rFonts w:ascii="Segoe UI" w:eastAsia="Times New Roman" w:hAnsi="Segoe UI" w:cs="Segoe UI"/>
          <w:color w:val="0D0D0D"/>
          <w:kern w:val="0"/>
          <w:sz w:val="22"/>
          <w:szCs w:val="22"/>
          <w:lang w:eastAsia="en-GB"/>
          <w14:ligatures w14:val="none"/>
        </w:rPr>
      </w:pPr>
      <w:r w:rsidRPr="00D0732F">
        <w:rPr>
          <w:rFonts w:ascii="Segoe UI" w:eastAsia="Times New Roman" w:hAnsi="Segoe UI" w:cs="Segoe UI"/>
          <w:color w:val="0D0D0D"/>
          <w:kern w:val="0"/>
          <w:sz w:val="22"/>
          <w:szCs w:val="22"/>
          <w:lang w:eastAsia="en-GB"/>
          <w14:ligatures w14:val="none"/>
        </w:rPr>
        <w:t>The four pillar posts are Days One, Eight, Fifteen and Twenty-Two. The eight social-ready entries are Days Three, Six, Ten, Thirteen, Seventeen, Twenty, Twenty-Four and Twenty-Eight.</w:t>
      </w:r>
    </w:p>
    <w:p w14:paraId="07A1B801" w14:textId="77777777" w:rsidR="007B28C4" w:rsidRDefault="007B28C4"/>
    <w:sectPr w:rsidR="007B28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32F"/>
    <w:rsid w:val="0070012F"/>
    <w:rsid w:val="007B28C4"/>
    <w:rsid w:val="00D073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DBE0BA3"/>
  <w15:chartTrackingRefBased/>
  <w15:docId w15:val="{F94EC182-C68B-1E43-95D7-AC95198C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7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7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32F"/>
    <w:rPr>
      <w:rFonts w:eastAsiaTheme="majorEastAsia" w:cstheme="majorBidi"/>
      <w:color w:val="272727" w:themeColor="text1" w:themeTint="D8"/>
    </w:rPr>
  </w:style>
  <w:style w:type="paragraph" w:styleId="Title">
    <w:name w:val="Title"/>
    <w:basedOn w:val="Normal"/>
    <w:next w:val="Normal"/>
    <w:link w:val="TitleChar"/>
    <w:uiPriority w:val="10"/>
    <w:qFormat/>
    <w:rsid w:val="00D073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32F"/>
    <w:rPr>
      <w:i/>
      <w:iCs/>
      <w:color w:val="404040" w:themeColor="text1" w:themeTint="BF"/>
    </w:rPr>
  </w:style>
  <w:style w:type="paragraph" w:styleId="ListParagraph">
    <w:name w:val="List Paragraph"/>
    <w:basedOn w:val="Normal"/>
    <w:uiPriority w:val="34"/>
    <w:qFormat/>
    <w:rsid w:val="00D0732F"/>
    <w:pPr>
      <w:ind w:left="720"/>
      <w:contextualSpacing/>
    </w:pPr>
  </w:style>
  <w:style w:type="character" w:styleId="IntenseEmphasis">
    <w:name w:val="Intense Emphasis"/>
    <w:basedOn w:val="DefaultParagraphFont"/>
    <w:uiPriority w:val="21"/>
    <w:qFormat/>
    <w:rsid w:val="00D0732F"/>
    <w:rPr>
      <w:i/>
      <w:iCs/>
      <w:color w:val="0F4761" w:themeColor="accent1" w:themeShade="BF"/>
    </w:rPr>
  </w:style>
  <w:style w:type="paragraph" w:styleId="IntenseQuote">
    <w:name w:val="Intense Quote"/>
    <w:basedOn w:val="Normal"/>
    <w:next w:val="Normal"/>
    <w:link w:val="IntenseQuoteChar"/>
    <w:uiPriority w:val="30"/>
    <w:qFormat/>
    <w:rsid w:val="00D07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32F"/>
    <w:rPr>
      <w:i/>
      <w:iCs/>
      <w:color w:val="0F4761" w:themeColor="accent1" w:themeShade="BF"/>
    </w:rPr>
  </w:style>
  <w:style w:type="character" w:styleId="IntenseReference">
    <w:name w:val="Intense Reference"/>
    <w:basedOn w:val="DefaultParagraphFont"/>
    <w:uiPriority w:val="32"/>
    <w:qFormat/>
    <w:rsid w:val="00D0732F"/>
    <w:rPr>
      <w:b/>
      <w:bCs/>
      <w:smallCaps/>
      <w:color w:val="0F4761" w:themeColor="accent1" w:themeShade="BF"/>
      <w:spacing w:val="5"/>
    </w:rPr>
  </w:style>
  <w:style w:type="paragraph" w:customStyle="1" w:styleId="text-token-text-primary">
    <w:name w:val="text-token-text-primary"/>
    <w:basedOn w:val="Normal"/>
    <w:rsid w:val="00D0732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073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7122</Words>
  <Characters>40600</Characters>
  <Application>Microsoft Office Word</Application>
  <DocSecurity>0</DocSecurity>
  <Lines>338</Lines>
  <Paragraphs>95</Paragraphs>
  <ScaleCrop>false</ScaleCrop>
  <Company/>
  <LinksUpToDate>false</LinksUpToDate>
  <CharactersWithSpaces>47627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Support@Bike Zoomar</dc:creator>
  <cp:keywords/>
  <dc:description/>
  <cp:lastModifiedBy>Support@Bike Zoomar</cp:lastModifiedBy>
  <cp:revision>1</cp:revision>
  <dcterms:created xsi:type="dcterms:W3CDTF">2026-08-07T09:00:00Z</dcterms:created>
  <dcterms:modified xsi:type="dcterms:W3CDTF">2026-08-07T09:01:00Z</dcterms:modified>
</cp:coreProperties>
</file>