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2"/>
          <w:szCs w:val="52"/>
        </w:rPr>
        <w:t xml:space="preserve">MANA BREAST CENTER</w:t>
      </w:r>
    </w:p>
    <w:p>
      <w:pPr>
        <w:spacing w:after="100"/>
        <w:jc w:val="center"/>
      </w:pPr>
      <w:r>
        <w:rPr>
          <w:b/>
          <w:bCs/>
          <w:color w:val="0F6B72"/>
          <w:sz w:val="36"/>
          <w:szCs w:val="36"/>
        </w:rPr>
        <w:t xml:space="preserve">Master Workflow Training Guide</w:t>
      </w:r>
    </w:p>
    <w:p>
      <w:pPr>
        <w:spacing w:after="600"/>
        <w:jc w:val="center"/>
      </w:pPr>
      <w:r>
        <w:rPr>
          <w:i/>
          <w:iCs/>
          <w:color w:val="555555"/>
          <w:sz w:val="22"/>
          <w:szCs w:val="22"/>
        </w:rPr>
        <w:t xml:space="preserve">Patient Journey: Order Intake → Pending Appointments → Registration → Technologist → Billing &amp; Coding → Task Management</w:t>
      </w:r>
    </w:p>
    <w:p>
      <w:pPr>
        <w:spacing w:after="80"/>
        <w:jc w:val="center"/>
      </w:pPr>
      <w:r>
        <w:rPr>
          <w:color w:val="555555"/>
          <w:sz w:val="20"/>
          <w:szCs w:val="20"/>
        </w:rPr>
        <w:t xml:space="preserve">Compiled: July 27, 2026</w:t>
      </w:r>
    </w:p>
    <w:p>
      <w:pPr>
        <w:spacing w:after="800"/>
        <w:jc w:val="center"/>
      </w:pPr>
      <w:r>
        <w:rPr>
          <w:color w:val="555555"/>
          <w:sz w:val="20"/>
          <w:szCs w:val="20"/>
        </w:rPr>
        <w:t xml:space="preserve">Prepared for Trainer Reference &amp; Staff Onboarding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8"/>
              <w:left w:val="single" w:color="2E75B6" w:sz="8"/>
              <w:bottom w:val="single" w:color="2E75B6" w:sz="8"/>
              <w:right w:val="single" w:color="2E75B6" w:sz="8"/>
            </w:tcBorders>
            <w:shd w:fill="EAF1F8" w:val="clear"/>
            <w:tcMar>
              <w:top w:type="dxa" w:w="200"/>
              <w:left w:type="dxa" w:w="300"/>
              <w:bottom w:type="dxa" w:w="200"/>
              <w:right w:type="dxa" w:w="300"/>
            </w:tcMar>
          </w:tcPr>
          <w:p>
            <w:pPr>
              <w:spacing w:after="100"/>
            </w:pPr>
            <w:r>
              <w:rPr>
                <w:b/>
                <w:bCs/>
                <w:color w:val="2E75B6"/>
                <w:sz w:val="22"/>
                <w:szCs w:val="22"/>
              </w:rPr>
              <w:t xml:space="preserve">HOW TO USE THIS GUIDE</w:t>
            </w:r>
          </w:p>
          <w:p>
            <w:pPr>
              <w:spacing w:after="100"/>
            </w:pPr>
            <w:r>
              <w:rPr>
                <w:sz w:val="21"/>
                <w:szCs w:val="21"/>
              </w:rPr>
              <w:t xml:space="preserve">This guide consolidates the Breast Center workflow review into the same format used for the Imaging Center training guide. Each section opens with a Workflow Summary describing what the process accomplishes and why it matters, followed by a Detailed Step-by-Step trainers can use to walk staff through the process, and closes with a Systems Involved reference table. Where the source review flagged unresolved configuration items, those appear in an amber Action Required box so trainers know which pieces of the workflow are still being finalized.</w:t>
            </w:r>
          </w:p>
          <w:p>
            <w:pPr>
              <w:spacing w:after="0"/>
            </w:pPr>
            <w:r>
              <w:rPr>
                <w:sz w:val="21"/>
                <w:szCs w:val="21"/>
              </w:rPr>
              <w:t xml:space="preserve">Note the Breast Center has its own system nuances versus the general Imaging Center workflow — most notably MagView as an additional system of record, eCW as the sole authoritative source for MRNs (no Faxio), and use of an “Arrive” status that the Imaging Center does not use. Trainers should call these differences out explicitly for staff who float between departments.</w:t>
            </w:r>
          </w:p>
        </w:tc>
      </w:tr>
    </w:tbl>
    <w:p>
      <w:r>
        <w:br w:type="page"/>
      </w:r>
    </w:p>
    <w:p>
      <w:pPr>
        <w:pStyle w:val="Heading1"/>
        <w:pBdr>
          <w:bottom w:val="single" w:color="1F3864" w:sz="12" w:space="4"/>
        </w:pBdr>
        <w:spacing w:after="200" w:before="480"/>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12" w:space="4"/>
        </w:pBdr>
        <w:spacing w:after="200" w:before="480"/>
      </w:pPr>
      <w:r>
        <w:rPr>
          <w:b/>
          <w:bCs/>
          <w:color w:val="1F3864"/>
          <w:sz w:val="32"/>
          <w:szCs w:val="32"/>
        </w:rPr>
        <w:t xml:space="preserve">1. Order Intake</w:t>
      </w:r>
    </w:p>
    <w:p>
      <w:pPr>
        <w:spacing w:after="200"/>
      </w:pPr>
      <w:r>
        <w:rPr>
          <w:i/>
          <w:iCs/>
          <w:color w:val="666666"/>
          <w:sz w:val="18"/>
          <w:szCs w:val="18"/>
        </w:rPr>
        <w:t xml:space="preserve">Source document date: 12/2019</w:t>
      </w:r>
      <w:r>
        <w:rPr>
          <w:i/>
          <w:iCs/>
          <w:color w:val="666666"/>
          <w:sz w:val="18"/>
          <w:szCs w:val="18"/>
        </w:rPr>
        <w:t xml:space="preserve">   |   Prepared by: Ruben Gonzalez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8"/>
              <w:left w:val="single" w:color="2E75B6" w:sz="8"/>
              <w:bottom w:val="single" w:color="2E75B6" w:sz="8"/>
              <w:right w:val="single" w:color="2E75B6" w:sz="8"/>
            </w:tcBorders>
            <w:shd w:fill="EAF1F8" w:val="clear"/>
            <w:tcMar>
              <w:top w:type="dxa" w:w="150"/>
              <w:left w:type="dxa" w:w="200"/>
              <w:bottom w:type="dxa" w:w="150"/>
              <w:right w:type="dxa" w:w="200"/>
            </w:tcMar>
          </w:tcPr>
          <w:p>
            <w:pPr>
              <w:spacing w:after="40"/>
            </w:pPr>
            <w:r>
              <w:rPr>
                <w:b/>
                <w:bCs/>
                <w:color w:val="2E75B6"/>
                <w:sz w:val="20"/>
                <w:szCs w:val="20"/>
              </w:rPr>
              <w:t xml:space="preserve">WORKFLOW SUMMARY</w:t>
            </w:r>
          </w:p>
          <w:p>
            <w:pPr>
              <w:spacing w:after="0"/>
            </w:pPr>
            <w:r>
              <w:rPr>
                <w:sz w:val="22"/>
                <w:szCs w:val="22"/>
              </w:rPr>
              <w:t xml:space="preserve">This section covers how breast imaging orders are received and processed into the system. eCW is the authoritative source for all Medical Record Numbers (MRNs) in the Breast Center — a stricter rule than the general Imaging Center — which is why AbbaDox cannot use Faxio here. Trainers should make sure staff understand the full documentation chain: order received by eFax, patient created in eCW, ADT sent to AbbaDox, appointment scheduled, and accession number/order documents routed to MagView.</w:t>
            </w:r>
          </w:p>
        </w:tc>
      </w:tr>
    </w:tbl>
    <w:p>
      <w:pPr>
        <w:spacing w:after="120"/>
      </w:pPr>
    </w:p>
    <w:p>
      <w:pPr>
        <w:pStyle w:val="Heading2"/>
        <w:spacing w:after="140" w:before="320"/>
      </w:pPr>
      <w:r>
        <w:rPr>
          <w:b/>
          <w:bCs/>
          <w:color w:val="0F6B72"/>
          <w:sz w:val="26"/>
          <w:szCs w:val="26"/>
        </w:rPr>
        <w:t xml:space="preserve">Detailed Step-by-Step</w:t>
      </w:r>
    </w:p>
    <w:p>
      <w:pPr>
        <w:pStyle w:val="Heading3"/>
        <w:spacing w:after="100" w:before="220"/>
      </w:pPr>
      <w:r>
        <w:rPr>
          <w:b/>
          <w:bCs/>
          <w:color w:val="404040"/>
          <w:sz w:val="23"/>
          <w:szCs w:val="23"/>
        </w:rPr>
        <w:t xml:space="preserve">System of Record</w:t>
      </w:r>
    </w:p>
    <w:p>
      <w:pPr>
        <w:pStyle w:val="ListParagraph"/>
        <w:numPr>
          <w:ilvl w:val="0"/>
          <w:numId w:val="2"/>
        </w:numPr>
        <w:spacing w:after="60"/>
      </w:pPr>
      <w:r>
        <w:rPr>
          <w:sz w:val="22"/>
          <w:szCs w:val="22"/>
        </w:rPr>
        <w:t xml:space="preserve">eCW serves as the true source for all Medical Record Numbers (MRNs).</w:t>
      </w:r>
    </w:p>
    <w:p>
      <w:pPr>
        <w:pStyle w:val="ListParagraph"/>
        <w:numPr>
          <w:ilvl w:val="0"/>
          <w:numId w:val="2"/>
        </w:numPr>
        <w:spacing w:after="60"/>
      </w:pPr>
      <w:r>
        <w:rPr>
          <w:sz w:val="22"/>
          <w:szCs w:val="22"/>
        </w:rPr>
        <w:t xml:space="preserve">Due to this requirement, AbbaDox cannot utilize Faxio for the Breast Center.</w:t>
      </w:r>
    </w:p>
    <w:p>
      <w:pPr>
        <w:pStyle w:val="Heading3"/>
        <w:spacing w:after="100" w:before="220"/>
      </w:pPr>
      <w:r>
        <w:rPr>
          <w:b/>
          <w:bCs/>
          <w:color w:val="404040"/>
          <w:sz w:val="23"/>
          <w:szCs w:val="23"/>
        </w:rPr>
        <w:t xml:space="preserve">Order Reception and Processing</w:t>
      </w:r>
    </w:p>
    <w:p>
      <w:pPr>
        <w:pStyle w:val="ListParagraph"/>
        <w:numPr>
          <w:ilvl w:val="0"/>
          <w:numId w:val="3"/>
        </w:numPr>
        <w:spacing w:after="60"/>
      </w:pPr>
      <w:r>
        <w:rPr>
          <w:sz w:val="22"/>
          <w:szCs w:val="22"/>
        </w:rPr>
        <w:t xml:space="preserve">Orders are received through the Windows eFax application.</w:t>
      </w:r>
    </w:p>
    <w:p>
      <w:pPr>
        <w:pStyle w:val="ListParagraph"/>
        <w:numPr>
          <w:ilvl w:val="0"/>
          <w:numId w:val="3"/>
        </w:numPr>
        <w:spacing w:after="60"/>
      </w:pPr>
      <w:r>
        <w:rPr>
          <w:sz w:val="22"/>
          <w:szCs w:val="22"/>
        </w:rPr>
        <w:t xml:space="preserve">For new patients, staff creates the patient record in eCW first.</w:t>
      </w:r>
    </w:p>
    <w:p>
      <w:pPr>
        <w:pStyle w:val="ListParagraph"/>
        <w:numPr>
          <w:ilvl w:val="0"/>
          <w:numId w:val="3"/>
        </w:numPr>
        <w:spacing w:after="60"/>
      </w:pPr>
      <w:r>
        <w:rPr>
          <w:sz w:val="22"/>
          <w:szCs w:val="22"/>
        </w:rPr>
        <w:t xml:space="preserve">eCW automatically sends an ADT (Admission, Discharge, Transfer) message to AbbaDox with patient details.</w:t>
      </w:r>
    </w:p>
    <w:p>
      <w:pPr>
        <w:pStyle w:val="ListParagraph"/>
        <w:numPr>
          <w:ilvl w:val="0"/>
          <w:numId w:val="3"/>
        </w:numPr>
        <w:spacing w:after="60"/>
      </w:pPr>
      <w:r>
        <w:rPr>
          <w:sz w:val="22"/>
          <w:szCs w:val="22"/>
        </w:rPr>
        <w:t xml:space="preserve">Staff then schedules the appointment in AbbaDox by searching for the patient.</w:t>
      </w:r>
    </w:p>
    <w:p>
      <w:pPr>
        <w:pStyle w:val="ListParagraph"/>
        <w:numPr>
          <w:ilvl w:val="0"/>
          <w:numId w:val="3"/>
        </w:numPr>
        <w:spacing w:after="60"/>
      </w:pPr>
      <w:r>
        <w:rPr>
          <w:sz w:val="22"/>
          <w:szCs w:val="22"/>
        </w:rPr>
        <w:t xml:space="preserve">The accession number is transmitted to MagView.</w:t>
      </w:r>
    </w:p>
    <w:p>
      <w:pPr>
        <w:pStyle w:val="ListParagraph"/>
        <w:numPr>
          <w:ilvl w:val="0"/>
          <w:numId w:val="3"/>
        </w:numPr>
        <w:spacing w:after="60"/>
      </w:pPr>
      <w:r>
        <w:rPr>
          <w:sz w:val="22"/>
          <w:szCs w:val="22"/>
        </w:rPr>
        <w:t xml:space="preserve">Order documents are scanned directly into MagView for reference.</w:t>
      </w:r>
    </w:p>
    <w:p>
      <w:pPr>
        <w:spacing w:after="120"/>
      </w:pPr>
    </w:p>
    <w:p>
      <w:pPr>
        <w:pStyle w:val="Heading2"/>
        <w:spacing w:after="140" w:before="320"/>
      </w:pPr>
      <w:r>
        <w:rPr>
          <w:b/>
          <w:bCs/>
          <w:color w:val="0F6B72"/>
          <w:sz w:val="26"/>
          <w:szCs w:val="26"/>
        </w:rPr>
        <w:t xml:space="preserve">Systems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System</w:t>
            </w:r>
          </w:p>
        </w:tc>
        <w:tc>
          <w:tcPr>
            <w:tcW w:type="pct" w:w="70%"/>
            <w:shd w:fill="1F3864" w:val="clear"/>
            <w:tcMar>
              <w:top w:type="dxa" w:w="100"/>
              <w:left w:type="dxa" w:w="120"/>
              <w:bottom w:type="dxa" w:w="100"/>
              <w:right w:type="dxa" w:w="120"/>
            </w:tcMar>
            <w:vAlign w:val="center"/>
          </w:tcPr>
          <w:p>
            <w:r>
              <w:rPr>
                <w:b/>
                <w:bCs/>
                <w:color w:val="FFFFFF"/>
                <w:sz w:val="21"/>
                <w:szCs w:val="21"/>
              </w:rPr>
              <w:t xml:space="preserve">Role in Workflow</w:t>
            </w:r>
          </w:p>
        </w:tc>
      </w:tr>
      <w:tr>
        <w:tc>
          <w:tcPr>
            <w:tcW w:type="pct" w:w="30%"/>
            <w:shd w:fill="FFFFFF" w:val="clear"/>
            <w:tcMar>
              <w:top w:type="dxa" w:w="90"/>
              <w:left w:type="dxa" w:w="120"/>
              <w:bottom w:type="dxa" w:w="90"/>
              <w:right w:type="dxa" w:w="120"/>
            </w:tcMar>
          </w:tcPr>
          <w:p>
            <w:r>
              <w:rPr>
                <w:b/>
                <w:bCs/>
                <w:sz w:val="20"/>
                <w:szCs w:val="20"/>
              </w:rPr>
              <w:t xml:space="preserve">eCW (eClinicalWorks)</w:t>
            </w:r>
          </w:p>
        </w:tc>
        <w:tc>
          <w:tcPr>
            <w:tcW w:type="pct" w:w="70%"/>
            <w:shd w:fill="FFFFFF" w:val="clear"/>
            <w:tcMar>
              <w:top w:type="dxa" w:w="90"/>
              <w:left w:type="dxa" w:w="120"/>
              <w:bottom w:type="dxa" w:w="90"/>
              <w:right w:type="dxa" w:w="120"/>
            </w:tcMar>
          </w:tcPr>
          <w:p>
            <w:r>
              <w:rPr>
                <w:sz w:val="20"/>
                <w:szCs w:val="20"/>
              </w:rPr>
              <w:t xml:space="preserve">Authoritative source for all MRNs; where new patient records are created first.</w:t>
            </w:r>
          </w:p>
        </w:tc>
      </w:tr>
      <w:tr>
        <w:tc>
          <w:tcPr>
            <w:tcW w:type="pct" w:w="30%"/>
            <w:shd w:fill="F2F2F2" w:val="clear"/>
            <w:tcMar>
              <w:top w:type="dxa" w:w="90"/>
              <w:left w:type="dxa" w:w="120"/>
              <w:bottom w:type="dxa" w:w="90"/>
              <w:right w:type="dxa" w:w="120"/>
            </w:tcMar>
          </w:tcPr>
          <w:p>
            <w:r>
              <w:rPr>
                <w:b/>
                <w:bCs/>
                <w:sz w:val="20"/>
                <w:szCs w:val="20"/>
              </w:rPr>
              <w:t xml:space="preserve">Windows eFax</w:t>
            </w:r>
          </w:p>
        </w:tc>
        <w:tc>
          <w:tcPr>
            <w:tcW w:type="pct" w:w="70%"/>
            <w:shd w:fill="F2F2F2" w:val="clear"/>
            <w:tcMar>
              <w:top w:type="dxa" w:w="90"/>
              <w:left w:type="dxa" w:w="120"/>
              <w:bottom w:type="dxa" w:w="90"/>
              <w:right w:type="dxa" w:w="120"/>
            </w:tcMar>
          </w:tcPr>
          <w:p>
            <w:r>
              <w:rPr>
                <w:sz w:val="20"/>
                <w:szCs w:val="20"/>
              </w:rPr>
              <w:t xml:space="preserve">Application through which breast center orders are received.</w:t>
            </w:r>
          </w:p>
        </w:tc>
      </w:tr>
      <w:tr>
        <w:tc>
          <w:tcPr>
            <w:tcW w:type="pct" w:w="30%"/>
            <w:shd w:fill="FFFFFF" w:val="clear"/>
            <w:tcMar>
              <w:top w:type="dxa" w:w="90"/>
              <w:left w:type="dxa" w:w="120"/>
              <w:bottom w:type="dxa" w:w="90"/>
              <w:right w:type="dxa" w:w="120"/>
            </w:tcMar>
          </w:tcPr>
          <w:p>
            <w:r>
              <w:rPr>
                <w:b/>
                <w:bCs/>
                <w:sz w:val="20"/>
                <w:szCs w:val="20"/>
              </w:rPr>
              <w:t xml:space="preserve">AbbaDox</w:t>
            </w:r>
          </w:p>
        </w:tc>
        <w:tc>
          <w:tcPr>
            <w:tcW w:type="pct" w:w="70%"/>
            <w:shd w:fill="FFFFFF" w:val="clear"/>
            <w:tcMar>
              <w:top w:type="dxa" w:w="90"/>
              <w:left w:type="dxa" w:w="120"/>
              <w:bottom w:type="dxa" w:w="90"/>
              <w:right w:type="dxa" w:w="120"/>
            </w:tcMar>
          </w:tcPr>
          <w:p>
            <w:r>
              <w:rPr>
                <w:sz w:val="20"/>
                <w:szCs w:val="20"/>
              </w:rPr>
              <w:t xml:space="preserve">RIS used to schedule the appointment after ADT is received; cannot use Faxio for this center.</w:t>
            </w:r>
          </w:p>
        </w:tc>
      </w:tr>
      <w:tr>
        <w:tc>
          <w:tcPr>
            <w:tcW w:type="pct" w:w="30%"/>
            <w:shd w:fill="F2F2F2" w:val="clear"/>
            <w:tcMar>
              <w:top w:type="dxa" w:w="90"/>
              <w:left w:type="dxa" w:w="120"/>
              <w:bottom w:type="dxa" w:w="90"/>
              <w:right w:type="dxa" w:w="120"/>
            </w:tcMar>
          </w:tcPr>
          <w:p>
            <w:r>
              <w:rPr>
                <w:b/>
                <w:bCs/>
                <w:sz w:val="20"/>
                <w:szCs w:val="20"/>
              </w:rPr>
              <w:t xml:space="preserve">MagView</w:t>
            </w:r>
          </w:p>
        </w:tc>
        <w:tc>
          <w:tcPr>
            <w:tcW w:type="pct" w:w="70%"/>
            <w:shd w:fill="F2F2F2" w:val="clear"/>
            <w:tcMar>
              <w:top w:type="dxa" w:w="90"/>
              <w:left w:type="dxa" w:w="120"/>
              <w:bottom w:type="dxa" w:w="90"/>
              <w:right w:type="dxa" w:w="120"/>
            </w:tcMar>
          </w:tcPr>
          <w:p>
            <w:r>
              <w:rPr>
                <w:sz w:val="20"/>
                <w:szCs w:val="20"/>
              </w:rPr>
              <w:t xml:space="preserve">Receives the accession number and stores scanned order documents for reference.</w:t>
            </w:r>
          </w:p>
        </w:tc>
      </w:tr>
    </w:tbl>
    <w:p>
      <w:r>
        <w:br w:type="page"/>
      </w:r>
    </w:p>
    <w:p>
      <w:pPr>
        <w:pStyle w:val="Heading1"/>
        <w:pBdr>
          <w:bottom w:val="single" w:color="1F3864" w:sz="12" w:space="4"/>
        </w:pBdr>
        <w:spacing w:after="200" w:before="480"/>
      </w:pPr>
      <w:r>
        <w:rPr>
          <w:b/>
          <w:bCs/>
          <w:color w:val="1F3864"/>
          <w:sz w:val="32"/>
          <w:szCs w:val="32"/>
        </w:rPr>
        <w:t xml:space="preserve">2. Pending Appointments and Scheduling</w:t>
      </w:r>
    </w:p>
    <w:p>
      <w:pPr>
        <w:spacing w:after="200"/>
      </w:pPr>
      <w:r>
        <w:rPr>
          <w:i/>
          <w:iCs/>
          <w:color w:val="666666"/>
          <w:sz w:val="18"/>
          <w:szCs w:val="18"/>
        </w:rPr>
        <w:t xml:space="preserve">Source document date: 12/2019</w:t>
      </w:r>
      <w:r>
        <w:rPr>
          <w:i/>
          <w:iCs/>
          <w:color w:val="666666"/>
          <w:sz w:val="18"/>
          <w:szCs w:val="18"/>
        </w:rPr>
        <w:t xml:space="preserve">   |   Prepared by: Ruben Gonzalez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8"/>
              <w:left w:val="single" w:color="2E75B6" w:sz="8"/>
              <w:bottom w:val="single" w:color="2E75B6" w:sz="8"/>
              <w:right w:val="single" w:color="2E75B6" w:sz="8"/>
            </w:tcBorders>
            <w:shd w:fill="EAF1F8" w:val="clear"/>
            <w:tcMar>
              <w:top w:type="dxa" w:w="150"/>
              <w:left w:type="dxa" w:w="200"/>
              <w:bottom w:type="dxa" w:w="150"/>
              <w:right w:type="dxa" w:w="200"/>
            </w:tcMar>
          </w:tcPr>
          <w:p>
            <w:pPr>
              <w:spacing w:after="40"/>
            </w:pPr>
            <w:r>
              <w:rPr>
                <w:b/>
                <w:bCs/>
                <w:color w:val="2E75B6"/>
                <w:sz w:val="20"/>
                <w:szCs w:val="20"/>
              </w:rPr>
              <w:t xml:space="preserve">WORKFLOW SUMMARY</w:t>
            </w:r>
          </w:p>
          <w:p>
            <w:pPr>
              <w:spacing w:after="0"/>
            </w:pPr>
            <w:r>
              <w:rPr>
                <w:sz w:val="22"/>
                <w:szCs w:val="22"/>
              </w:rPr>
              <w:t xml:space="preserve">This section describes how appointments are created and scheduled, and how pending appointments are tracked when a patient cannot be reached right away. As with the general Imaging Center, the Breast Center uses a sequential pending-reason system to track scheduling attempts — but with Breast Center-specific (“BC”) labels. Trainers should stress the rule that patient information should never be edited in AbbaDox, since eCW remains the source of truth.</w:t>
            </w:r>
          </w:p>
        </w:tc>
      </w:tr>
    </w:tbl>
    <w:p>
      <w:pPr>
        <w:spacing w:after="120"/>
      </w:pPr>
    </w:p>
    <w:p>
      <w:pPr>
        <w:pStyle w:val="Heading2"/>
        <w:spacing w:after="140" w:before="320"/>
      </w:pPr>
      <w:r>
        <w:rPr>
          <w:b/>
          <w:bCs/>
          <w:color w:val="0F6B72"/>
          <w:sz w:val="26"/>
          <w:szCs w:val="26"/>
        </w:rPr>
        <w:t xml:space="preserve">Detailed Step-by-Step</w:t>
      </w:r>
    </w:p>
    <w:p>
      <w:pPr>
        <w:pStyle w:val="Heading3"/>
        <w:spacing w:after="100" w:before="220"/>
      </w:pPr>
      <w:r>
        <w:rPr>
          <w:b/>
          <w:bCs/>
          <w:color w:val="404040"/>
          <w:sz w:val="23"/>
          <w:szCs w:val="23"/>
        </w:rPr>
        <w:t xml:space="preserve">Initial Appointment Creation</w:t>
      </w:r>
    </w:p>
    <w:p>
      <w:pPr>
        <w:pStyle w:val="ListParagraph"/>
        <w:numPr>
          <w:ilvl w:val="0"/>
          <w:numId w:val="3"/>
        </w:numPr>
        <w:spacing w:after="60"/>
      </w:pPr>
      <w:r>
        <w:rPr>
          <w:sz w:val="22"/>
          <w:szCs w:val="22"/>
        </w:rPr>
        <w:t xml:space="preserve">User logs into AbbaDox and creates a pending appointment while referencing the order in Windows eFax.</w:t>
      </w:r>
    </w:p>
    <w:p>
      <w:pPr>
        <w:pStyle w:val="ListParagraph"/>
        <w:numPr>
          <w:ilvl w:val="0"/>
          <w:numId w:val="3"/>
        </w:numPr>
        <w:spacing w:after="60"/>
      </w:pPr>
      <w:r>
        <w:rPr>
          <w:sz w:val="22"/>
          <w:szCs w:val="22"/>
        </w:rPr>
        <w:t xml:space="preserve">Search for the patient in the system.</w:t>
      </w:r>
    </w:p>
    <w:p>
      <w:pPr>
        <w:pStyle w:val="ListParagraph"/>
        <w:numPr>
          <w:ilvl w:val="0"/>
          <w:numId w:val="3"/>
        </w:numPr>
        <w:spacing w:after="60"/>
      </w:pPr>
      <w:r>
        <w:rPr>
          <w:sz w:val="22"/>
          <w:szCs w:val="22"/>
        </w:rPr>
        <w:t xml:space="preserve">Open the patient's history window.</w:t>
      </w:r>
    </w:p>
    <w:p>
      <w:pPr>
        <w:pStyle w:val="ListParagraph"/>
        <w:numPr>
          <w:ilvl w:val="0"/>
          <w:numId w:val="3"/>
        </w:numPr>
        <w:spacing w:after="60"/>
      </w:pPr>
      <w:r>
        <w:rPr>
          <w:sz w:val="22"/>
          <w:szCs w:val="22"/>
        </w:rPr>
        <w:t xml:space="preserve">Select “New Appointment.”</w:t>
      </w:r>
    </w:p>
    <w:p>
      <w:pPr>
        <w:pStyle w:val="ListParagraph"/>
        <w:numPr>
          <w:ilvl w:val="0"/>
          <w:numId w:val="3"/>
        </w:numPr>
        <w:spacing w:after="60"/>
      </w:pPr>
      <w:r>
        <w:rPr>
          <w:sz w:val="22"/>
          <w:szCs w:val="22"/>
        </w:rPr>
        <w:t xml:space="preserve">Open the scheduling wizard.</w:t>
      </w:r>
    </w:p>
    <w:p>
      <w:pPr>
        <w:pStyle w:val="ListParagraph"/>
        <w:numPr>
          <w:ilvl w:val="0"/>
          <w:numId w:val="3"/>
        </w:numPr>
        <w:spacing w:after="60"/>
      </w:pPr>
      <w:r>
        <w:rPr>
          <w:sz w:val="22"/>
          <w:szCs w:val="22"/>
        </w:rPr>
        <w:t xml:space="preserve">Confirm patient details. Note: do not update patient information in AbbaDox; eCW is the authoritative source.</w:t>
      </w:r>
    </w:p>
    <w:p>
      <w:pPr>
        <w:pStyle w:val="Heading3"/>
        <w:spacing w:after="100" w:before="220"/>
      </w:pPr>
      <w:r>
        <w:rPr>
          <w:b/>
          <w:bCs/>
          <w:color w:val="404040"/>
          <w:sz w:val="23"/>
          <w:szCs w:val="23"/>
        </w:rPr>
        <w:t xml:space="preserve">Patient Contact and Scheduling</w:t>
      </w:r>
    </w:p>
    <w:p>
      <w:pPr>
        <w:spacing w:after="120"/>
      </w:pPr>
      <w:r>
        <w:rPr>
          <w:b/>
          <w:bCs/>
          <w:i w:val="false"/>
          <w:iCs w:val="false"/>
          <w:sz w:val="22"/>
          <w:szCs w:val="22"/>
        </w:rPr>
        <w:t xml:space="preserve">When Patient Answers:</w:t>
      </w:r>
    </w:p>
    <w:p>
      <w:pPr>
        <w:pStyle w:val="ListParagraph"/>
        <w:numPr>
          <w:ilvl w:val="0"/>
          <w:numId w:val="2"/>
        </w:numPr>
        <w:spacing w:after="60"/>
      </w:pPr>
      <w:r>
        <w:rPr>
          <w:sz w:val="22"/>
          <w:szCs w:val="22"/>
        </w:rPr>
        <w:t xml:space="preserve">Proceed immediately to the calendar step in the scheduling wizard.</w:t>
      </w:r>
    </w:p>
    <w:p>
      <w:pPr>
        <w:pStyle w:val="ListParagraph"/>
        <w:numPr>
          <w:ilvl w:val="0"/>
          <w:numId w:val="2"/>
        </w:numPr>
        <w:spacing w:after="60"/>
      </w:pPr>
      <w:r>
        <w:rPr>
          <w:sz w:val="22"/>
          <w:szCs w:val="22"/>
        </w:rPr>
        <w:t xml:space="preserve">AbbaDox scheduling rules will automatically guide users to appropriate locations and rooms.</w:t>
      </w:r>
    </w:p>
    <w:p>
      <w:pPr>
        <w:pStyle w:val="ListParagraph"/>
        <w:numPr>
          <w:ilvl w:val="0"/>
          <w:numId w:val="2"/>
        </w:numPr>
        <w:spacing w:after="60"/>
      </w:pPr>
      <w:r>
        <w:rPr>
          <w:sz w:val="22"/>
          <w:szCs w:val="22"/>
        </w:rPr>
        <w:t xml:space="preserve">After selecting the appointment time, select “Scheduled” to finalize the process.</w:t>
      </w:r>
    </w:p>
    <w:p>
      <w:pPr>
        <w:spacing w:after="120"/>
      </w:pPr>
      <w:r>
        <w:rPr>
          <w:b/>
          <w:bCs/>
          <w:i w:val="false"/>
          <w:iCs w:val="false"/>
          <w:sz w:val="22"/>
          <w:szCs w:val="22"/>
        </w:rPr>
        <w:t xml:space="preserve">When Patient Does Not Answer:</w:t>
      </w:r>
    </w:p>
    <w:p>
      <w:pPr>
        <w:pStyle w:val="ListParagraph"/>
        <w:numPr>
          <w:ilvl w:val="0"/>
          <w:numId w:val="2"/>
        </w:numPr>
        <w:spacing w:after="60"/>
      </w:pPr>
      <w:r>
        <w:rPr>
          <w:sz w:val="22"/>
          <w:szCs w:val="22"/>
        </w:rPr>
        <w:t xml:space="preserve">Save wizard details by creating a pending appointment.</w:t>
      </w:r>
    </w:p>
    <w:p>
      <w:pPr>
        <w:pStyle w:val="ListParagraph"/>
        <w:numPr>
          <w:ilvl w:val="0"/>
          <w:numId w:val="2"/>
        </w:numPr>
        <w:spacing w:after="60"/>
      </w:pPr>
      <w:r>
        <w:rPr>
          <w:sz w:val="22"/>
          <w:szCs w:val="22"/>
        </w:rPr>
        <w:t xml:space="preserve">Use Pending Reason: “BC To Be Scheduled.”</w:t>
      </w:r>
    </w:p>
    <w:p>
      <w:pPr>
        <w:pStyle w:val="ListParagraph"/>
        <w:numPr>
          <w:ilvl w:val="0"/>
          <w:numId w:val="2"/>
        </w:numPr>
        <w:spacing w:after="60"/>
      </w:pPr>
      <w:r>
        <w:rPr>
          <w:sz w:val="22"/>
          <w:szCs w:val="22"/>
        </w:rPr>
        <w:t xml:space="preserve">This allows the scheduling team to track unscheduled orders and their current status.</w:t>
      </w:r>
    </w:p>
    <w:p>
      <w:pPr>
        <w:pStyle w:val="Heading3"/>
        <w:spacing w:after="100" w:before="220"/>
      </w:pPr>
      <w:r>
        <w:rPr>
          <w:b/>
          <w:bCs/>
          <w:color w:val="404040"/>
          <w:sz w:val="23"/>
          <w:szCs w:val="23"/>
        </w:rPr>
        <w:t xml:space="preserve">Managing Pending Appointments</w:t>
      </w:r>
    </w:p>
    <w:p>
      <w:pPr>
        <w:spacing w:after="120"/>
      </w:pPr>
      <w:r>
        <w:rPr>
          <w:b/>
          <w:bCs/>
          <w:i w:val="false"/>
          <w:iCs w:val="false"/>
          <w:sz w:val="22"/>
          <w:szCs w:val="22"/>
        </w:rPr>
        <w:t xml:space="preserve">Worklist Management:</w:t>
      </w:r>
    </w:p>
    <w:p>
      <w:pPr>
        <w:pStyle w:val="ListParagraph"/>
        <w:numPr>
          <w:ilvl w:val="0"/>
          <w:numId w:val="2"/>
        </w:numPr>
        <w:spacing w:after="60"/>
      </w:pPr>
      <w:r>
        <w:rPr>
          <w:sz w:val="22"/>
          <w:szCs w:val="22"/>
        </w:rPr>
        <w:t xml:space="preserve">Pending appointments appear in the “Pending Appointments” worklist under “Breast Center Orders.”</w:t>
      </w:r>
    </w:p>
    <w:p>
      <w:pPr>
        <w:pStyle w:val="ListParagraph"/>
        <w:numPr>
          <w:ilvl w:val="0"/>
          <w:numId w:val="2"/>
        </w:numPr>
        <w:spacing w:after="60"/>
      </w:pPr>
      <w:r>
        <w:rPr>
          <w:sz w:val="22"/>
          <w:szCs w:val="22"/>
        </w:rPr>
        <w:t xml:space="preserve">Staff uses this worklist to monitor all pending appointments.</w:t>
      </w:r>
    </w:p>
    <w:p>
      <w:pPr>
        <w:pStyle w:val="ListParagraph"/>
        <w:numPr>
          <w:ilvl w:val="0"/>
          <w:numId w:val="2"/>
        </w:numPr>
        <w:spacing w:after="60"/>
      </w:pPr>
      <w:r>
        <w:rPr>
          <w:sz w:val="22"/>
          <w:szCs w:val="22"/>
        </w:rPr>
        <w:t xml:space="preserve">Schedulers can open pending appointments from the worklist to attempt scheduling.</w:t>
      </w:r>
    </w:p>
    <w:p>
      <w:pPr>
        <w:pStyle w:val="ListParagraph"/>
        <w:numPr>
          <w:ilvl w:val="0"/>
          <w:numId w:val="2"/>
        </w:numPr>
        <w:spacing w:after="60"/>
      </w:pPr>
      <w:r>
        <w:rPr>
          <w:sz w:val="22"/>
          <w:szCs w:val="22"/>
        </w:rPr>
        <w:t xml:space="preserve">After each unsuccessful scheduling attempt, update the pending reason to reflect the number of contact attempts.</w:t>
      </w:r>
    </w:p>
    <w:p>
      <w:pPr>
        <w:spacing w:after="120"/>
      </w:pPr>
      <w:r>
        <w:rPr>
          <w:b/>
          <w:bCs/>
          <w:i w:val="false"/>
          <w:iCs w:val="false"/>
          <w:sz w:val="22"/>
          <w:szCs w:val="22"/>
        </w:rPr>
        <w:t xml:space="preserve">Pending Reason Progression:</w:t>
      </w:r>
    </w:p>
    <w:p>
      <w:pPr>
        <w:pStyle w:val="ListParagraph"/>
        <w:numPr>
          <w:ilvl w:val="0"/>
          <w:numId w:val="2"/>
        </w:numPr>
        <w:spacing w:after="60"/>
      </w:pPr>
      <w:r>
        <w:rPr>
          <w:sz w:val="22"/>
          <w:szCs w:val="22"/>
        </w:rPr>
        <w:t xml:space="preserve">BC To Be Scheduled for 2nd attempt</w:t>
      </w:r>
    </w:p>
    <w:p>
      <w:pPr>
        <w:pStyle w:val="ListParagraph"/>
        <w:numPr>
          <w:ilvl w:val="0"/>
          <w:numId w:val="2"/>
        </w:numPr>
        <w:spacing w:after="60"/>
      </w:pPr>
      <w:r>
        <w:rPr>
          <w:sz w:val="22"/>
          <w:szCs w:val="22"/>
        </w:rPr>
        <w:t xml:space="preserve">BC To Be Scheduled for 3rd attempt</w:t>
      </w:r>
    </w:p>
    <w:p>
      <w:pPr>
        <w:pStyle w:val="ListParagraph"/>
        <w:numPr>
          <w:ilvl w:val="0"/>
          <w:numId w:val="2"/>
        </w:numPr>
        <w:spacing w:after="60"/>
      </w:pPr>
      <w:r>
        <w:rPr>
          <w:sz w:val="22"/>
          <w:szCs w:val="22"/>
        </w:rPr>
        <w:t xml:space="preserve">BC Unable to Schedule, Contact Referring</w:t>
      </w:r>
    </w:p>
    <w:p>
      <w:pPr>
        <w:spacing w:after="120"/>
      </w:pPr>
    </w:p>
    <w:p>
      <w:pPr>
        <w:pStyle w:val="Heading2"/>
        <w:spacing w:after="140" w:before="320"/>
      </w:pPr>
      <w:r>
        <w:rPr>
          <w:b/>
          <w:bCs/>
          <w:color w:val="0F6B72"/>
          <w:sz w:val="26"/>
          <w:szCs w:val="26"/>
        </w:rPr>
        <w:t xml:space="preserve">Systems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System</w:t>
            </w:r>
          </w:p>
        </w:tc>
        <w:tc>
          <w:tcPr>
            <w:tcW w:type="pct" w:w="70%"/>
            <w:shd w:fill="1F3864" w:val="clear"/>
            <w:tcMar>
              <w:top w:type="dxa" w:w="100"/>
              <w:left w:type="dxa" w:w="120"/>
              <w:bottom w:type="dxa" w:w="100"/>
              <w:right w:type="dxa" w:w="120"/>
            </w:tcMar>
            <w:vAlign w:val="center"/>
          </w:tcPr>
          <w:p>
            <w:r>
              <w:rPr>
                <w:b/>
                <w:bCs/>
                <w:color w:val="FFFFFF"/>
                <w:sz w:val="21"/>
                <w:szCs w:val="21"/>
              </w:rPr>
              <w:t xml:space="preserve">Role in Workflow</w:t>
            </w:r>
          </w:p>
        </w:tc>
      </w:tr>
      <w:tr>
        <w:tc>
          <w:tcPr>
            <w:tcW w:type="pct" w:w="30%"/>
            <w:shd w:fill="FFFFFF" w:val="clear"/>
            <w:tcMar>
              <w:top w:type="dxa" w:w="90"/>
              <w:left w:type="dxa" w:w="120"/>
              <w:bottom w:type="dxa" w:w="90"/>
              <w:right w:type="dxa" w:w="120"/>
            </w:tcMar>
          </w:tcPr>
          <w:p>
            <w:r>
              <w:rPr>
                <w:b/>
                <w:bCs/>
                <w:sz w:val="20"/>
                <w:szCs w:val="20"/>
              </w:rPr>
              <w:t xml:space="preserve">AbbaDox</w:t>
            </w:r>
          </w:p>
        </w:tc>
        <w:tc>
          <w:tcPr>
            <w:tcW w:type="pct" w:w="70%"/>
            <w:shd w:fill="FFFFFF" w:val="clear"/>
            <w:tcMar>
              <w:top w:type="dxa" w:w="90"/>
              <w:left w:type="dxa" w:w="120"/>
              <w:bottom w:type="dxa" w:w="90"/>
              <w:right w:type="dxa" w:w="120"/>
            </w:tcMar>
          </w:tcPr>
          <w:p>
            <w:r>
              <w:rPr>
                <w:sz w:val="20"/>
                <w:szCs w:val="20"/>
              </w:rPr>
              <w:t xml:space="preserve">Used to create pending appointments, run the scheduling wizard, and manage the Breast Center Orders worklist.</w:t>
            </w:r>
          </w:p>
        </w:tc>
      </w:tr>
      <w:tr>
        <w:tc>
          <w:tcPr>
            <w:tcW w:type="pct" w:w="30%"/>
            <w:shd w:fill="F2F2F2" w:val="clear"/>
            <w:tcMar>
              <w:top w:type="dxa" w:w="90"/>
              <w:left w:type="dxa" w:w="120"/>
              <w:bottom w:type="dxa" w:w="90"/>
              <w:right w:type="dxa" w:w="120"/>
            </w:tcMar>
          </w:tcPr>
          <w:p>
            <w:r>
              <w:rPr>
                <w:b/>
                <w:bCs/>
                <w:sz w:val="20"/>
                <w:szCs w:val="20"/>
              </w:rPr>
              <w:t xml:space="preserve">Windows eFax</w:t>
            </w:r>
          </w:p>
        </w:tc>
        <w:tc>
          <w:tcPr>
            <w:tcW w:type="pct" w:w="70%"/>
            <w:shd w:fill="F2F2F2" w:val="clear"/>
            <w:tcMar>
              <w:top w:type="dxa" w:w="90"/>
              <w:left w:type="dxa" w:w="120"/>
              <w:bottom w:type="dxa" w:w="90"/>
              <w:right w:type="dxa" w:w="120"/>
            </w:tcMar>
          </w:tcPr>
          <w:p>
            <w:r>
              <w:rPr>
                <w:sz w:val="20"/>
                <w:szCs w:val="20"/>
              </w:rPr>
              <w:t xml:space="preserve">Referenced when creating the pending appointment from the original order.</w:t>
            </w:r>
          </w:p>
        </w:tc>
      </w:tr>
      <w:tr>
        <w:tc>
          <w:tcPr>
            <w:tcW w:type="pct" w:w="30%"/>
            <w:shd w:fill="FFFFFF" w:val="clear"/>
            <w:tcMar>
              <w:top w:type="dxa" w:w="90"/>
              <w:left w:type="dxa" w:w="120"/>
              <w:bottom w:type="dxa" w:w="90"/>
              <w:right w:type="dxa" w:w="120"/>
            </w:tcMar>
          </w:tcPr>
          <w:p>
            <w:r>
              <w:rPr>
                <w:b/>
                <w:bCs/>
                <w:sz w:val="20"/>
                <w:szCs w:val="20"/>
              </w:rPr>
              <w:t xml:space="preserve">eCW (eClinicalWorks)</w:t>
            </w:r>
          </w:p>
        </w:tc>
        <w:tc>
          <w:tcPr>
            <w:tcW w:type="pct" w:w="70%"/>
            <w:shd w:fill="FFFFFF" w:val="clear"/>
            <w:tcMar>
              <w:top w:type="dxa" w:w="90"/>
              <w:left w:type="dxa" w:w="120"/>
              <w:bottom w:type="dxa" w:w="90"/>
              <w:right w:type="dxa" w:w="120"/>
            </w:tcMar>
          </w:tcPr>
          <w:p>
            <w:r>
              <w:rPr>
                <w:sz w:val="20"/>
                <w:szCs w:val="20"/>
              </w:rPr>
              <w:t xml:space="preserve">Remains the authoritative source for patient information; never edited from within AbbaDox.</w:t>
            </w:r>
          </w:p>
        </w:tc>
      </w:tr>
    </w:tbl>
    <w:p>
      <w:r>
        <w:br w:type="page"/>
      </w:r>
    </w:p>
    <w:p>
      <w:pPr>
        <w:pStyle w:val="Heading1"/>
        <w:pBdr>
          <w:bottom w:val="single" w:color="1F3864" w:sz="12" w:space="4"/>
        </w:pBdr>
        <w:spacing w:after="200" w:before="480"/>
      </w:pPr>
      <w:r>
        <w:rPr>
          <w:b/>
          <w:bCs/>
          <w:color w:val="1F3864"/>
          <w:sz w:val="32"/>
          <w:szCs w:val="32"/>
        </w:rPr>
        <w:t xml:space="preserve">3. Registration</w:t>
      </w:r>
    </w:p>
    <w:p>
      <w:pPr>
        <w:spacing w:after="200"/>
      </w:pPr>
      <w:r>
        <w:rPr>
          <w:i/>
          <w:iCs/>
          <w:color w:val="666666"/>
          <w:sz w:val="18"/>
          <w:szCs w:val="18"/>
        </w:rPr>
        <w:t xml:space="preserve">Source document date: 12/2019</w:t>
      </w:r>
      <w:r>
        <w:rPr>
          <w:i/>
          <w:iCs/>
          <w:color w:val="666666"/>
          <w:sz w:val="18"/>
          <w:szCs w:val="18"/>
        </w:rPr>
        <w:t xml:space="preserve">   |   Prepared by: Ruben Gonzalez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8"/>
              <w:left w:val="single" w:color="2E75B6" w:sz="8"/>
              <w:bottom w:val="single" w:color="2E75B6" w:sz="8"/>
              <w:right w:val="single" w:color="2E75B6" w:sz="8"/>
            </w:tcBorders>
            <w:shd w:fill="EAF1F8" w:val="clear"/>
            <w:tcMar>
              <w:top w:type="dxa" w:w="150"/>
              <w:left w:type="dxa" w:w="200"/>
              <w:bottom w:type="dxa" w:w="150"/>
              <w:right w:type="dxa" w:w="200"/>
            </w:tcMar>
          </w:tcPr>
          <w:p>
            <w:pPr>
              <w:spacing w:after="40"/>
            </w:pPr>
            <w:r>
              <w:rPr>
                <w:b/>
                <w:bCs/>
                <w:color w:val="2E75B6"/>
                <w:sz w:val="20"/>
                <w:szCs w:val="20"/>
              </w:rPr>
              <w:t xml:space="preserve">WORKFLOW SUMMARY</w:t>
            </w:r>
          </w:p>
          <w:p>
            <w:pPr>
              <w:spacing w:after="0"/>
            </w:pPr>
            <w:r>
              <w:rPr>
                <w:sz w:val="22"/>
                <w:szCs w:val="22"/>
              </w:rPr>
              <w:t xml:space="preserve">This section covers patient registration on the day of the appointment, including insurance verification, payment collection, status updates, and the documents that must accompany each visit. The Breast Center follows protocols that differ from the general Imaging Center in a few important ways: appointments start in “New” status, the workflow uses an “Arrive” status the Imaging Center does not use, and the router is printed from Careflow RIS the day before rather than at time of registration.</w:t>
            </w:r>
          </w:p>
        </w:tc>
      </w:tr>
    </w:tbl>
    <w:p>
      <w:pPr>
        <w:spacing w:after="120"/>
      </w:pPr>
    </w:p>
    <w:p>
      <w:pPr>
        <w:pStyle w:val="Heading2"/>
        <w:spacing w:after="140" w:before="320"/>
      </w:pPr>
      <w:r>
        <w:rPr>
          <w:b/>
          <w:bCs/>
          <w:color w:val="0F6B72"/>
          <w:sz w:val="26"/>
          <w:szCs w:val="26"/>
        </w:rPr>
        <w:t xml:space="preserve">Detailed Step-by-Step</w:t>
      </w:r>
    </w:p>
    <w:p>
      <w:pPr>
        <w:pStyle w:val="Heading3"/>
        <w:spacing w:after="100" w:before="220"/>
      </w:pPr>
      <w:r>
        <w:rPr>
          <w:b/>
          <w:bCs/>
          <w:color w:val="404040"/>
          <w:sz w:val="23"/>
          <w:szCs w:val="23"/>
        </w:rPr>
        <w:t xml:space="preserve">System Configuration</w:t>
      </w:r>
    </w:p>
    <w:p>
      <w:pPr>
        <w:pStyle w:val="ListParagraph"/>
        <w:numPr>
          <w:ilvl w:val="0"/>
          <w:numId w:val="2"/>
        </w:numPr>
        <w:spacing w:after="60"/>
      </w:pPr>
      <w:r>
        <w:rPr>
          <w:sz w:val="22"/>
          <w:szCs w:val="22"/>
        </w:rPr>
        <w:t xml:space="preserve">Expectation / Action Required: List View is set as the default.</w:t>
      </w:r>
    </w:p>
    <w:p>
      <w:pPr>
        <w:pStyle w:val="ListParagraph"/>
        <w:numPr>
          <w:ilvl w:val="0"/>
          <w:numId w:val="2"/>
        </w:numPr>
        <w:spacing w:after="60"/>
      </w:pPr>
      <w:r>
        <w:rPr>
          <w:sz w:val="22"/>
          <w:szCs w:val="22"/>
        </w:rPr>
        <w:t xml:space="preserve">Appointments begin in “New” status in AbbaDox.</w:t>
      </w:r>
    </w:p>
    <w:p>
      <w:pPr>
        <w:pStyle w:val="Heading3"/>
        <w:spacing w:after="100" w:before="220"/>
      </w:pPr>
      <w:r>
        <w:rPr>
          <w:b/>
          <w:bCs/>
          <w:color w:val="404040"/>
          <w:sz w:val="23"/>
          <w:szCs w:val="23"/>
        </w:rPr>
        <w:t xml:space="preserve">Pre-Arrival Tasks</w:t>
      </w:r>
    </w:p>
    <w:p>
      <w:pPr>
        <w:pStyle w:val="ListParagraph"/>
        <w:numPr>
          <w:ilvl w:val="0"/>
          <w:numId w:val="2"/>
        </w:numPr>
        <w:spacing w:after="60"/>
      </w:pPr>
      <w:r>
        <w:rPr>
          <w:sz w:val="22"/>
          <w:szCs w:val="22"/>
        </w:rPr>
        <w:t xml:space="preserve">ID card and insurance information are loaded into eCW.</w:t>
      </w:r>
    </w:p>
    <w:p>
      <w:pPr>
        <w:pStyle w:val="ListParagraph"/>
        <w:numPr>
          <w:ilvl w:val="0"/>
          <w:numId w:val="2"/>
        </w:numPr>
        <w:spacing w:after="60"/>
      </w:pPr>
      <w:r>
        <w:rPr>
          <w:sz w:val="22"/>
          <w:szCs w:val="22"/>
        </w:rPr>
        <w:t xml:space="preserve">Time of Service (TOS) payments are processed in eCW.</w:t>
      </w:r>
    </w:p>
    <w:p>
      <w:pPr>
        <w:pStyle w:val="Heading3"/>
        <w:spacing w:after="100" w:before="220"/>
      </w:pPr>
      <w:r>
        <w:rPr>
          <w:b/>
          <w:bCs/>
          <w:color w:val="404040"/>
          <w:sz w:val="23"/>
          <w:szCs w:val="23"/>
        </w:rPr>
        <w:t xml:space="preserve">Patient Arrival</w:t>
      </w:r>
    </w:p>
    <w:p>
      <w:pPr>
        <w:pStyle w:val="ListParagraph"/>
        <w:numPr>
          <w:ilvl w:val="0"/>
          <w:numId w:val="2"/>
        </w:numPr>
        <w:spacing w:after="60"/>
      </w:pPr>
      <w:r>
        <w:rPr>
          <w:sz w:val="22"/>
          <w:szCs w:val="22"/>
        </w:rPr>
        <w:t xml:space="preserve">When the patient arrives, update status to “Arrive” in AbbaDox.</w:t>
      </w:r>
    </w:p>
    <w:p>
      <w:pPr>
        <w:pStyle w:val="ListParagraph"/>
        <w:numPr>
          <w:ilvl w:val="0"/>
          <w:numId w:val="2"/>
        </w:numPr>
        <w:spacing w:after="60"/>
      </w:pPr>
      <w:r>
        <w:rPr>
          <w:sz w:val="22"/>
          <w:szCs w:val="22"/>
        </w:rPr>
        <w:t xml:space="preserve">Expectation: Configure AbbaDox to send status updates to MagView.</w:t>
      </w:r>
    </w:p>
    <w:p>
      <w:pPr>
        <w:pStyle w:val="ListParagraph"/>
        <w:numPr>
          <w:ilvl w:val="0"/>
          <w:numId w:val="2"/>
        </w:numPr>
        <w:spacing w:after="60"/>
      </w:pPr>
      <w:r>
        <w:rPr>
          <w:sz w:val="22"/>
          <w:szCs w:val="22"/>
        </w:rPr>
        <w:t xml:space="preserve">Note: the Imaging Center does not use “Arrive” status, but the Breast Center does.</w:t>
      </w:r>
    </w:p>
    <w:p>
      <w:pPr>
        <w:pStyle w:val="Heading3"/>
        <w:spacing w:after="100" w:before="220"/>
      </w:pPr>
      <w:r>
        <w:rPr>
          <w:b/>
          <w:bCs/>
          <w:color w:val="404040"/>
          <w:sz w:val="23"/>
          <w:szCs w:val="23"/>
        </w:rPr>
        <w:t xml:space="preserve">Documentation Requirements</w:t>
      </w:r>
    </w:p>
    <w:p>
      <w:pPr>
        <w:spacing w:after="120"/>
      </w:pPr>
      <w:r>
        <w:rPr>
          <w:b/>
          <w:bCs/>
          <w:i w:val="false"/>
          <w:iCs w:val="false"/>
          <w:sz w:val="22"/>
          <w:szCs w:val="22"/>
        </w:rPr>
        <w:t xml:space="preserve">Router:</w:t>
      </w:r>
    </w:p>
    <w:p>
      <w:pPr>
        <w:pStyle w:val="ListParagraph"/>
        <w:numPr>
          <w:ilvl w:val="0"/>
          <w:numId w:val="2"/>
        </w:numPr>
        <w:spacing w:after="60"/>
      </w:pPr>
      <w:r>
        <w:rPr>
          <w:sz w:val="22"/>
          <w:szCs w:val="22"/>
        </w:rPr>
        <w:t xml:space="preserve">Printed from Careflow RIS.</w:t>
      </w:r>
    </w:p>
    <w:p>
      <w:pPr>
        <w:pStyle w:val="ListParagraph"/>
        <w:numPr>
          <w:ilvl w:val="0"/>
          <w:numId w:val="2"/>
        </w:numPr>
        <w:spacing w:after="60"/>
      </w:pPr>
      <w:r>
        <w:rPr>
          <w:sz w:val="22"/>
          <w:szCs w:val="22"/>
        </w:rPr>
        <w:t xml:space="preserve">Printed the day before appointments.</w:t>
      </w:r>
    </w:p>
    <w:p>
      <w:pPr>
        <w:pStyle w:val="ListParagraph"/>
        <w:numPr>
          <w:ilvl w:val="0"/>
          <w:numId w:val="2"/>
        </w:numPr>
        <w:spacing w:after="60"/>
      </w:pPr>
      <w:r>
        <w:rPr>
          <w:sz w:val="22"/>
          <w:szCs w:val="22"/>
        </w:rPr>
        <w:t xml:space="preserve">Uses the Reform button.</w:t>
      </w:r>
    </w:p>
    <w:p>
      <w:pPr>
        <w:pStyle w:val="ListParagraph"/>
        <w:numPr>
          <w:ilvl w:val="0"/>
          <w:numId w:val="2"/>
        </w:numPr>
        <w:spacing w:after="60"/>
      </w:pPr>
      <w:r>
        <w:rPr>
          <w:sz w:val="22"/>
          <w:szCs w:val="22"/>
        </w:rPr>
        <w:t xml:space="preserve">After the procedure is TechCompleted, the technologist uploads the document to MagView.</w:t>
      </w:r>
    </w:p>
    <w:p>
      <w:pPr>
        <w:spacing w:after="120"/>
      </w:pPr>
      <w:r>
        <w:rPr>
          <w:b/>
          <w:bCs/>
          <w:i w:val="false"/>
          <w:iCs w:val="false"/>
          <w:sz w:val="22"/>
          <w:szCs w:val="22"/>
        </w:rPr>
        <w:t xml:space="preserve">Recommendation Sheet:</w:t>
      </w:r>
    </w:p>
    <w:p>
      <w:pPr>
        <w:pStyle w:val="ListParagraph"/>
        <w:numPr>
          <w:ilvl w:val="0"/>
          <w:numId w:val="2"/>
        </w:numPr>
        <w:spacing w:after="60"/>
      </w:pPr>
      <w:r>
        <w:rPr>
          <w:sz w:val="22"/>
          <w:szCs w:val="22"/>
        </w:rPr>
        <w:t xml:space="preserve">Reforma: required for diagnostic procedures only.</w:t>
      </w:r>
    </w:p>
    <w:p>
      <w:pPr>
        <w:spacing w:after="120"/>
      </w:pPr>
      <w:r>
        <w:rPr>
          <w:b/>
          <w:bCs/>
          <w:i w:val="false"/>
          <w:iCs w:val="false"/>
          <w:sz w:val="22"/>
          <w:szCs w:val="22"/>
        </w:rPr>
        <w:t xml:space="preserve">Risk Assessment:</w:t>
      </w:r>
    </w:p>
    <w:p>
      <w:pPr>
        <w:pStyle w:val="ListParagraph"/>
        <w:numPr>
          <w:ilvl w:val="0"/>
          <w:numId w:val="2"/>
        </w:numPr>
        <w:spacing w:after="60"/>
      </w:pPr>
      <w:r>
        <w:rPr>
          <w:sz w:val="22"/>
          <w:szCs w:val="22"/>
        </w:rPr>
        <w:t xml:space="preserve">Reforma: completed during the OB office visit.</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860B" w:sz="8"/>
              <w:left w:val="single" w:color="B8860B" w:sz="8"/>
              <w:bottom w:val="single" w:color="B8860B" w:sz="8"/>
              <w:right w:val="single" w:color="B8860B" w:sz="8"/>
            </w:tcBorders>
            <w:shd w:fill="FDF3E3" w:val="clear"/>
            <w:tcMar>
              <w:top w:type="dxa" w:w="150"/>
              <w:left w:type="dxa" w:w="200"/>
              <w:bottom w:type="dxa" w:w="150"/>
              <w:right w:type="dxa" w:w="200"/>
            </w:tcMar>
          </w:tcPr>
          <w:p>
            <w:pPr>
              <w:spacing w:after="40"/>
            </w:pPr>
            <w:r>
              <w:rPr>
                <w:b/>
                <w:bCs/>
                <w:color w:val="B8860B"/>
                <w:sz w:val="20"/>
                <w:szCs w:val="20"/>
              </w:rPr>
              <w:t xml:space="preserve">ACTION REQUIRED / OPEN CONFIGURATION ITEMS</w:t>
            </w:r>
          </w:p>
          <w:p>
            <w:pPr>
              <w:spacing w:after="0"/>
            </w:pPr>
            <w:r>
              <w:rPr>
                <w:sz w:val="22"/>
                <w:szCs w:val="22"/>
              </w:rPr>
              <w:t xml:space="preserve">•  List View needs to be confirmed/set as the default view for Registration staff.</w:t>
            </w:r>
          </w:p>
          <w:p>
            <w:pPr>
              <w:spacing w:after="0"/>
            </w:pPr>
            <w:r>
              <w:rPr>
                <w:sz w:val="22"/>
                <w:szCs w:val="22"/>
              </w:rPr>
              <w:t xml:space="preserve">•  AbbaDox needs to be configured to send “Arrive” status updates through to MagView.</w:t>
            </w:r>
          </w:p>
        </w:tc>
      </w:tr>
    </w:tbl>
    <w:p>
      <w:pPr>
        <w:spacing w:after="120"/>
      </w:pPr>
    </w:p>
    <w:p>
      <w:pPr>
        <w:pStyle w:val="Heading2"/>
        <w:spacing w:after="140" w:before="320"/>
      </w:pPr>
      <w:r>
        <w:rPr>
          <w:b/>
          <w:bCs/>
          <w:color w:val="0F6B72"/>
          <w:sz w:val="26"/>
          <w:szCs w:val="26"/>
        </w:rPr>
        <w:t xml:space="preserve">Systems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System</w:t>
            </w:r>
          </w:p>
        </w:tc>
        <w:tc>
          <w:tcPr>
            <w:tcW w:type="pct" w:w="70%"/>
            <w:shd w:fill="1F3864" w:val="clear"/>
            <w:tcMar>
              <w:top w:type="dxa" w:w="100"/>
              <w:left w:type="dxa" w:w="120"/>
              <w:bottom w:type="dxa" w:w="100"/>
              <w:right w:type="dxa" w:w="120"/>
            </w:tcMar>
            <w:vAlign w:val="center"/>
          </w:tcPr>
          <w:p>
            <w:r>
              <w:rPr>
                <w:b/>
                <w:bCs/>
                <w:color w:val="FFFFFF"/>
                <w:sz w:val="21"/>
                <w:szCs w:val="21"/>
              </w:rPr>
              <w:t xml:space="preserve">Role in Workflow</w:t>
            </w:r>
          </w:p>
        </w:tc>
      </w:tr>
      <w:tr>
        <w:tc>
          <w:tcPr>
            <w:tcW w:type="pct" w:w="30%"/>
            <w:shd w:fill="FFFFFF" w:val="clear"/>
            <w:tcMar>
              <w:top w:type="dxa" w:w="90"/>
              <w:left w:type="dxa" w:w="120"/>
              <w:bottom w:type="dxa" w:w="90"/>
              <w:right w:type="dxa" w:w="120"/>
            </w:tcMar>
          </w:tcPr>
          <w:p>
            <w:r>
              <w:rPr>
                <w:b/>
                <w:bCs/>
                <w:sz w:val="20"/>
                <w:szCs w:val="20"/>
              </w:rPr>
              <w:t xml:space="preserve">AbbaDox</w:t>
            </w:r>
          </w:p>
        </w:tc>
        <w:tc>
          <w:tcPr>
            <w:tcW w:type="pct" w:w="70%"/>
            <w:shd w:fill="FFFFFF" w:val="clear"/>
            <w:tcMar>
              <w:top w:type="dxa" w:w="90"/>
              <w:left w:type="dxa" w:w="120"/>
              <w:bottom w:type="dxa" w:w="90"/>
              <w:right w:type="dxa" w:w="120"/>
            </w:tcMar>
          </w:tcPr>
          <w:p>
            <w:r>
              <w:rPr>
                <w:sz w:val="20"/>
                <w:szCs w:val="20"/>
              </w:rPr>
              <w:t xml:space="preserve">Tracks appointment status (New → Arrive) and is configured to push status updates to MagView.</w:t>
            </w:r>
          </w:p>
        </w:tc>
      </w:tr>
      <w:tr>
        <w:tc>
          <w:tcPr>
            <w:tcW w:type="pct" w:w="30%"/>
            <w:shd w:fill="F2F2F2" w:val="clear"/>
            <w:tcMar>
              <w:top w:type="dxa" w:w="90"/>
              <w:left w:type="dxa" w:w="120"/>
              <w:bottom w:type="dxa" w:w="90"/>
              <w:right w:type="dxa" w:w="120"/>
            </w:tcMar>
          </w:tcPr>
          <w:p>
            <w:r>
              <w:rPr>
                <w:b/>
                <w:bCs/>
                <w:sz w:val="20"/>
                <w:szCs w:val="20"/>
              </w:rPr>
              <w:t xml:space="preserve">eCW (eClinicalWorks)</w:t>
            </w:r>
          </w:p>
        </w:tc>
        <w:tc>
          <w:tcPr>
            <w:tcW w:type="pct" w:w="70%"/>
            <w:shd w:fill="F2F2F2" w:val="clear"/>
            <w:tcMar>
              <w:top w:type="dxa" w:w="90"/>
              <w:left w:type="dxa" w:w="120"/>
              <w:bottom w:type="dxa" w:w="90"/>
              <w:right w:type="dxa" w:w="120"/>
            </w:tcMar>
          </w:tcPr>
          <w:p>
            <w:r>
              <w:rPr>
                <w:sz w:val="20"/>
                <w:szCs w:val="20"/>
              </w:rPr>
              <w:t xml:space="preserve">Where ID card, insurance information, and TOS payments are processed.</w:t>
            </w:r>
          </w:p>
        </w:tc>
      </w:tr>
      <w:tr>
        <w:tc>
          <w:tcPr>
            <w:tcW w:type="pct" w:w="30%"/>
            <w:shd w:fill="FFFFFF" w:val="clear"/>
            <w:tcMar>
              <w:top w:type="dxa" w:w="90"/>
              <w:left w:type="dxa" w:w="120"/>
              <w:bottom w:type="dxa" w:w="90"/>
              <w:right w:type="dxa" w:w="120"/>
            </w:tcMar>
          </w:tcPr>
          <w:p>
            <w:r>
              <w:rPr>
                <w:b/>
                <w:bCs/>
                <w:sz w:val="20"/>
                <w:szCs w:val="20"/>
              </w:rPr>
              <w:t xml:space="preserve">Careflow RIS</w:t>
            </w:r>
          </w:p>
        </w:tc>
        <w:tc>
          <w:tcPr>
            <w:tcW w:type="pct" w:w="70%"/>
            <w:shd w:fill="FFFFFF" w:val="clear"/>
            <w:tcMar>
              <w:top w:type="dxa" w:w="90"/>
              <w:left w:type="dxa" w:w="120"/>
              <w:bottom w:type="dxa" w:w="90"/>
              <w:right w:type="dxa" w:w="120"/>
            </w:tcMar>
          </w:tcPr>
          <w:p>
            <w:r>
              <w:rPr>
                <w:sz w:val="20"/>
                <w:szCs w:val="20"/>
              </w:rPr>
              <w:t xml:space="preserve">Source system for printing the router document.</w:t>
            </w:r>
          </w:p>
        </w:tc>
      </w:tr>
      <w:tr>
        <w:tc>
          <w:tcPr>
            <w:tcW w:type="pct" w:w="30%"/>
            <w:shd w:fill="F2F2F2" w:val="clear"/>
            <w:tcMar>
              <w:top w:type="dxa" w:w="90"/>
              <w:left w:type="dxa" w:w="120"/>
              <w:bottom w:type="dxa" w:w="90"/>
              <w:right w:type="dxa" w:w="120"/>
            </w:tcMar>
          </w:tcPr>
          <w:p>
            <w:r>
              <w:rPr>
                <w:b/>
                <w:bCs/>
                <w:sz w:val="20"/>
                <w:szCs w:val="20"/>
              </w:rPr>
              <w:t xml:space="preserve">MagView</w:t>
            </w:r>
          </w:p>
        </w:tc>
        <w:tc>
          <w:tcPr>
            <w:tcW w:type="pct" w:w="70%"/>
            <w:shd w:fill="F2F2F2" w:val="clear"/>
            <w:tcMar>
              <w:top w:type="dxa" w:w="90"/>
              <w:left w:type="dxa" w:w="120"/>
              <w:bottom w:type="dxa" w:w="90"/>
              <w:right w:type="dxa" w:w="120"/>
            </w:tcMar>
          </w:tcPr>
          <w:p>
            <w:r>
              <w:rPr>
                <w:sz w:val="20"/>
                <w:szCs w:val="20"/>
              </w:rPr>
              <w:t xml:space="preserve">Receives status updates and the uploaded router document after TechComplete.</w:t>
            </w:r>
          </w:p>
        </w:tc>
      </w:tr>
      <w:tr>
        <w:tc>
          <w:tcPr>
            <w:tcW w:type="pct" w:w="30%"/>
            <w:shd w:fill="FFFFFF" w:val="clear"/>
            <w:tcMar>
              <w:top w:type="dxa" w:w="90"/>
              <w:left w:type="dxa" w:w="120"/>
              <w:bottom w:type="dxa" w:w="90"/>
              <w:right w:type="dxa" w:w="120"/>
            </w:tcMar>
          </w:tcPr>
          <w:p>
            <w:r>
              <w:rPr>
                <w:b/>
                <w:bCs/>
                <w:sz w:val="20"/>
                <w:szCs w:val="20"/>
              </w:rPr>
              <w:t xml:space="preserve">Reforma</w:t>
            </w:r>
          </w:p>
        </w:tc>
        <w:tc>
          <w:tcPr>
            <w:tcW w:type="pct" w:w="70%"/>
            <w:shd w:fill="FFFFFF" w:val="clear"/>
            <w:tcMar>
              <w:top w:type="dxa" w:w="90"/>
              <w:left w:type="dxa" w:w="120"/>
              <w:bottom w:type="dxa" w:w="90"/>
              <w:right w:type="dxa" w:w="120"/>
            </w:tcMar>
          </w:tcPr>
          <w:p>
            <w:r>
              <w:rPr>
                <w:sz w:val="20"/>
                <w:szCs w:val="20"/>
              </w:rPr>
              <w:t xml:space="preserve">Hosts the Recommendation Sheet (diagnostic only) and Risk Assessment (completed at OB visit).</w:t>
            </w:r>
          </w:p>
        </w:tc>
      </w:tr>
    </w:tbl>
    <w:p>
      <w:r>
        <w:br w:type="page"/>
      </w:r>
    </w:p>
    <w:p>
      <w:pPr>
        <w:pStyle w:val="Heading1"/>
        <w:pBdr>
          <w:bottom w:val="single" w:color="1F3864" w:sz="12" w:space="4"/>
        </w:pBdr>
        <w:spacing w:after="200" w:before="480"/>
      </w:pPr>
      <w:r>
        <w:rPr>
          <w:b/>
          <w:bCs/>
          <w:color w:val="1F3864"/>
          <w:sz w:val="32"/>
          <w:szCs w:val="32"/>
        </w:rPr>
        <w:t xml:space="preserve">4. Technologist Procedures</w:t>
      </w:r>
    </w:p>
    <w:p>
      <w:pPr>
        <w:spacing w:after="200"/>
      </w:pPr>
      <w:r>
        <w:rPr>
          <w:i/>
          <w:iCs/>
          <w:color w:val="666666"/>
          <w:sz w:val="18"/>
          <w:szCs w:val="18"/>
        </w:rPr>
        <w:t xml:space="preserve">Source document date: 12/2019</w:t>
      </w:r>
      <w:r>
        <w:rPr>
          <w:i/>
          <w:iCs/>
          <w:color w:val="666666"/>
          <w:sz w:val="18"/>
          <w:szCs w:val="18"/>
        </w:rPr>
        <w:t xml:space="preserve">   |   Prepared by: Ruben Gonzalez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8"/>
              <w:left w:val="single" w:color="2E75B6" w:sz="8"/>
              <w:bottom w:val="single" w:color="2E75B6" w:sz="8"/>
              <w:right w:val="single" w:color="2E75B6" w:sz="8"/>
            </w:tcBorders>
            <w:shd w:fill="EAF1F8" w:val="clear"/>
            <w:tcMar>
              <w:top w:type="dxa" w:w="150"/>
              <w:left w:type="dxa" w:w="200"/>
              <w:bottom w:type="dxa" w:w="150"/>
              <w:right w:type="dxa" w:w="200"/>
            </w:tcMar>
          </w:tcPr>
          <w:p>
            <w:pPr>
              <w:spacing w:after="40"/>
            </w:pPr>
            <w:r>
              <w:rPr>
                <w:b/>
                <w:bCs/>
                <w:color w:val="2E75B6"/>
                <w:sz w:val="20"/>
                <w:szCs w:val="20"/>
              </w:rPr>
              <w:t xml:space="preserve">WORKFLOW SUMMARY</w:t>
            </w:r>
          </w:p>
          <w:p>
            <w:pPr>
              <w:spacing w:after="0"/>
            </w:pPr>
            <w:r>
              <w:rPr>
                <w:sz w:val="22"/>
                <w:szCs w:val="22"/>
              </w:rPr>
              <w:t xml:space="preserve">This section details the technologist's workflow from patient arrival through procedure completion, including the use of iPads for patient history, documentation requirements, and protocols for scanning documents into MagView. Trainers should note that Breast Center technologists currently log into Merge using a shared Master Tech Login rather than individual logins, and that Tech Complete currently occurs in MagView rather than AbbaDox.</w:t>
            </w:r>
          </w:p>
        </w:tc>
      </w:tr>
    </w:tbl>
    <w:p>
      <w:pPr>
        <w:spacing w:after="120"/>
      </w:pPr>
    </w:p>
    <w:p>
      <w:pPr>
        <w:pStyle w:val="Heading2"/>
        <w:spacing w:after="140" w:before="320"/>
      </w:pPr>
      <w:r>
        <w:rPr>
          <w:b/>
          <w:bCs/>
          <w:color w:val="0F6B72"/>
          <w:sz w:val="26"/>
          <w:szCs w:val="26"/>
        </w:rPr>
        <w:t xml:space="preserve">Detailed Step-by-Step</w:t>
      </w:r>
    </w:p>
    <w:p>
      <w:pPr>
        <w:pStyle w:val="Heading3"/>
        <w:spacing w:after="100" w:before="220"/>
      </w:pPr>
      <w:r>
        <w:rPr>
          <w:b/>
          <w:bCs/>
          <w:color w:val="404040"/>
          <w:sz w:val="23"/>
          <w:szCs w:val="23"/>
        </w:rPr>
        <w:t xml:space="preserve">System Configuration</w:t>
      </w:r>
    </w:p>
    <w:p>
      <w:pPr>
        <w:pStyle w:val="ListParagraph"/>
        <w:numPr>
          <w:ilvl w:val="0"/>
          <w:numId w:val="2"/>
        </w:numPr>
        <w:spacing w:after="60"/>
      </w:pPr>
      <w:r>
        <w:rPr>
          <w:sz w:val="22"/>
          <w:szCs w:val="22"/>
        </w:rPr>
        <w:t xml:space="preserve">Action Required: set default view to List View.</w:t>
      </w:r>
    </w:p>
    <w:p>
      <w:pPr>
        <w:pStyle w:val="Heading3"/>
        <w:spacing w:after="100" w:before="220"/>
      </w:pPr>
      <w:r>
        <w:rPr>
          <w:b/>
          <w:bCs/>
          <w:color w:val="404040"/>
          <w:sz w:val="23"/>
          <w:szCs w:val="23"/>
        </w:rPr>
        <w:t xml:space="preserve">Pre-Procedure</w:t>
      </w:r>
    </w:p>
    <w:p>
      <w:pPr>
        <w:pStyle w:val="ListParagraph"/>
        <w:numPr>
          <w:ilvl w:val="0"/>
          <w:numId w:val="3"/>
        </w:numPr>
        <w:spacing w:after="60"/>
      </w:pPr>
      <w:r>
        <w:rPr>
          <w:sz w:val="22"/>
          <w:szCs w:val="22"/>
        </w:rPr>
        <w:t xml:space="preserve">Technologist monitors for appointments updated to “Arrive” status.</w:t>
      </w:r>
    </w:p>
    <w:p>
      <w:pPr>
        <w:pStyle w:val="ListParagraph"/>
        <w:numPr>
          <w:ilvl w:val="0"/>
          <w:numId w:val="3"/>
        </w:numPr>
        <w:spacing w:after="60"/>
      </w:pPr>
      <w:r>
        <w:rPr>
          <w:sz w:val="22"/>
          <w:szCs w:val="22"/>
        </w:rPr>
        <w:t xml:space="preserve">Front desk prints the MagView barcode in addition to the router.</w:t>
      </w:r>
    </w:p>
    <w:p>
      <w:pPr>
        <w:pStyle w:val="ListParagraph"/>
        <w:numPr>
          <w:ilvl w:val="0"/>
          <w:numId w:val="3"/>
        </w:numPr>
        <w:spacing w:after="60"/>
      </w:pPr>
      <w:r>
        <w:rPr>
          <w:sz w:val="22"/>
          <w:szCs w:val="22"/>
        </w:rPr>
        <w:t xml:space="preserve">Technologist waits for “Checked In” status before retrieving the patient from the waiting area.</w:t>
      </w:r>
    </w:p>
    <w:p>
      <w:pPr>
        <w:pStyle w:val="ListParagraph"/>
        <w:numPr>
          <w:ilvl w:val="0"/>
          <w:numId w:val="3"/>
        </w:numPr>
        <w:spacing w:after="60"/>
      </w:pPr>
      <w:r>
        <w:rPr>
          <w:sz w:val="22"/>
          <w:szCs w:val="22"/>
        </w:rPr>
        <w:t xml:space="preserve">Collect the router document from the Front Desk.</w:t>
      </w:r>
    </w:p>
    <w:p>
      <w:pPr>
        <w:pStyle w:val="Heading3"/>
        <w:spacing w:after="100" w:before="220"/>
      </w:pPr>
      <w:r>
        <w:rPr>
          <w:b/>
          <w:bCs/>
          <w:color w:val="404040"/>
          <w:sz w:val="23"/>
          <w:szCs w:val="23"/>
        </w:rPr>
        <w:t xml:space="preserve">During Procedure</w:t>
      </w:r>
    </w:p>
    <w:p>
      <w:pPr>
        <w:pStyle w:val="ListParagraph"/>
        <w:numPr>
          <w:ilvl w:val="0"/>
          <w:numId w:val="3"/>
        </w:numPr>
        <w:spacing w:after="60"/>
      </w:pPr>
      <w:r>
        <w:rPr>
          <w:sz w:val="22"/>
          <w:szCs w:val="22"/>
        </w:rPr>
        <w:t xml:space="preserve">Perform the imaging procedure.</w:t>
      </w:r>
    </w:p>
    <w:p>
      <w:pPr>
        <w:pStyle w:val="ListParagraph"/>
        <w:numPr>
          <w:ilvl w:val="0"/>
          <w:numId w:val="3"/>
        </w:numPr>
        <w:spacing w:after="60"/>
      </w:pPr>
      <w:r>
        <w:rPr>
          <w:sz w:val="22"/>
          <w:szCs w:val="22"/>
        </w:rPr>
        <w:t xml:space="preserve">Complete the Patient History Summary using iPads linked to MagView.</w:t>
      </w:r>
    </w:p>
    <w:p>
      <w:pPr>
        <w:pStyle w:val="ListParagraph"/>
        <w:numPr>
          <w:ilvl w:val="0"/>
          <w:numId w:val="3"/>
        </w:numPr>
        <w:spacing w:after="60"/>
      </w:pPr>
      <w:r>
        <w:rPr>
          <w:sz w:val="22"/>
          <w:szCs w:val="22"/>
        </w:rPr>
        <w:t xml:space="preserve">Patient history remains in MagView for radiologist review.</w:t>
      </w:r>
    </w:p>
    <w:p>
      <w:pPr>
        <w:pStyle w:val="Heading3"/>
        <w:spacing w:after="100" w:before="220"/>
      </w:pPr>
      <w:r>
        <w:rPr>
          <w:b/>
          <w:bCs/>
          <w:color w:val="404040"/>
          <w:sz w:val="23"/>
          <w:szCs w:val="23"/>
        </w:rPr>
        <w:t xml:space="preserve">Post-Procedure</w:t>
      </w:r>
    </w:p>
    <w:p>
      <w:pPr>
        <w:pStyle w:val="ListParagraph"/>
        <w:numPr>
          <w:ilvl w:val="0"/>
          <w:numId w:val="3"/>
        </w:numPr>
        <w:spacing w:after="60"/>
      </w:pPr>
      <w:r>
        <w:rPr>
          <w:sz w:val="22"/>
          <w:szCs w:val="22"/>
        </w:rPr>
        <w:t xml:space="preserve">Upload the router document to MagView after procedure completion.</w:t>
      </w:r>
    </w:p>
    <w:p>
      <w:pPr>
        <w:pStyle w:val="ListParagraph"/>
        <w:numPr>
          <w:ilvl w:val="0"/>
          <w:numId w:val="3"/>
        </w:numPr>
        <w:spacing w:after="60"/>
      </w:pPr>
      <w:r>
        <w:rPr>
          <w:sz w:val="22"/>
          <w:szCs w:val="22"/>
        </w:rPr>
        <w:t xml:space="preserve">Scan the router into MagView.</w:t>
      </w:r>
    </w:p>
    <w:p>
      <w:pPr>
        <w:pStyle w:val="ListParagraph"/>
        <w:numPr>
          <w:ilvl w:val="0"/>
          <w:numId w:val="3"/>
        </w:numPr>
        <w:spacing w:after="60"/>
      </w:pPr>
      <w:r>
        <w:rPr>
          <w:sz w:val="22"/>
          <w:szCs w:val="22"/>
        </w:rPr>
        <w:t xml:space="preserve">Patient completes the checkout sheet (required for diagnostic procedures).</w:t>
      </w:r>
    </w:p>
    <w:p>
      <w:pPr>
        <w:pStyle w:val="ListParagraph"/>
        <w:numPr>
          <w:ilvl w:val="0"/>
          <w:numId w:val="3"/>
        </w:numPr>
        <w:spacing w:after="60"/>
      </w:pPr>
      <w:r>
        <w:rPr>
          <w:sz w:val="22"/>
          <w:szCs w:val="22"/>
        </w:rPr>
        <w:t xml:space="preserve">When the procedure is done, the user updates status to “Check Out.”</w:t>
      </w:r>
    </w:p>
    <w:p>
      <w:pPr>
        <w:pStyle w:val="Heading3"/>
        <w:spacing w:after="100" w:before="220"/>
      </w:pPr>
      <w:r>
        <w:rPr>
          <w:b/>
          <w:bCs/>
          <w:color w:val="404040"/>
          <w:sz w:val="23"/>
          <w:szCs w:val="23"/>
        </w:rPr>
        <w:t xml:space="preserve">Technical Notes</w:t>
      </w:r>
    </w:p>
    <w:p>
      <w:pPr>
        <w:pStyle w:val="ListParagraph"/>
        <w:numPr>
          <w:ilvl w:val="0"/>
          <w:numId w:val="2"/>
        </w:numPr>
        <w:spacing w:after="60"/>
      </w:pPr>
      <w:r>
        <w:rPr>
          <w:sz w:val="22"/>
          <w:szCs w:val="22"/>
        </w:rPr>
        <w:t xml:space="preserve">Technologists in Merge currently log in via a shared Master Tech Login, not individual logins.</w:t>
      </w:r>
    </w:p>
    <w:p>
      <w:pPr>
        <w:pStyle w:val="ListParagraph"/>
        <w:numPr>
          <w:ilvl w:val="0"/>
          <w:numId w:val="2"/>
        </w:numPr>
        <w:spacing w:after="60"/>
      </w:pPr>
      <w:r>
        <w:rPr>
          <w:sz w:val="22"/>
          <w:szCs w:val="22"/>
        </w:rPr>
        <w:t xml:space="preserve">Tech Complete currently occurs in MagView.</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860B" w:sz="8"/>
              <w:left w:val="single" w:color="B8860B" w:sz="8"/>
              <w:bottom w:val="single" w:color="B8860B" w:sz="8"/>
              <w:right w:val="single" w:color="B8860B" w:sz="8"/>
            </w:tcBorders>
            <w:shd w:fill="FDF3E3" w:val="clear"/>
            <w:tcMar>
              <w:top w:type="dxa" w:w="150"/>
              <w:left w:type="dxa" w:w="200"/>
              <w:bottom w:type="dxa" w:w="150"/>
              <w:right w:type="dxa" w:w="200"/>
            </w:tcMar>
          </w:tcPr>
          <w:p>
            <w:pPr>
              <w:spacing w:after="40"/>
            </w:pPr>
            <w:r>
              <w:rPr>
                <w:b/>
                <w:bCs/>
                <w:color w:val="B8860B"/>
                <w:sz w:val="20"/>
                <w:szCs w:val="20"/>
              </w:rPr>
              <w:t xml:space="preserve">ACTION REQUIRED / OPEN CONFIGURATION ITEMS</w:t>
            </w:r>
          </w:p>
          <w:p>
            <w:pPr>
              <w:spacing w:after="0"/>
            </w:pPr>
            <w:r>
              <w:rPr>
                <w:sz w:val="22"/>
                <w:szCs w:val="22"/>
              </w:rPr>
              <w:t xml:space="preserve">•  Default view for the Technologist worklist needs to be set to List View.</w:t>
            </w:r>
          </w:p>
          <w:p>
            <w:pPr>
              <w:spacing w:after="0"/>
            </w:pPr>
            <w:r>
              <w:rPr>
                <w:sz w:val="22"/>
                <w:szCs w:val="22"/>
              </w:rPr>
              <w:t xml:space="preserve">•  Individual technologist logins in Merge should replace the shared Master Tech Login (flagged as a technical note, not yet resolved).</w:t>
            </w:r>
          </w:p>
        </w:tc>
      </w:tr>
    </w:tbl>
    <w:p>
      <w:pPr>
        <w:spacing w:after="120"/>
      </w:pPr>
    </w:p>
    <w:p>
      <w:pPr>
        <w:pStyle w:val="Heading2"/>
        <w:spacing w:after="140" w:before="320"/>
      </w:pPr>
      <w:r>
        <w:rPr>
          <w:b/>
          <w:bCs/>
          <w:color w:val="0F6B72"/>
          <w:sz w:val="26"/>
          <w:szCs w:val="26"/>
        </w:rPr>
        <w:t xml:space="preserve">Systems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System</w:t>
            </w:r>
          </w:p>
        </w:tc>
        <w:tc>
          <w:tcPr>
            <w:tcW w:type="pct" w:w="70%"/>
            <w:shd w:fill="1F3864" w:val="clear"/>
            <w:tcMar>
              <w:top w:type="dxa" w:w="100"/>
              <w:left w:type="dxa" w:w="120"/>
              <w:bottom w:type="dxa" w:w="100"/>
              <w:right w:type="dxa" w:w="120"/>
            </w:tcMar>
            <w:vAlign w:val="center"/>
          </w:tcPr>
          <w:p>
            <w:r>
              <w:rPr>
                <w:b/>
                <w:bCs/>
                <w:color w:val="FFFFFF"/>
                <w:sz w:val="21"/>
                <w:szCs w:val="21"/>
              </w:rPr>
              <w:t xml:space="preserve">Role in Workflow</w:t>
            </w:r>
          </w:p>
        </w:tc>
      </w:tr>
      <w:tr>
        <w:tc>
          <w:tcPr>
            <w:tcW w:type="pct" w:w="30%"/>
            <w:shd w:fill="FFFFFF" w:val="clear"/>
            <w:tcMar>
              <w:top w:type="dxa" w:w="90"/>
              <w:left w:type="dxa" w:w="120"/>
              <w:bottom w:type="dxa" w:w="90"/>
              <w:right w:type="dxa" w:w="120"/>
            </w:tcMar>
          </w:tcPr>
          <w:p>
            <w:r>
              <w:rPr>
                <w:b/>
                <w:bCs/>
                <w:sz w:val="20"/>
                <w:szCs w:val="20"/>
              </w:rPr>
              <w:t xml:space="preserve">AbbaDox</w:t>
            </w:r>
          </w:p>
        </w:tc>
        <w:tc>
          <w:tcPr>
            <w:tcW w:type="pct" w:w="70%"/>
            <w:shd w:fill="FFFFFF" w:val="clear"/>
            <w:tcMar>
              <w:top w:type="dxa" w:w="90"/>
              <w:left w:type="dxa" w:w="120"/>
              <w:bottom w:type="dxa" w:w="90"/>
              <w:right w:type="dxa" w:w="120"/>
            </w:tcMar>
          </w:tcPr>
          <w:p>
            <w:r>
              <w:rPr>
                <w:sz w:val="20"/>
                <w:szCs w:val="20"/>
              </w:rPr>
              <w:t xml:space="preserve">Tracks Arrive / Checked In / Check Out status changes throughout the procedure.</w:t>
            </w:r>
          </w:p>
        </w:tc>
      </w:tr>
      <w:tr>
        <w:tc>
          <w:tcPr>
            <w:tcW w:type="pct" w:w="30%"/>
            <w:shd w:fill="F2F2F2" w:val="clear"/>
            <w:tcMar>
              <w:top w:type="dxa" w:w="90"/>
              <w:left w:type="dxa" w:w="120"/>
              <w:bottom w:type="dxa" w:w="90"/>
              <w:right w:type="dxa" w:w="120"/>
            </w:tcMar>
          </w:tcPr>
          <w:p>
            <w:r>
              <w:rPr>
                <w:b/>
                <w:bCs/>
                <w:sz w:val="20"/>
                <w:szCs w:val="20"/>
              </w:rPr>
              <w:t xml:space="preserve">MagView</w:t>
            </w:r>
          </w:p>
        </w:tc>
        <w:tc>
          <w:tcPr>
            <w:tcW w:type="pct" w:w="70%"/>
            <w:shd w:fill="F2F2F2" w:val="clear"/>
            <w:tcMar>
              <w:top w:type="dxa" w:w="90"/>
              <w:left w:type="dxa" w:w="120"/>
              <w:bottom w:type="dxa" w:w="90"/>
              <w:right w:type="dxa" w:w="120"/>
            </w:tcMar>
          </w:tcPr>
          <w:p>
            <w:r>
              <w:rPr>
                <w:sz w:val="20"/>
                <w:szCs w:val="20"/>
              </w:rPr>
              <w:t xml:space="preserve">Houses the barcode, Patient History Summary (via iPad), uploaded router, and Tech Complete status.</w:t>
            </w:r>
          </w:p>
        </w:tc>
      </w:tr>
      <w:tr>
        <w:tc>
          <w:tcPr>
            <w:tcW w:type="pct" w:w="30%"/>
            <w:shd w:fill="FFFFFF" w:val="clear"/>
            <w:tcMar>
              <w:top w:type="dxa" w:w="90"/>
              <w:left w:type="dxa" w:w="120"/>
              <w:bottom w:type="dxa" w:w="90"/>
              <w:right w:type="dxa" w:w="120"/>
            </w:tcMar>
          </w:tcPr>
          <w:p>
            <w:r>
              <w:rPr>
                <w:b/>
                <w:bCs/>
                <w:sz w:val="20"/>
                <w:szCs w:val="20"/>
              </w:rPr>
              <w:t xml:space="preserve">iPads</w:t>
            </w:r>
          </w:p>
        </w:tc>
        <w:tc>
          <w:tcPr>
            <w:tcW w:type="pct" w:w="70%"/>
            <w:shd w:fill="FFFFFF" w:val="clear"/>
            <w:tcMar>
              <w:top w:type="dxa" w:w="90"/>
              <w:left w:type="dxa" w:w="120"/>
              <w:bottom w:type="dxa" w:w="90"/>
              <w:right w:type="dxa" w:w="120"/>
            </w:tcMar>
          </w:tcPr>
          <w:p>
            <w:r>
              <w:rPr>
                <w:sz w:val="20"/>
                <w:szCs w:val="20"/>
              </w:rPr>
              <w:t xml:space="preserve">Used by technologists to complete the Patient History Summary, linked directly to MagView.</w:t>
            </w:r>
          </w:p>
        </w:tc>
      </w:tr>
      <w:tr>
        <w:tc>
          <w:tcPr>
            <w:tcW w:type="pct" w:w="30%"/>
            <w:shd w:fill="F2F2F2" w:val="clear"/>
            <w:tcMar>
              <w:top w:type="dxa" w:w="90"/>
              <w:left w:type="dxa" w:w="120"/>
              <w:bottom w:type="dxa" w:w="90"/>
              <w:right w:type="dxa" w:w="120"/>
            </w:tcMar>
          </w:tcPr>
          <w:p>
            <w:r>
              <w:rPr>
                <w:b/>
                <w:bCs/>
                <w:sz w:val="20"/>
                <w:szCs w:val="20"/>
              </w:rPr>
              <w:t xml:space="preserve">Merge</w:t>
            </w:r>
          </w:p>
        </w:tc>
        <w:tc>
          <w:tcPr>
            <w:tcW w:type="pct" w:w="70%"/>
            <w:shd w:fill="F2F2F2" w:val="clear"/>
            <w:tcMar>
              <w:top w:type="dxa" w:w="90"/>
              <w:left w:type="dxa" w:w="120"/>
              <w:bottom w:type="dxa" w:w="90"/>
              <w:right w:type="dxa" w:w="120"/>
            </w:tcMar>
          </w:tcPr>
          <w:p>
            <w:r>
              <w:rPr>
                <w:sz w:val="20"/>
                <w:szCs w:val="20"/>
              </w:rPr>
              <w:t xml:space="preserve">RIS technologists log into via a shared Master Tech Login.</w:t>
            </w:r>
          </w:p>
        </w:tc>
      </w:tr>
    </w:tbl>
    <w:p>
      <w:r>
        <w:br w:type="page"/>
      </w:r>
    </w:p>
    <w:p>
      <w:pPr>
        <w:pStyle w:val="Heading1"/>
        <w:pBdr>
          <w:bottom w:val="single" w:color="1F3864" w:sz="12" w:space="4"/>
        </w:pBdr>
        <w:spacing w:after="200" w:before="480"/>
      </w:pPr>
      <w:r>
        <w:rPr>
          <w:b/>
          <w:bCs/>
          <w:color w:val="1F3864"/>
          <w:sz w:val="32"/>
          <w:szCs w:val="32"/>
        </w:rPr>
        <w:t xml:space="preserve">5. Billing and Coding</w:t>
      </w:r>
    </w:p>
    <w:p>
      <w:pPr>
        <w:spacing w:after="200"/>
      </w:pPr>
      <w:r>
        <w:rPr>
          <w:i/>
          <w:iCs/>
          <w:color w:val="666666"/>
          <w:sz w:val="18"/>
          <w:szCs w:val="18"/>
        </w:rPr>
        <w:t xml:space="preserve">Source document date: 12/2019</w:t>
      </w:r>
      <w:r>
        <w:rPr>
          <w:i/>
          <w:iCs/>
          <w:color w:val="666666"/>
          <w:sz w:val="18"/>
          <w:szCs w:val="18"/>
        </w:rPr>
        <w:t xml:space="preserve">   |   Prepared by: Ruben Gonzalez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8"/>
              <w:left w:val="single" w:color="2E75B6" w:sz="8"/>
              <w:bottom w:val="single" w:color="2E75B6" w:sz="8"/>
              <w:right w:val="single" w:color="2E75B6" w:sz="8"/>
            </w:tcBorders>
            <w:shd w:fill="EAF1F8" w:val="clear"/>
            <w:tcMar>
              <w:top w:type="dxa" w:w="150"/>
              <w:left w:type="dxa" w:w="200"/>
              <w:bottom w:type="dxa" w:w="150"/>
              <w:right w:type="dxa" w:w="200"/>
            </w:tcMar>
          </w:tcPr>
          <w:p>
            <w:pPr>
              <w:spacing w:after="40"/>
            </w:pPr>
            <w:r>
              <w:rPr>
                <w:b/>
                <w:bCs/>
                <w:color w:val="2E75B6"/>
                <w:sz w:val="20"/>
                <w:szCs w:val="20"/>
              </w:rPr>
              <w:t xml:space="preserve">WORKFLOW SUMMARY</w:t>
            </w:r>
          </w:p>
          <w:p>
            <w:pPr>
              <w:spacing w:after="0"/>
            </w:pPr>
            <w:r>
              <w:rPr>
                <w:sz w:val="22"/>
                <w:szCs w:val="22"/>
              </w:rPr>
              <w:t xml:space="preserve">This section outlines the billing and coding workflow: accessing the coding worklist, adding diagnosis codes and modifiers, generating reports, and tracking coder productivity. Several configuration items were still open at the time of this review — trainers should confirm current status before teaching this section, since modifier/report access and billing triggers may have changed since the source review.</w:t>
            </w:r>
          </w:p>
        </w:tc>
      </w:tr>
    </w:tbl>
    <w:p>
      <w:pPr>
        <w:spacing w:after="120"/>
      </w:pPr>
    </w:p>
    <w:p>
      <w:pPr>
        <w:pStyle w:val="Heading2"/>
        <w:spacing w:after="140" w:before="320"/>
      </w:pPr>
      <w:r>
        <w:rPr>
          <w:b/>
          <w:bCs/>
          <w:color w:val="0F6B72"/>
          <w:sz w:val="26"/>
          <w:szCs w:val="26"/>
        </w:rPr>
        <w:t xml:space="preserve">Detailed Step-by-Step</w:t>
      </w:r>
    </w:p>
    <w:p>
      <w:pPr>
        <w:pStyle w:val="Heading3"/>
        <w:spacing w:after="100" w:before="220"/>
      </w:pPr>
      <w:r>
        <w:rPr>
          <w:b/>
          <w:bCs/>
          <w:color w:val="404040"/>
          <w:sz w:val="23"/>
          <w:szCs w:val="23"/>
        </w:rPr>
        <w:t xml:space="preserve">Accessing Coding Worklist</w:t>
      </w:r>
    </w:p>
    <w:p>
      <w:pPr>
        <w:pStyle w:val="ListParagraph"/>
        <w:numPr>
          <w:ilvl w:val="0"/>
          <w:numId w:val="3"/>
        </w:numPr>
        <w:spacing w:after="60"/>
      </w:pPr>
      <w:r>
        <w:rPr>
          <w:sz w:val="22"/>
          <w:szCs w:val="22"/>
        </w:rPr>
        <w:t xml:space="preserve">Select the Coding worklist.</w:t>
      </w:r>
    </w:p>
    <w:p>
      <w:pPr>
        <w:pStyle w:val="ListParagraph"/>
        <w:numPr>
          <w:ilvl w:val="0"/>
          <w:numId w:val="3"/>
        </w:numPr>
        <w:spacing w:after="60"/>
      </w:pPr>
      <w:r>
        <w:rPr>
          <w:sz w:val="22"/>
          <w:szCs w:val="22"/>
        </w:rPr>
        <w:t xml:space="preserve">Review the report for the procedure.</w:t>
      </w:r>
    </w:p>
    <w:p>
      <w:pPr>
        <w:pStyle w:val="ListParagraph"/>
        <w:numPr>
          <w:ilvl w:val="0"/>
          <w:numId w:val="3"/>
        </w:numPr>
        <w:spacing w:after="60"/>
      </w:pPr>
      <w:r>
        <w:rPr>
          <w:sz w:val="22"/>
          <w:szCs w:val="22"/>
        </w:rPr>
        <w:t xml:space="preserve">Add appropriate diagnosis codes.</w:t>
      </w:r>
    </w:p>
    <w:p>
      <w:pPr>
        <w:pStyle w:val="ListParagraph"/>
        <w:numPr>
          <w:ilvl w:val="0"/>
          <w:numId w:val="3"/>
        </w:numPr>
        <w:spacing w:after="60"/>
      </w:pPr>
      <w:r>
        <w:rPr>
          <w:sz w:val="22"/>
          <w:szCs w:val="22"/>
        </w:rPr>
        <w:t xml:space="preserve">Add modifiers as needed (up to 3 options available).</w:t>
      </w:r>
    </w:p>
    <w:p>
      <w:pPr>
        <w:pStyle w:val="ListParagraph"/>
        <w:numPr>
          <w:ilvl w:val="0"/>
          <w:numId w:val="3"/>
        </w:numPr>
        <w:spacing w:after="60"/>
      </w:pPr>
      <w:r>
        <w:rPr>
          <w:sz w:val="22"/>
          <w:szCs w:val="22"/>
        </w:rPr>
        <w:t xml:space="preserve">Update status to “Billing Complete.”</w:t>
      </w:r>
    </w:p>
    <w:p>
      <w:pPr>
        <w:pStyle w:val="Heading3"/>
        <w:spacing w:after="100" w:before="220"/>
      </w:pPr>
      <w:r>
        <w:rPr>
          <w:b/>
          <w:bCs/>
          <w:color w:val="404040"/>
          <w:sz w:val="23"/>
          <w:szCs w:val="23"/>
        </w:rPr>
        <w:t xml:space="preserve">Record Keeping</w:t>
      </w:r>
    </w:p>
    <w:p>
      <w:pPr>
        <w:pStyle w:val="ListParagraph"/>
        <w:numPr>
          <w:ilvl w:val="0"/>
          <w:numId w:val="2"/>
        </w:numPr>
        <w:spacing w:after="60"/>
      </w:pPr>
      <w:r>
        <w:rPr>
          <w:sz w:val="22"/>
          <w:szCs w:val="22"/>
        </w:rPr>
        <w:t xml:space="preserve">Print charge-out reports for record keeping (past appointment review).</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860B" w:sz="8"/>
              <w:left w:val="single" w:color="B8860B" w:sz="8"/>
              <w:bottom w:val="single" w:color="B8860B" w:sz="8"/>
              <w:right w:val="single" w:color="B8860B" w:sz="8"/>
            </w:tcBorders>
            <w:shd w:fill="FDF3E3" w:val="clear"/>
            <w:tcMar>
              <w:top w:type="dxa" w:w="150"/>
              <w:left w:type="dxa" w:w="200"/>
              <w:bottom w:type="dxa" w:w="150"/>
              <w:right w:type="dxa" w:w="200"/>
            </w:tcMar>
          </w:tcPr>
          <w:p>
            <w:pPr>
              <w:spacing w:after="40"/>
            </w:pPr>
            <w:r>
              <w:rPr>
                <w:b/>
                <w:bCs/>
                <w:color w:val="B8860B"/>
                <w:sz w:val="20"/>
                <w:szCs w:val="20"/>
              </w:rPr>
              <w:t xml:space="preserve">ACTION REQUIRED / OPEN CONFIGURATION ITEMS</w:t>
            </w:r>
          </w:p>
          <w:p>
            <w:pPr>
              <w:spacing w:after="0"/>
            </w:pPr>
            <w:r>
              <w:rPr>
                <w:sz w:val="22"/>
                <w:szCs w:val="22"/>
              </w:rPr>
              <w:t xml:space="preserve">•  Include modifier and G-Code dropdown in the OB HL7 feed.</w:t>
            </w:r>
          </w:p>
          <w:p>
            <w:pPr>
              <w:spacing w:after="0"/>
            </w:pPr>
            <w:r>
              <w:rPr>
                <w:sz w:val="22"/>
                <w:szCs w:val="22"/>
              </w:rPr>
              <w:t xml:space="preserve">•  Provide Carrie with access to Settings to manage modifiers.</w:t>
            </w:r>
          </w:p>
          <w:p>
            <w:pPr>
              <w:spacing w:after="0"/>
            </w:pPr>
            <w:r>
              <w:rPr>
                <w:sz w:val="22"/>
                <w:szCs w:val="22"/>
              </w:rPr>
              <w:t xml:space="preserve">•  Create a productivity report for coding activities.</w:t>
            </w:r>
          </w:p>
          <w:p>
            <w:pPr>
              <w:spacing w:after="0"/>
            </w:pPr>
            <w:r>
              <w:rPr>
                <w:sz w:val="22"/>
                <w:szCs w:val="22"/>
              </w:rPr>
              <w:t xml:space="preserve">•  Generate analytic reports: RIS Appointment Summary Procedure report; productivity report per coder.</w:t>
            </w:r>
          </w:p>
          <w:p>
            <w:pPr>
              <w:spacing w:after="0"/>
            </w:pPr>
            <w:r>
              <w:rPr>
                <w:sz w:val="22"/>
                <w:szCs w:val="22"/>
              </w:rPr>
              <w:t xml:space="preserve">•  Add a “Last Modified By” column to reports.</w:t>
            </w:r>
          </w:p>
          <w:p>
            <w:pPr>
              <w:spacing w:after="0"/>
            </w:pPr>
            <w:r>
              <w:rPr>
                <w:sz w:val="22"/>
                <w:szCs w:val="22"/>
              </w:rPr>
              <w:t xml:space="preserve">•  Configure breast procedures to trigger automatically when status changes to “Billing Complete.”</w:t>
            </w:r>
          </w:p>
          <w:p>
            <w:pPr>
              <w:spacing w:after="0"/>
            </w:pPr>
            <w:r>
              <w:rPr>
                <w:sz w:val="22"/>
                <w:szCs w:val="22"/>
              </w:rPr>
              <w:t xml:space="preserve">•  Build the procedure list in Generic List of Values.</w:t>
            </w:r>
          </w:p>
        </w:tc>
      </w:tr>
    </w:tbl>
    <w:p>
      <w:pPr>
        <w:spacing w:after="120"/>
      </w:pPr>
    </w:p>
    <w:p>
      <w:pPr>
        <w:pStyle w:val="Heading2"/>
        <w:spacing w:after="140" w:before="320"/>
      </w:pPr>
      <w:r>
        <w:rPr>
          <w:b/>
          <w:bCs/>
          <w:color w:val="0F6B72"/>
          <w:sz w:val="26"/>
          <w:szCs w:val="26"/>
        </w:rPr>
        <w:t xml:space="preserve">Systems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System</w:t>
            </w:r>
          </w:p>
        </w:tc>
        <w:tc>
          <w:tcPr>
            <w:tcW w:type="pct" w:w="70%"/>
            <w:shd w:fill="1F3864" w:val="clear"/>
            <w:tcMar>
              <w:top w:type="dxa" w:w="100"/>
              <w:left w:type="dxa" w:w="120"/>
              <w:bottom w:type="dxa" w:w="100"/>
              <w:right w:type="dxa" w:w="120"/>
            </w:tcMar>
            <w:vAlign w:val="center"/>
          </w:tcPr>
          <w:p>
            <w:r>
              <w:rPr>
                <w:b/>
                <w:bCs/>
                <w:color w:val="FFFFFF"/>
                <w:sz w:val="21"/>
                <w:szCs w:val="21"/>
              </w:rPr>
              <w:t xml:space="preserve">Role in Workflow</w:t>
            </w:r>
          </w:p>
        </w:tc>
      </w:tr>
      <w:tr>
        <w:tc>
          <w:tcPr>
            <w:tcW w:type="pct" w:w="30%"/>
            <w:shd w:fill="FFFFFF" w:val="clear"/>
            <w:tcMar>
              <w:top w:type="dxa" w:w="90"/>
              <w:left w:type="dxa" w:w="120"/>
              <w:bottom w:type="dxa" w:w="90"/>
              <w:right w:type="dxa" w:w="120"/>
            </w:tcMar>
          </w:tcPr>
          <w:p>
            <w:r>
              <w:rPr>
                <w:b/>
                <w:bCs/>
                <w:sz w:val="20"/>
                <w:szCs w:val="20"/>
              </w:rPr>
              <w:t xml:space="preserve">AbbaDox</w:t>
            </w:r>
          </w:p>
        </w:tc>
        <w:tc>
          <w:tcPr>
            <w:tcW w:type="pct" w:w="70%"/>
            <w:shd w:fill="FFFFFF" w:val="clear"/>
            <w:tcMar>
              <w:top w:type="dxa" w:w="90"/>
              <w:left w:type="dxa" w:w="120"/>
              <w:bottom w:type="dxa" w:w="90"/>
              <w:right w:type="dxa" w:w="120"/>
            </w:tcMar>
          </w:tcPr>
          <w:p>
            <w:r>
              <w:rPr>
                <w:sz w:val="20"/>
                <w:szCs w:val="20"/>
              </w:rPr>
              <w:t xml:space="preserve">Hosts the Coding worklist, diagnosis code and modifier entry, and billing-status/reporting configuration.</w:t>
            </w:r>
          </w:p>
        </w:tc>
      </w:tr>
      <w:tr>
        <w:tc>
          <w:tcPr>
            <w:tcW w:type="pct" w:w="30%"/>
            <w:shd w:fill="F2F2F2" w:val="clear"/>
            <w:tcMar>
              <w:top w:type="dxa" w:w="90"/>
              <w:left w:type="dxa" w:w="120"/>
              <w:bottom w:type="dxa" w:w="90"/>
              <w:right w:type="dxa" w:w="120"/>
            </w:tcMar>
          </w:tcPr>
          <w:p>
            <w:r>
              <w:rPr>
                <w:b/>
                <w:bCs/>
                <w:sz w:val="20"/>
                <w:szCs w:val="20"/>
              </w:rPr>
              <w:t xml:space="preserve">HL7 Interface</w:t>
            </w:r>
          </w:p>
        </w:tc>
        <w:tc>
          <w:tcPr>
            <w:tcW w:type="pct" w:w="70%"/>
            <w:shd w:fill="F2F2F2" w:val="clear"/>
            <w:tcMar>
              <w:top w:type="dxa" w:w="90"/>
              <w:left w:type="dxa" w:w="120"/>
              <w:bottom w:type="dxa" w:w="90"/>
              <w:right w:type="dxa" w:w="120"/>
            </w:tcMar>
          </w:tcPr>
          <w:p>
            <w:r>
              <w:rPr>
                <w:sz w:val="20"/>
                <w:szCs w:val="20"/>
              </w:rPr>
              <w:t xml:space="preserve">Carries OB order data; target for adding modifier and G-Code dropdown fields.</w:t>
            </w:r>
          </w:p>
        </w:tc>
      </w:tr>
      <w:tr>
        <w:tc>
          <w:tcPr>
            <w:tcW w:type="pct" w:w="30%"/>
            <w:shd w:fill="FFFFFF" w:val="clear"/>
            <w:tcMar>
              <w:top w:type="dxa" w:w="90"/>
              <w:left w:type="dxa" w:w="120"/>
              <w:bottom w:type="dxa" w:w="90"/>
              <w:right w:type="dxa" w:w="120"/>
            </w:tcMar>
          </w:tcPr>
          <w:p>
            <w:r>
              <w:rPr>
                <w:b/>
                <w:bCs/>
                <w:sz w:val="20"/>
                <w:szCs w:val="20"/>
              </w:rPr>
              <w:t xml:space="preserve">Generic List of Values</w:t>
            </w:r>
          </w:p>
        </w:tc>
        <w:tc>
          <w:tcPr>
            <w:tcW w:type="pct" w:w="70%"/>
            <w:shd w:fill="FFFFFF" w:val="clear"/>
            <w:tcMar>
              <w:top w:type="dxa" w:w="90"/>
              <w:left w:type="dxa" w:w="120"/>
              <w:bottom w:type="dxa" w:w="90"/>
              <w:right w:type="dxa" w:w="120"/>
            </w:tcMar>
          </w:tcPr>
          <w:p>
            <w:r>
              <w:rPr>
                <w:sz w:val="20"/>
                <w:szCs w:val="20"/>
              </w:rPr>
              <w:t xml:space="preserve">Configuration area where the breast procedure list is built for billing triggers.</w:t>
            </w:r>
          </w:p>
        </w:tc>
      </w:tr>
    </w:tbl>
    <w:p>
      <w:r>
        <w:br w:type="page"/>
      </w:r>
    </w:p>
    <w:p>
      <w:pPr>
        <w:pStyle w:val="Heading1"/>
        <w:pBdr>
          <w:bottom w:val="single" w:color="1F3864" w:sz="12" w:space="4"/>
        </w:pBdr>
        <w:spacing w:after="200" w:before="480"/>
      </w:pPr>
      <w:r>
        <w:rPr>
          <w:b/>
          <w:bCs/>
          <w:color w:val="1F3864"/>
          <w:sz w:val="32"/>
          <w:szCs w:val="32"/>
        </w:rPr>
        <w:t xml:space="preserve">6. Task Management</w:t>
      </w:r>
    </w:p>
    <w:p>
      <w:pPr>
        <w:spacing w:after="200"/>
      </w:pPr>
      <w:r>
        <w:rPr>
          <w:i/>
          <w:iCs/>
          <w:color w:val="666666"/>
          <w:sz w:val="18"/>
          <w:szCs w:val="18"/>
        </w:rPr>
        <w:t xml:space="preserve">Source document date: 12/2019</w:t>
      </w:r>
      <w:r>
        <w:rPr>
          <w:i/>
          <w:iCs/>
          <w:color w:val="666666"/>
          <w:sz w:val="18"/>
          <w:szCs w:val="18"/>
        </w:rPr>
        <w:t xml:space="preserve">   |   Prepared by: Ruben Gonzalez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8"/>
              <w:left w:val="single" w:color="2E75B6" w:sz="8"/>
              <w:bottom w:val="single" w:color="2E75B6" w:sz="8"/>
              <w:right w:val="single" w:color="2E75B6" w:sz="8"/>
            </w:tcBorders>
            <w:shd w:fill="EAF1F8" w:val="clear"/>
            <w:tcMar>
              <w:top w:type="dxa" w:w="150"/>
              <w:left w:type="dxa" w:w="200"/>
              <w:bottom w:type="dxa" w:w="150"/>
              <w:right w:type="dxa" w:w="200"/>
            </w:tcMar>
          </w:tcPr>
          <w:p>
            <w:pPr>
              <w:spacing w:after="40"/>
            </w:pPr>
            <w:r>
              <w:rPr>
                <w:b/>
                <w:bCs/>
                <w:color w:val="2E75B6"/>
                <w:sz w:val="20"/>
                <w:szCs w:val="20"/>
              </w:rPr>
              <w:t xml:space="preserve">WORKFLOW SUMMARY</w:t>
            </w:r>
          </w:p>
          <w:p>
            <w:pPr>
              <w:spacing w:after="0"/>
            </w:pPr>
            <w:r>
              <w:rPr>
                <w:sz w:val="22"/>
                <w:szCs w:val="22"/>
              </w:rPr>
              <w:t xml:space="preserve">This section describes the task templates used across the Breast Center workflow, covering both automated and manually created tasks, their questionnaire triggers, and open questions around user permissions for deleting tasks. Trainers should walk staff through each template's trigger condition so staff understand which tasks are system-generated versus which require manual judgment.</w:t>
            </w:r>
          </w:p>
        </w:tc>
      </w:tr>
    </w:tbl>
    <w:p>
      <w:pPr>
        <w:spacing w:after="120"/>
      </w:pPr>
    </w:p>
    <w:p>
      <w:pPr>
        <w:pStyle w:val="Heading2"/>
        <w:spacing w:after="140" w:before="320"/>
      </w:pPr>
      <w:r>
        <w:rPr>
          <w:b/>
          <w:bCs/>
          <w:color w:val="0F6B72"/>
          <w:sz w:val="26"/>
          <w:szCs w:val="26"/>
        </w:rPr>
        <w:t xml:space="preserve">Detailed Step-by-Step</w:t>
      </w:r>
    </w:p>
    <w:p>
      <w:pPr>
        <w:pStyle w:val="Heading3"/>
        <w:spacing w:after="100" w:before="220"/>
      </w:pPr>
      <w:r>
        <w:rPr>
          <w:b/>
          <w:bCs/>
          <w:color w:val="404040"/>
          <w:sz w:val="23"/>
          <w:szCs w:val="23"/>
        </w:rPr>
        <w:t xml:space="preserve">Task Templates</w:t>
      </w:r>
    </w:p>
    <w:p>
      <w:pPr>
        <w:spacing w:after="120"/>
      </w:pPr>
      <w:r>
        <w:rPr>
          <w:b/>
          <w:bCs/>
          <w:i w:val="false"/>
          <w:iCs w:val="false"/>
          <w:sz w:val="22"/>
          <w:szCs w:val="22"/>
        </w:rPr>
        <w:t xml:space="preserve">1. Priors Required</w:t>
      </w:r>
    </w:p>
    <w:p>
      <w:pPr>
        <w:pStyle w:val="ListParagraph"/>
        <w:numPr>
          <w:ilvl w:val="0"/>
          <w:numId w:val="2"/>
        </w:numPr>
        <w:spacing w:after="60"/>
      </w:pPr>
      <w:r>
        <w:rPr>
          <w:sz w:val="22"/>
          <w:szCs w:val="22"/>
        </w:rPr>
        <w:t xml:space="preserve">Associated with Questionnaire Template: “BC - Diagnostic.”</w:t>
      </w:r>
    </w:p>
    <w:p>
      <w:pPr>
        <w:pStyle w:val="ListParagraph"/>
        <w:numPr>
          <w:ilvl w:val="0"/>
          <w:numId w:val="2"/>
        </w:numPr>
        <w:spacing w:after="60"/>
      </w:pPr>
      <w:r>
        <w:rPr>
          <w:sz w:val="22"/>
          <w:szCs w:val="22"/>
        </w:rPr>
        <w:t xml:space="preserve">Questionnaire Question: “Was your most recent breast imaging done at TBC?”</w:t>
      </w:r>
    </w:p>
    <w:p>
      <w:pPr>
        <w:pStyle w:val="ListParagraph"/>
        <w:numPr>
          <w:ilvl w:val="0"/>
          <w:numId w:val="2"/>
        </w:numPr>
        <w:spacing w:after="60"/>
      </w:pPr>
      <w:r>
        <w:rPr>
          <w:sz w:val="22"/>
          <w:szCs w:val="22"/>
        </w:rPr>
        <w:t xml:space="preserve">Trigger: response of “No” to the button group question.</w:t>
      </w:r>
    </w:p>
    <w:p>
      <w:pPr>
        <w:spacing w:after="120"/>
      </w:pPr>
      <w:r>
        <w:rPr>
          <w:b/>
          <w:bCs/>
          <w:i w:val="false"/>
          <w:iCs w:val="false"/>
          <w:sz w:val="22"/>
          <w:szCs w:val="22"/>
        </w:rPr>
        <w:t xml:space="preserve">2. Cancellation DX</w:t>
      </w:r>
    </w:p>
    <w:p>
      <w:pPr>
        <w:pStyle w:val="ListParagraph"/>
        <w:numPr>
          <w:ilvl w:val="0"/>
          <w:numId w:val="2"/>
        </w:numPr>
        <w:spacing w:after="60"/>
      </w:pPr>
      <w:r>
        <w:rPr>
          <w:sz w:val="22"/>
          <w:szCs w:val="22"/>
        </w:rPr>
        <w:t xml:space="preserve">Workflow: manual creation.</w:t>
      </w:r>
    </w:p>
    <w:p>
      <w:pPr>
        <w:pStyle w:val="ListParagraph"/>
        <w:numPr>
          <w:ilvl w:val="0"/>
          <w:numId w:val="2"/>
        </w:numPr>
        <w:spacing w:after="60"/>
      </w:pPr>
      <w:r>
        <w:rPr>
          <w:sz w:val="22"/>
          <w:szCs w:val="22"/>
        </w:rPr>
        <w:t xml:space="preserve">When diagnostic procedure cancellations occur, users may manually create tasks within the visit at their discretion.</w:t>
      </w:r>
    </w:p>
    <w:p>
      <w:pPr>
        <w:spacing w:after="120"/>
      </w:pPr>
      <w:r>
        <w:rPr>
          <w:b/>
          <w:bCs/>
          <w:i w:val="false"/>
          <w:iCs w:val="false"/>
          <w:sz w:val="22"/>
          <w:szCs w:val="22"/>
        </w:rPr>
        <w:t xml:space="preserve">3. Unknown Physician</w:t>
      </w:r>
    </w:p>
    <w:p>
      <w:pPr>
        <w:pStyle w:val="ListParagraph"/>
        <w:numPr>
          <w:ilvl w:val="0"/>
          <w:numId w:val="2"/>
        </w:numPr>
        <w:spacing w:after="60"/>
      </w:pPr>
      <w:r>
        <w:rPr>
          <w:sz w:val="22"/>
          <w:szCs w:val="22"/>
        </w:rPr>
        <w:t xml:space="preserve">Automation: triggered when Referring Physician is set to “Physician Need.”</w:t>
      </w:r>
    </w:p>
    <w:p>
      <w:pPr>
        <w:pStyle w:val="ListParagraph"/>
        <w:numPr>
          <w:ilvl w:val="0"/>
          <w:numId w:val="2"/>
        </w:numPr>
        <w:spacing w:after="60"/>
      </w:pPr>
      <w:r>
        <w:rPr>
          <w:sz w:val="22"/>
          <w:szCs w:val="22"/>
        </w:rPr>
        <w:t xml:space="preserve">Manual component: after appointment creation, the scheduler can open the visit and enter additional instructions in the task description.</w:t>
      </w:r>
    </w:p>
    <w:p>
      <w:pPr>
        <w:pStyle w:val="Heading3"/>
        <w:spacing w:after="100" w:before="220"/>
      </w:pPr>
      <w:r>
        <w:rPr>
          <w:b/>
          <w:bCs/>
          <w:color w:val="404040"/>
          <w:sz w:val="23"/>
          <w:szCs w:val="23"/>
        </w:rPr>
        <w:t xml:space="preserve">Task Management Permissions</w:t>
      </w:r>
    </w:p>
    <w:p>
      <w:pPr>
        <w:spacing w:after="120"/>
      </w:pPr>
      <w:r>
        <w:rPr>
          <w:b/>
          <w:bCs/>
          <w:i w:val="false"/>
          <w:iCs w:val="false"/>
          <w:sz w:val="22"/>
          <w:szCs w:val="22"/>
        </w:rPr>
        <w:t xml:space="preserve">Delete Task Functionality:</w:t>
      </w:r>
    </w:p>
    <w:p>
      <w:pPr>
        <w:pStyle w:val="ListParagraph"/>
        <w:numPr>
          <w:ilvl w:val="0"/>
          <w:numId w:val="2"/>
        </w:numPr>
        <w:spacing w:after="60"/>
      </w:pPr>
      <w:r>
        <w:rPr>
          <w:sz w:val="22"/>
          <w:szCs w:val="22"/>
        </w:rPr>
        <w:t xml:space="preserve">Currently, any user can delete tasks; this should be restricted to specific roles.</w:t>
      </w:r>
    </w:p>
    <w:p>
      <w:pPr>
        <w:pStyle w:val="ListParagraph"/>
        <w:numPr>
          <w:ilvl w:val="0"/>
          <w:numId w:val="2"/>
        </w:numPr>
        <w:spacing w:after="60"/>
      </w:pPr>
      <w:r>
        <w:rPr>
          <w:sz w:val="22"/>
          <w:szCs w:val="22"/>
        </w:rPr>
        <w:t xml:space="preserve">When deleting, the user should be prompted with a confirmation request.</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860B" w:sz="8"/>
              <w:left w:val="single" w:color="B8860B" w:sz="8"/>
              <w:bottom w:val="single" w:color="B8860B" w:sz="8"/>
              <w:right w:val="single" w:color="B8860B" w:sz="8"/>
            </w:tcBorders>
            <w:shd w:fill="FDF3E3" w:val="clear"/>
            <w:tcMar>
              <w:top w:type="dxa" w:w="150"/>
              <w:left w:type="dxa" w:w="200"/>
              <w:bottom w:type="dxa" w:w="150"/>
              <w:right w:type="dxa" w:w="200"/>
            </w:tcMar>
          </w:tcPr>
          <w:p>
            <w:pPr>
              <w:spacing w:after="40"/>
            </w:pPr>
            <w:r>
              <w:rPr>
                <w:b/>
                <w:bCs/>
                <w:color w:val="B8860B"/>
                <w:sz w:val="20"/>
                <w:szCs w:val="20"/>
              </w:rPr>
              <w:t xml:space="preserve">ACTION REQUIRED / OPEN CONFIGURATION ITEMS</w:t>
            </w:r>
          </w:p>
          <w:p>
            <w:pPr>
              <w:spacing w:after="0"/>
            </w:pPr>
            <w:r>
              <w:rPr>
                <w:sz w:val="22"/>
                <w:szCs w:val="22"/>
              </w:rPr>
              <w:t xml:space="preserve">•  Configure a Feature Access Bit (FAB) to restrict task deletion to specific roles.</w:t>
            </w:r>
          </w:p>
          <w:p>
            <w:pPr>
              <w:spacing w:after="0"/>
            </w:pPr>
            <w:r>
              <w:rPr>
                <w:sz w:val="22"/>
                <w:szCs w:val="22"/>
              </w:rPr>
              <w:t xml:space="preserve">•  Add a confirmation prompt before a task is deleted.</w:t>
            </w:r>
          </w:p>
        </w:tc>
      </w:tr>
    </w:tbl>
    <w:p>
      <w:pPr>
        <w:spacing w:after="120"/>
      </w:pPr>
    </w:p>
    <w:p>
      <w:pPr>
        <w:pStyle w:val="Heading2"/>
        <w:spacing w:after="140" w:before="320"/>
      </w:pPr>
      <w:r>
        <w:rPr>
          <w:b/>
          <w:bCs/>
          <w:color w:val="0F6B72"/>
          <w:sz w:val="26"/>
          <w:szCs w:val="26"/>
        </w:rPr>
        <w:t xml:space="preserve">Systems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System</w:t>
            </w:r>
          </w:p>
        </w:tc>
        <w:tc>
          <w:tcPr>
            <w:tcW w:type="pct" w:w="70%"/>
            <w:shd w:fill="1F3864" w:val="clear"/>
            <w:tcMar>
              <w:top w:type="dxa" w:w="100"/>
              <w:left w:type="dxa" w:w="120"/>
              <w:bottom w:type="dxa" w:w="100"/>
              <w:right w:type="dxa" w:w="120"/>
            </w:tcMar>
            <w:vAlign w:val="center"/>
          </w:tcPr>
          <w:p>
            <w:r>
              <w:rPr>
                <w:b/>
                <w:bCs/>
                <w:color w:val="FFFFFF"/>
                <w:sz w:val="21"/>
                <w:szCs w:val="21"/>
              </w:rPr>
              <w:t xml:space="preserve">Role in Workflow</w:t>
            </w:r>
          </w:p>
        </w:tc>
      </w:tr>
      <w:tr>
        <w:tc>
          <w:tcPr>
            <w:tcW w:type="pct" w:w="30%"/>
            <w:shd w:fill="FFFFFF" w:val="clear"/>
            <w:tcMar>
              <w:top w:type="dxa" w:w="90"/>
              <w:left w:type="dxa" w:w="120"/>
              <w:bottom w:type="dxa" w:w="90"/>
              <w:right w:type="dxa" w:w="120"/>
            </w:tcMar>
          </w:tcPr>
          <w:p>
            <w:r>
              <w:rPr>
                <w:b/>
                <w:bCs/>
                <w:sz w:val="20"/>
                <w:szCs w:val="20"/>
              </w:rPr>
              <w:t xml:space="preserve">AbbaDox</w:t>
            </w:r>
          </w:p>
        </w:tc>
        <w:tc>
          <w:tcPr>
            <w:tcW w:type="pct" w:w="70%"/>
            <w:shd w:fill="FFFFFF" w:val="clear"/>
            <w:tcMar>
              <w:top w:type="dxa" w:w="90"/>
              <w:left w:type="dxa" w:w="120"/>
              <w:bottom w:type="dxa" w:w="90"/>
              <w:right w:type="dxa" w:w="120"/>
            </w:tcMar>
          </w:tcPr>
          <w:p>
            <w:r>
              <w:rPr>
                <w:sz w:val="20"/>
                <w:szCs w:val="20"/>
              </w:rPr>
              <w:t xml:space="preserve">Hosts task templates, questionnaire triggers, and (pending) Feature Access Bit permissions for task deletion.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lvl w:ilvl="1" w15:tentative="1">
      <w:start w:val="1"/>
      <w:numFmt w:val="lowerLetter"/>
      <w:lvlText w:val="%2."/>
      <w:lvlJc w:val="left"/>
      <w:pPr>
        <w:ind w:left="1008"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8874F72192E844BBAF6A5BD7B7215B" ma:contentTypeVersion="13" ma:contentTypeDescription="Create a new document." ma:contentTypeScope="" ma:versionID="51a5cf832416ab76d5b4a16e17a2b6ac">
  <xsd:schema xmlns:xsd="http://www.w3.org/2001/XMLSchema" xmlns:xs="http://www.w3.org/2001/XMLSchema" xmlns:p="http://schemas.microsoft.com/office/2006/metadata/properties" xmlns:ns1="http://schemas.microsoft.com/sharepoint/v3" xmlns:ns2="12cb5c5a-8722-4a70-b009-024bc729e348" xmlns:ns3="b77c4627-432e-4615-b40f-8669b0c59e04" targetNamespace="http://schemas.microsoft.com/office/2006/metadata/properties" ma:root="true" ma:fieldsID="39ff5c8020eb067206569cecb0398117" ns1:_="" ns2:_="" ns3:_="">
    <xsd:import namespace="http://schemas.microsoft.com/sharepoint/v3"/>
    <xsd:import namespace="12cb5c5a-8722-4a70-b009-024bc729e348"/>
    <xsd:import namespace="b77c4627-432e-4615-b40f-8669b0c59e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cb5c5a-8722-4a70-b009-024bc729e3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238982-389d-436a-817a-bf58b9b7a95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7c4627-432e-4615-b40f-8669b0c59e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ce9368-e189-489d-9b07-988724b24c0e}" ma:internalName="TaxCatchAll" ma:showField="CatchAllData" ma:web="b77c4627-432e-4615-b40f-8669b0c59e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cb5c5a-8722-4a70-b009-024bc729e348">
      <Terms xmlns="http://schemas.microsoft.com/office/infopath/2007/PartnerControls"/>
    </lcf76f155ced4ddcb4097134ff3c332f>
    <_ip_UnifiedCompliancePolicyUIAction xmlns="http://schemas.microsoft.com/sharepoint/v3" xsi:nil="true"/>
    <TaxCatchAll xmlns="b77c4627-432e-4615-b40f-8669b0c59e04"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4EBE8BF-FD78-4AD8-BD4C-76E5541611BA}"/>
</file>

<file path=customXml/itemProps2.xml><?xml version="1.0" encoding="utf-8"?>
<ds:datastoreItem xmlns:ds="http://schemas.openxmlformats.org/officeDocument/2006/customXml" ds:itemID="{96406ECE-2397-4A95-9AF2-90C7D64D6CD7}"/>
</file>

<file path=customXml/itemProps3.xml><?xml version="1.0" encoding="utf-8"?>
<ds:datastoreItem xmlns:ds="http://schemas.openxmlformats.org/officeDocument/2006/customXml" ds:itemID="{F509D3E9-B770-46BC-A3B8-1CB7A9F38BF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2026-07-28T02:25:53Z</dcterms:created>
  <dcterms:modified xsi:type="dcterms:W3CDTF">2026-07-28T02:25:53Z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0x010100E88874F72192E844BBAF6A5BD7B7215B</vt:lpwstr>
  </property>
</Properties>
</file>