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bookmarkStart w:id="0" w:name="_GoBack"/>
      <w:bookmarkEnd w:id="0"/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6439C6" w:rsidRDefault="001B529A" w:rsidP="00EC1D57">
      <w:pPr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</w:t>
      </w:r>
    </w:p>
    <w:p w:rsidR="009A3857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AB3B5A">
        <w:rPr>
          <w:rFonts w:ascii="Soberana Sans" w:hAnsi="Soberana Sans" w:cs="Arial"/>
          <w:b/>
          <w:sz w:val="22"/>
          <w:szCs w:val="22"/>
        </w:rPr>
        <w:t>LA NULIDAD PARA EFECTOS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AB3B5A" w:rsidRDefault="00DC386B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b/>
          <w:sz w:val="22"/>
          <w:szCs w:val="22"/>
          <w:lang w:val="es-MX"/>
        </w:rPr>
        <w:t>O</w:t>
      </w:r>
      <w:r w:rsidR="00511C67">
        <w:rPr>
          <w:rFonts w:ascii="Soberana Sans" w:hAnsi="Soberana Sans" w:cs="Arial"/>
          <w:b/>
          <w:sz w:val="22"/>
          <w:szCs w:val="22"/>
          <w:lang w:val="es-MX"/>
        </w:rPr>
        <w:t>CTUBRE</w:t>
      </w:r>
      <w:r w:rsidR="00634DA4">
        <w:rPr>
          <w:rFonts w:ascii="Soberana Sans" w:hAnsi="Soberana Sans" w:cs="Arial"/>
          <w:b/>
          <w:sz w:val="22"/>
          <w:szCs w:val="22"/>
          <w:lang w:val="es-MX"/>
        </w:rPr>
        <w:t xml:space="preserve"> - </w:t>
      </w:r>
      <w:r w:rsidR="00511C67">
        <w:rPr>
          <w:rFonts w:ascii="Soberana Sans" w:hAnsi="Soberana Sans" w:cs="Arial"/>
          <w:b/>
          <w:sz w:val="22"/>
          <w:szCs w:val="22"/>
          <w:lang w:val="es-MX"/>
        </w:rPr>
        <w:t>D</w:t>
      </w:r>
      <w:r w:rsidR="00634DA4">
        <w:rPr>
          <w:rFonts w:ascii="Soberana Sans" w:hAnsi="Soberana Sans" w:cs="Arial"/>
          <w:b/>
          <w:sz w:val="22"/>
          <w:szCs w:val="22"/>
          <w:lang w:val="es-MX"/>
        </w:rPr>
        <w:t>I</w:t>
      </w:r>
      <w:r w:rsidR="00511C67">
        <w:rPr>
          <w:rFonts w:ascii="Soberana Sans" w:hAnsi="Soberana Sans" w:cs="Arial"/>
          <w:b/>
          <w:sz w:val="22"/>
          <w:szCs w:val="22"/>
          <w:lang w:val="es-MX"/>
        </w:rPr>
        <w:t>CI</w:t>
      </w:r>
      <w:r w:rsidR="00634DA4">
        <w:rPr>
          <w:rFonts w:ascii="Soberana Sans" w:hAnsi="Soberana Sans" w:cs="Arial"/>
          <w:b/>
          <w:sz w:val="22"/>
          <w:szCs w:val="22"/>
          <w:lang w:val="es-MX"/>
        </w:rPr>
        <w:t>EMBRE</w:t>
      </w:r>
      <w:r w:rsidR="004454A2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="00603ED0">
        <w:rPr>
          <w:rFonts w:ascii="Soberana Sans" w:hAnsi="Soberana Sans" w:cs="Arial"/>
          <w:b/>
          <w:sz w:val="22"/>
          <w:szCs w:val="22"/>
          <w:lang w:val="es-MX"/>
        </w:rPr>
        <w:t>6</w:t>
      </w:r>
    </w:p>
    <w:p w:rsidR="00EC3EA5" w:rsidRPr="00AB3B5A" w:rsidRDefault="00EC3EA5" w:rsidP="00186DE2">
      <w:pPr>
        <w:jc w:val="center"/>
        <w:rPr>
          <w:rFonts w:ascii="Soberana Sans" w:hAnsi="Soberana Sans" w:cs="Arial"/>
          <w:sz w:val="22"/>
          <w:szCs w:val="22"/>
          <w:lang w:val="es-MX"/>
        </w:rPr>
      </w:pPr>
    </w:p>
    <w:p w:rsidR="00887B80" w:rsidRPr="00AB3B5A" w:rsidRDefault="00887B80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 </w:t>
      </w:r>
      <w:r w:rsidR="00EC3EA5" w:rsidRPr="00AB3B5A">
        <w:rPr>
          <w:rFonts w:ascii="Soberana Sans" w:hAnsi="Soberana Sans" w:cs="Arial"/>
          <w:b/>
        </w:rPr>
        <w:t xml:space="preserve">JUICIOS FISCALES </w:t>
      </w:r>
      <w:r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EC3EA5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B64E2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AA35C9" w:rsidRPr="00C97A4E" w:rsidRDefault="00231E99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D38CF" w:rsidRPr="00C97A4E" w:rsidRDefault="00FC6984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419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8A578B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D1811" w:rsidRPr="00C97A4E" w:rsidRDefault="008A578B" w:rsidP="00511C6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C698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178’222,127.06</w:t>
            </w:r>
          </w:p>
        </w:tc>
      </w:tr>
      <w:tr w:rsidR="0074237D" w:rsidRPr="00A95F2B" w:rsidTr="0056115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231E99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621544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465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E37251" w:rsidP="00511C6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2154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199’963,125.64</w:t>
            </w:r>
          </w:p>
        </w:tc>
      </w:tr>
      <w:tr w:rsidR="0074237D" w:rsidRPr="00A95F2B" w:rsidTr="00561155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231E99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172189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6420AF" w:rsidP="00511C6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17218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51’400,435.82</w:t>
            </w:r>
          </w:p>
        </w:tc>
      </w:tr>
      <w:tr w:rsidR="00BA43B3" w:rsidRPr="00A95F2B" w:rsidTr="00A1378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253A" w:rsidRPr="00CE6858" w:rsidRDefault="0022253A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A43B3" w:rsidRPr="00CE6858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E68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BA43B3" w:rsidRPr="00CE6858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43B3" w:rsidRPr="00CE6858" w:rsidRDefault="00A13785" w:rsidP="00A13785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1,053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862" w:rsidRPr="00CE6858" w:rsidRDefault="00B23862" w:rsidP="00521C3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A43B3" w:rsidRPr="00CE6858" w:rsidRDefault="0041141F" w:rsidP="00511C6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830A4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429’585,688.52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1862F8" w:rsidRPr="00A95F2B" w:rsidTr="002343DC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DE3556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FC6984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2266F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C698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</w:t>
            </w:r>
            <w:r w:rsidR="002266F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</w:t>
            </w:r>
            <w:r w:rsidR="00C6490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’278,482.68</w:t>
            </w:r>
          </w:p>
        </w:tc>
      </w:tr>
      <w:tr w:rsidR="00DE3556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AE2BA2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363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511C6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AE2BA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109’400,224.42</w:t>
            </w:r>
          </w:p>
        </w:tc>
      </w:tr>
      <w:tr w:rsidR="00DE3556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172189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511C6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17218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27’542,012.08</w:t>
            </w:r>
          </w:p>
        </w:tc>
      </w:tr>
      <w:tr w:rsidR="00DE3556" w:rsidRPr="00A95F2B" w:rsidTr="006937D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Default="00DE3556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DE3556" w:rsidRPr="006F1C21" w:rsidRDefault="00DE3556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6F1C2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DE3556" w:rsidRPr="006F1C21" w:rsidRDefault="00DE3556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263E9A" w:rsidRDefault="006937DE" w:rsidP="006937DE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784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DE3556" w:rsidRPr="002343DC" w:rsidRDefault="00DE3556" w:rsidP="00511C6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6937DE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198’220,719.18</w:t>
            </w:r>
          </w:p>
        </w:tc>
      </w:tr>
      <w:tr w:rsidR="00DE3556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Default="00DE3556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DE3556" w:rsidRDefault="00DE3556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  <w:p w:rsidR="00DE3556" w:rsidRPr="00C97A4E" w:rsidRDefault="00DE3556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C97A4E" w:rsidRDefault="00E90D3F" w:rsidP="00906AA0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1,837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556" w:rsidRPr="00C97A4E" w:rsidRDefault="00DE3556" w:rsidP="00511C67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$</w:t>
            </w:r>
            <w:r w:rsidR="00163AFB"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627’806,407.70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D905BA" w:rsidRDefault="00D905BA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E3556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AD04D1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384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AD04D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95’373,664.10</w:t>
            </w:r>
          </w:p>
        </w:tc>
      </w:tr>
      <w:tr w:rsidR="00DE3556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904540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402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904540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AE2BA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</w:t>
            </w:r>
            <w:r w:rsidR="0090454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65</w:t>
            </w:r>
            <w:r w:rsidR="00AE2BA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90454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603</w:t>
            </w:r>
            <w:r w:rsidR="00AE2BA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90454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079.75</w:t>
            </w:r>
          </w:p>
        </w:tc>
      </w:tr>
      <w:tr w:rsidR="00DE3556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172189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17218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88’393,010.73</w:t>
            </w:r>
          </w:p>
        </w:tc>
      </w:tr>
      <w:tr w:rsidR="00DE3556" w:rsidRPr="00A95F2B" w:rsidTr="003D34E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3945AC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DE3556" w:rsidRPr="00C97A4E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DE3556" w:rsidRPr="00C97A4E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2343DC" w:rsidRDefault="003D34E5" w:rsidP="003D34E5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Pr="00CE6858" w:rsidRDefault="00DE3556" w:rsidP="00480F62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DE3556" w:rsidRPr="00CE6858" w:rsidRDefault="00DE3556" w:rsidP="00480F62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2D15FE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349’369,754.58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DE3556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OCTUBRE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05720B" w:rsidRDefault="00AD04D1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AD04D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69’276,506.35</w:t>
            </w:r>
          </w:p>
        </w:tc>
      </w:tr>
      <w:tr w:rsidR="00DE3556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NOVIEMBRE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05720B" w:rsidRDefault="00172189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17218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47’380,335.85</w:t>
            </w:r>
          </w:p>
        </w:tc>
      </w:tr>
      <w:tr w:rsidR="00DE3556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C97A4E" w:rsidRDefault="00DE3556" w:rsidP="00480F62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DICIEMBRE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E3556" w:rsidRPr="0005720B" w:rsidRDefault="00172189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Default="00DE3556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E3556" w:rsidRPr="00C97A4E" w:rsidRDefault="00172189" w:rsidP="00480F62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15’909,349.20</w:t>
            </w:r>
          </w:p>
        </w:tc>
      </w:tr>
      <w:tr w:rsidR="00DE3556" w:rsidRPr="00E37251" w:rsidTr="005B018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3945AC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DE3556" w:rsidRPr="00E37251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E3725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DE3556" w:rsidRPr="00E37251" w:rsidRDefault="00DE3556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3556" w:rsidRPr="002343DC" w:rsidRDefault="005B0181" w:rsidP="005B0181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574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556" w:rsidRPr="00CE6858" w:rsidRDefault="00DE3556" w:rsidP="00480F62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DE3556" w:rsidRPr="00CE6858" w:rsidRDefault="00DE3556" w:rsidP="00480F62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5B0181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132’566,191.40</w:t>
            </w:r>
          </w:p>
        </w:tc>
      </w:tr>
    </w:tbl>
    <w:p w:rsidR="00EC3EA5" w:rsidRPr="00E37251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r w:rsidRPr="00AB37FD">
        <w:rPr>
          <w:rFonts w:ascii="Soberana Sans" w:hAnsi="Soberana Sans" w:cs="Arial"/>
          <w:sz w:val="22"/>
          <w:szCs w:val="22"/>
        </w:rPr>
        <w:t>uicios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191DD0" w:rsidRDefault="00191DD0" w:rsidP="00EC3EA5">
      <w:pPr>
        <w:ind w:right="4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414324" w:rsidRPr="00AB37FD" w:rsidRDefault="00414324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sectPr w:rsidR="00414324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AF" w:rsidRDefault="00ED1DAF" w:rsidP="00BD3F02">
      <w:r>
        <w:separator/>
      </w:r>
    </w:p>
  </w:endnote>
  <w:endnote w:type="continuationSeparator" w:id="0">
    <w:p w:rsidR="00ED1DAF" w:rsidRDefault="00ED1DAF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gyreadventor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87E" w:rsidRPr="00A7587E">
          <w:rPr>
            <w:noProof/>
            <w:lang w:val="es-ES"/>
          </w:rPr>
          <w:t>2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AF" w:rsidRDefault="00ED1DAF" w:rsidP="00BD3F02">
      <w:r>
        <w:separator/>
      </w:r>
    </w:p>
  </w:footnote>
  <w:footnote w:type="continuationSeparator" w:id="0">
    <w:p w:rsidR="00ED1DAF" w:rsidRDefault="00ED1DAF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2633A" wp14:editId="15958A01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D91C80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D91C80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24DC0B5A" wp14:editId="28AC3E02">
          <wp:extent cx="6553200" cy="1200150"/>
          <wp:effectExtent l="0" t="0" r="0" b="0"/>
          <wp:docPr id="3" name="Imagen 3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7FE3C8F"/>
    <w:multiLevelType w:val="multilevel"/>
    <w:tmpl w:val="EEB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034DD"/>
    <w:rsid w:val="0001496C"/>
    <w:rsid w:val="0002430E"/>
    <w:rsid w:val="000252B3"/>
    <w:rsid w:val="0002715E"/>
    <w:rsid w:val="0003461B"/>
    <w:rsid w:val="0003606D"/>
    <w:rsid w:val="00043D58"/>
    <w:rsid w:val="00045360"/>
    <w:rsid w:val="00046A2C"/>
    <w:rsid w:val="0005114A"/>
    <w:rsid w:val="00052090"/>
    <w:rsid w:val="0005276A"/>
    <w:rsid w:val="0005720B"/>
    <w:rsid w:val="0006059A"/>
    <w:rsid w:val="0006065A"/>
    <w:rsid w:val="000608AA"/>
    <w:rsid w:val="00075952"/>
    <w:rsid w:val="00076792"/>
    <w:rsid w:val="000767D2"/>
    <w:rsid w:val="000835EE"/>
    <w:rsid w:val="0008529B"/>
    <w:rsid w:val="00085A5D"/>
    <w:rsid w:val="000909FE"/>
    <w:rsid w:val="000935AD"/>
    <w:rsid w:val="00096ED1"/>
    <w:rsid w:val="000A424D"/>
    <w:rsid w:val="000A5E28"/>
    <w:rsid w:val="000A6D15"/>
    <w:rsid w:val="000B01CD"/>
    <w:rsid w:val="000B0323"/>
    <w:rsid w:val="000B26BF"/>
    <w:rsid w:val="000B368F"/>
    <w:rsid w:val="000B698F"/>
    <w:rsid w:val="000B7083"/>
    <w:rsid w:val="000C4682"/>
    <w:rsid w:val="000C7612"/>
    <w:rsid w:val="000D0778"/>
    <w:rsid w:val="000D3819"/>
    <w:rsid w:val="000D63DB"/>
    <w:rsid w:val="000E7AA4"/>
    <w:rsid w:val="000F47F9"/>
    <w:rsid w:val="001024ED"/>
    <w:rsid w:val="00106624"/>
    <w:rsid w:val="00116551"/>
    <w:rsid w:val="0012285E"/>
    <w:rsid w:val="001243CC"/>
    <w:rsid w:val="00140817"/>
    <w:rsid w:val="00141FF0"/>
    <w:rsid w:val="001420B5"/>
    <w:rsid w:val="00142DA1"/>
    <w:rsid w:val="001451AE"/>
    <w:rsid w:val="00155C7C"/>
    <w:rsid w:val="00163AFB"/>
    <w:rsid w:val="00165490"/>
    <w:rsid w:val="00171A77"/>
    <w:rsid w:val="00172189"/>
    <w:rsid w:val="00172478"/>
    <w:rsid w:val="00172705"/>
    <w:rsid w:val="001760CE"/>
    <w:rsid w:val="0017623B"/>
    <w:rsid w:val="0017729F"/>
    <w:rsid w:val="001777E9"/>
    <w:rsid w:val="00181CBE"/>
    <w:rsid w:val="001862F8"/>
    <w:rsid w:val="00186C79"/>
    <w:rsid w:val="00186DE2"/>
    <w:rsid w:val="001918C9"/>
    <w:rsid w:val="00191DD0"/>
    <w:rsid w:val="00193E99"/>
    <w:rsid w:val="001A682C"/>
    <w:rsid w:val="001B0CB2"/>
    <w:rsid w:val="001B496E"/>
    <w:rsid w:val="001B529A"/>
    <w:rsid w:val="001B6191"/>
    <w:rsid w:val="001C2CC2"/>
    <w:rsid w:val="001C6229"/>
    <w:rsid w:val="001D2D67"/>
    <w:rsid w:val="001E25C6"/>
    <w:rsid w:val="001E45D9"/>
    <w:rsid w:val="001E4A64"/>
    <w:rsid w:val="001F4F7E"/>
    <w:rsid w:val="00203ED8"/>
    <w:rsid w:val="002047FF"/>
    <w:rsid w:val="00204925"/>
    <w:rsid w:val="0020570C"/>
    <w:rsid w:val="00211A1C"/>
    <w:rsid w:val="002148C0"/>
    <w:rsid w:val="0022253A"/>
    <w:rsid w:val="002266F8"/>
    <w:rsid w:val="00231E99"/>
    <w:rsid w:val="00232E17"/>
    <w:rsid w:val="00234210"/>
    <w:rsid w:val="002343DC"/>
    <w:rsid w:val="00257F69"/>
    <w:rsid w:val="0026060C"/>
    <w:rsid w:val="00263E9A"/>
    <w:rsid w:val="00264336"/>
    <w:rsid w:val="00264B89"/>
    <w:rsid w:val="00264E8B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17C"/>
    <w:rsid w:val="002A0671"/>
    <w:rsid w:val="002A5CA7"/>
    <w:rsid w:val="002B2544"/>
    <w:rsid w:val="002B791C"/>
    <w:rsid w:val="002C0EEF"/>
    <w:rsid w:val="002C1575"/>
    <w:rsid w:val="002C28BA"/>
    <w:rsid w:val="002D15FE"/>
    <w:rsid w:val="002D1FE2"/>
    <w:rsid w:val="002D3735"/>
    <w:rsid w:val="002D38CF"/>
    <w:rsid w:val="002D7F43"/>
    <w:rsid w:val="002F1704"/>
    <w:rsid w:val="002F7B0F"/>
    <w:rsid w:val="003012F5"/>
    <w:rsid w:val="00302422"/>
    <w:rsid w:val="003042E4"/>
    <w:rsid w:val="00311EC9"/>
    <w:rsid w:val="003122BA"/>
    <w:rsid w:val="00314B9A"/>
    <w:rsid w:val="003227DE"/>
    <w:rsid w:val="00325C1C"/>
    <w:rsid w:val="0033072B"/>
    <w:rsid w:val="00333E8A"/>
    <w:rsid w:val="00335461"/>
    <w:rsid w:val="003418EF"/>
    <w:rsid w:val="0034678C"/>
    <w:rsid w:val="0034683B"/>
    <w:rsid w:val="0035582C"/>
    <w:rsid w:val="0036279D"/>
    <w:rsid w:val="003647CE"/>
    <w:rsid w:val="00366704"/>
    <w:rsid w:val="0037242F"/>
    <w:rsid w:val="0037737C"/>
    <w:rsid w:val="003773A7"/>
    <w:rsid w:val="00380B93"/>
    <w:rsid w:val="003842C8"/>
    <w:rsid w:val="00384C06"/>
    <w:rsid w:val="0038752F"/>
    <w:rsid w:val="00390705"/>
    <w:rsid w:val="003907C5"/>
    <w:rsid w:val="00390F0B"/>
    <w:rsid w:val="0039115C"/>
    <w:rsid w:val="00391353"/>
    <w:rsid w:val="0039274C"/>
    <w:rsid w:val="00393461"/>
    <w:rsid w:val="003945AC"/>
    <w:rsid w:val="0039666B"/>
    <w:rsid w:val="003A01B6"/>
    <w:rsid w:val="003A1522"/>
    <w:rsid w:val="003A749F"/>
    <w:rsid w:val="003B1087"/>
    <w:rsid w:val="003B3EF6"/>
    <w:rsid w:val="003B5CFA"/>
    <w:rsid w:val="003C07C0"/>
    <w:rsid w:val="003C69E1"/>
    <w:rsid w:val="003D34E5"/>
    <w:rsid w:val="003E0970"/>
    <w:rsid w:val="003E448D"/>
    <w:rsid w:val="003E4D27"/>
    <w:rsid w:val="003F6C96"/>
    <w:rsid w:val="00401EA9"/>
    <w:rsid w:val="00405C41"/>
    <w:rsid w:val="0040722A"/>
    <w:rsid w:val="0041141F"/>
    <w:rsid w:val="00414324"/>
    <w:rsid w:val="00417536"/>
    <w:rsid w:val="00420B65"/>
    <w:rsid w:val="004234DF"/>
    <w:rsid w:val="00423F56"/>
    <w:rsid w:val="00424A4E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5569B"/>
    <w:rsid w:val="004556D3"/>
    <w:rsid w:val="00464FB1"/>
    <w:rsid w:val="00471335"/>
    <w:rsid w:val="00474A91"/>
    <w:rsid w:val="004751A8"/>
    <w:rsid w:val="00476A0C"/>
    <w:rsid w:val="00480266"/>
    <w:rsid w:val="004959E7"/>
    <w:rsid w:val="00496D0F"/>
    <w:rsid w:val="00497D1A"/>
    <w:rsid w:val="004A178F"/>
    <w:rsid w:val="004A33F7"/>
    <w:rsid w:val="004A61D8"/>
    <w:rsid w:val="004B7231"/>
    <w:rsid w:val="004C1675"/>
    <w:rsid w:val="004C71B7"/>
    <w:rsid w:val="004D0D96"/>
    <w:rsid w:val="004D39CF"/>
    <w:rsid w:val="004D6182"/>
    <w:rsid w:val="004D7430"/>
    <w:rsid w:val="004E39AD"/>
    <w:rsid w:val="004E5592"/>
    <w:rsid w:val="004E7D06"/>
    <w:rsid w:val="004F0092"/>
    <w:rsid w:val="004F1E03"/>
    <w:rsid w:val="004F3CDD"/>
    <w:rsid w:val="004F497F"/>
    <w:rsid w:val="004F68F6"/>
    <w:rsid w:val="005025E7"/>
    <w:rsid w:val="005038E1"/>
    <w:rsid w:val="00511C67"/>
    <w:rsid w:val="005136A8"/>
    <w:rsid w:val="0051398D"/>
    <w:rsid w:val="00516E82"/>
    <w:rsid w:val="00517055"/>
    <w:rsid w:val="005208E3"/>
    <w:rsid w:val="005218A2"/>
    <w:rsid w:val="00531DDF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1155"/>
    <w:rsid w:val="00561BEE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B0181"/>
    <w:rsid w:val="005B0B97"/>
    <w:rsid w:val="005B275B"/>
    <w:rsid w:val="005C4B9F"/>
    <w:rsid w:val="005D1CB9"/>
    <w:rsid w:val="005D2D65"/>
    <w:rsid w:val="005D5211"/>
    <w:rsid w:val="005D5746"/>
    <w:rsid w:val="005E15AA"/>
    <w:rsid w:val="005F19AB"/>
    <w:rsid w:val="0060181C"/>
    <w:rsid w:val="00603ED0"/>
    <w:rsid w:val="00604975"/>
    <w:rsid w:val="00605F3E"/>
    <w:rsid w:val="006100CE"/>
    <w:rsid w:val="00614B1F"/>
    <w:rsid w:val="006166A7"/>
    <w:rsid w:val="00617FC7"/>
    <w:rsid w:val="00621544"/>
    <w:rsid w:val="00623554"/>
    <w:rsid w:val="006237B4"/>
    <w:rsid w:val="006276E5"/>
    <w:rsid w:val="006314FB"/>
    <w:rsid w:val="00634DA4"/>
    <w:rsid w:val="006363CE"/>
    <w:rsid w:val="006420AF"/>
    <w:rsid w:val="006439C6"/>
    <w:rsid w:val="006441DF"/>
    <w:rsid w:val="00652B6A"/>
    <w:rsid w:val="00653DC4"/>
    <w:rsid w:val="006549CC"/>
    <w:rsid w:val="006576DD"/>
    <w:rsid w:val="0066345E"/>
    <w:rsid w:val="006668BE"/>
    <w:rsid w:val="00670F7C"/>
    <w:rsid w:val="00674CAD"/>
    <w:rsid w:val="00682736"/>
    <w:rsid w:val="006937DE"/>
    <w:rsid w:val="006946D5"/>
    <w:rsid w:val="006A4E22"/>
    <w:rsid w:val="006A6677"/>
    <w:rsid w:val="006A6C91"/>
    <w:rsid w:val="006C5435"/>
    <w:rsid w:val="006C6332"/>
    <w:rsid w:val="006D2856"/>
    <w:rsid w:val="006D6875"/>
    <w:rsid w:val="006E0A88"/>
    <w:rsid w:val="006E1153"/>
    <w:rsid w:val="006E1A88"/>
    <w:rsid w:val="006E1B76"/>
    <w:rsid w:val="006E21F9"/>
    <w:rsid w:val="006E4813"/>
    <w:rsid w:val="006E7FC2"/>
    <w:rsid w:val="006F1C21"/>
    <w:rsid w:val="006F1D0C"/>
    <w:rsid w:val="006F3B87"/>
    <w:rsid w:val="006F7977"/>
    <w:rsid w:val="00702145"/>
    <w:rsid w:val="007021B9"/>
    <w:rsid w:val="0070501E"/>
    <w:rsid w:val="00707641"/>
    <w:rsid w:val="00725F40"/>
    <w:rsid w:val="007336A1"/>
    <w:rsid w:val="00740797"/>
    <w:rsid w:val="00741A2D"/>
    <w:rsid w:val="00741E75"/>
    <w:rsid w:val="0074237D"/>
    <w:rsid w:val="007424D8"/>
    <w:rsid w:val="00746927"/>
    <w:rsid w:val="00747B81"/>
    <w:rsid w:val="0075090E"/>
    <w:rsid w:val="00751624"/>
    <w:rsid w:val="00766184"/>
    <w:rsid w:val="00772E16"/>
    <w:rsid w:val="00773B3D"/>
    <w:rsid w:val="00774715"/>
    <w:rsid w:val="00776CC1"/>
    <w:rsid w:val="00780834"/>
    <w:rsid w:val="0078230A"/>
    <w:rsid w:val="00783468"/>
    <w:rsid w:val="00787899"/>
    <w:rsid w:val="007A23A6"/>
    <w:rsid w:val="007A2D20"/>
    <w:rsid w:val="007B292A"/>
    <w:rsid w:val="007B38BC"/>
    <w:rsid w:val="007B7424"/>
    <w:rsid w:val="007C0D9F"/>
    <w:rsid w:val="007C3A40"/>
    <w:rsid w:val="007C706D"/>
    <w:rsid w:val="007D1B95"/>
    <w:rsid w:val="007D21BA"/>
    <w:rsid w:val="007E025D"/>
    <w:rsid w:val="007E51B1"/>
    <w:rsid w:val="007E611C"/>
    <w:rsid w:val="007F10E5"/>
    <w:rsid w:val="007F22DC"/>
    <w:rsid w:val="007F27A5"/>
    <w:rsid w:val="007F50BC"/>
    <w:rsid w:val="008071AB"/>
    <w:rsid w:val="00810502"/>
    <w:rsid w:val="00811DE5"/>
    <w:rsid w:val="00812F05"/>
    <w:rsid w:val="00814D1C"/>
    <w:rsid w:val="008160C6"/>
    <w:rsid w:val="008246C0"/>
    <w:rsid w:val="00824CAF"/>
    <w:rsid w:val="0082637B"/>
    <w:rsid w:val="00830A49"/>
    <w:rsid w:val="008334CE"/>
    <w:rsid w:val="008337C4"/>
    <w:rsid w:val="008338AE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90CC6"/>
    <w:rsid w:val="008A1620"/>
    <w:rsid w:val="008A3F9A"/>
    <w:rsid w:val="008A44CC"/>
    <w:rsid w:val="008A4AD6"/>
    <w:rsid w:val="008A4DD6"/>
    <w:rsid w:val="008A578B"/>
    <w:rsid w:val="008B1237"/>
    <w:rsid w:val="008B45A1"/>
    <w:rsid w:val="008B64EA"/>
    <w:rsid w:val="008B78AD"/>
    <w:rsid w:val="008B79B8"/>
    <w:rsid w:val="008C0972"/>
    <w:rsid w:val="008C5036"/>
    <w:rsid w:val="008C6206"/>
    <w:rsid w:val="008E0FF8"/>
    <w:rsid w:val="008E33D3"/>
    <w:rsid w:val="008E7B6F"/>
    <w:rsid w:val="008F02ED"/>
    <w:rsid w:val="008F0BBF"/>
    <w:rsid w:val="008F17E1"/>
    <w:rsid w:val="008F31EC"/>
    <w:rsid w:val="008F32A8"/>
    <w:rsid w:val="008F7DC3"/>
    <w:rsid w:val="00903C6A"/>
    <w:rsid w:val="0090441B"/>
    <w:rsid w:val="00904540"/>
    <w:rsid w:val="00904758"/>
    <w:rsid w:val="00904C96"/>
    <w:rsid w:val="00906AA0"/>
    <w:rsid w:val="00907A3D"/>
    <w:rsid w:val="0091223A"/>
    <w:rsid w:val="009125D4"/>
    <w:rsid w:val="009171A2"/>
    <w:rsid w:val="0093066B"/>
    <w:rsid w:val="00930DDC"/>
    <w:rsid w:val="00936380"/>
    <w:rsid w:val="00937923"/>
    <w:rsid w:val="00940D92"/>
    <w:rsid w:val="00940FF2"/>
    <w:rsid w:val="00943491"/>
    <w:rsid w:val="00962C05"/>
    <w:rsid w:val="0096566A"/>
    <w:rsid w:val="009668BE"/>
    <w:rsid w:val="00976AC1"/>
    <w:rsid w:val="00983A01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785"/>
    <w:rsid w:val="00A1389C"/>
    <w:rsid w:val="00A1435E"/>
    <w:rsid w:val="00A148AE"/>
    <w:rsid w:val="00A15AB2"/>
    <w:rsid w:val="00A16D58"/>
    <w:rsid w:val="00A20E2F"/>
    <w:rsid w:val="00A2475E"/>
    <w:rsid w:val="00A26752"/>
    <w:rsid w:val="00A30ABB"/>
    <w:rsid w:val="00A31371"/>
    <w:rsid w:val="00A35E79"/>
    <w:rsid w:val="00A4243C"/>
    <w:rsid w:val="00A43536"/>
    <w:rsid w:val="00A451C3"/>
    <w:rsid w:val="00A54A16"/>
    <w:rsid w:val="00A61E6B"/>
    <w:rsid w:val="00A62A31"/>
    <w:rsid w:val="00A6407F"/>
    <w:rsid w:val="00A670E6"/>
    <w:rsid w:val="00A7587E"/>
    <w:rsid w:val="00A83754"/>
    <w:rsid w:val="00A86E29"/>
    <w:rsid w:val="00A95F2B"/>
    <w:rsid w:val="00AA0E5C"/>
    <w:rsid w:val="00AA200A"/>
    <w:rsid w:val="00AA35C9"/>
    <w:rsid w:val="00AA5C39"/>
    <w:rsid w:val="00AA63A6"/>
    <w:rsid w:val="00AB10A8"/>
    <w:rsid w:val="00AB37FD"/>
    <w:rsid w:val="00AB3B5A"/>
    <w:rsid w:val="00AB78AA"/>
    <w:rsid w:val="00AC3BC9"/>
    <w:rsid w:val="00AD04D1"/>
    <w:rsid w:val="00AD285D"/>
    <w:rsid w:val="00AE2BA2"/>
    <w:rsid w:val="00AE40CF"/>
    <w:rsid w:val="00AE5D95"/>
    <w:rsid w:val="00AF15A6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862"/>
    <w:rsid w:val="00B23D8F"/>
    <w:rsid w:val="00B24FA2"/>
    <w:rsid w:val="00B324CD"/>
    <w:rsid w:val="00B33796"/>
    <w:rsid w:val="00B374A5"/>
    <w:rsid w:val="00B377BC"/>
    <w:rsid w:val="00B40DA5"/>
    <w:rsid w:val="00B5019C"/>
    <w:rsid w:val="00B516FE"/>
    <w:rsid w:val="00B51D84"/>
    <w:rsid w:val="00B53565"/>
    <w:rsid w:val="00B60A12"/>
    <w:rsid w:val="00B63F47"/>
    <w:rsid w:val="00B63F71"/>
    <w:rsid w:val="00B64E20"/>
    <w:rsid w:val="00B70390"/>
    <w:rsid w:val="00B70F2E"/>
    <w:rsid w:val="00B72D4F"/>
    <w:rsid w:val="00B7345A"/>
    <w:rsid w:val="00B73CB4"/>
    <w:rsid w:val="00B73F93"/>
    <w:rsid w:val="00B76069"/>
    <w:rsid w:val="00B80F85"/>
    <w:rsid w:val="00B855DC"/>
    <w:rsid w:val="00B91B9C"/>
    <w:rsid w:val="00B920F2"/>
    <w:rsid w:val="00BA43B3"/>
    <w:rsid w:val="00BA4854"/>
    <w:rsid w:val="00BB1766"/>
    <w:rsid w:val="00BB1E15"/>
    <w:rsid w:val="00BB2A5D"/>
    <w:rsid w:val="00BB3179"/>
    <w:rsid w:val="00BB3525"/>
    <w:rsid w:val="00BC2A69"/>
    <w:rsid w:val="00BD3F02"/>
    <w:rsid w:val="00BD7888"/>
    <w:rsid w:val="00BE160E"/>
    <w:rsid w:val="00BE6305"/>
    <w:rsid w:val="00BF1B80"/>
    <w:rsid w:val="00BF3008"/>
    <w:rsid w:val="00BF517D"/>
    <w:rsid w:val="00BF57D2"/>
    <w:rsid w:val="00BF7E40"/>
    <w:rsid w:val="00C06309"/>
    <w:rsid w:val="00C204A1"/>
    <w:rsid w:val="00C223A4"/>
    <w:rsid w:val="00C25823"/>
    <w:rsid w:val="00C27D7D"/>
    <w:rsid w:val="00C3242E"/>
    <w:rsid w:val="00C353B1"/>
    <w:rsid w:val="00C36931"/>
    <w:rsid w:val="00C40DB9"/>
    <w:rsid w:val="00C42249"/>
    <w:rsid w:val="00C4224A"/>
    <w:rsid w:val="00C44035"/>
    <w:rsid w:val="00C5004D"/>
    <w:rsid w:val="00C5687E"/>
    <w:rsid w:val="00C62A78"/>
    <w:rsid w:val="00C64900"/>
    <w:rsid w:val="00C7200F"/>
    <w:rsid w:val="00C72430"/>
    <w:rsid w:val="00C75C86"/>
    <w:rsid w:val="00C948EB"/>
    <w:rsid w:val="00C957A6"/>
    <w:rsid w:val="00C96A7D"/>
    <w:rsid w:val="00C97A4E"/>
    <w:rsid w:val="00CA028C"/>
    <w:rsid w:val="00CA67B1"/>
    <w:rsid w:val="00CB16CA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4FBD"/>
    <w:rsid w:val="00CE536E"/>
    <w:rsid w:val="00CE6858"/>
    <w:rsid w:val="00CE6FAA"/>
    <w:rsid w:val="00CF1E41"/>
    <w:rsid w:val="00D0162E"/>
    <w:rsid w:val="00D06649"/>
    <w:rsid w:val="00D22D0A"/>
    <w:rsid w:val="00D3327E"/>
    <w:rsid w:val="00D43798"/>
    <w:rsid w:val="00D4710A"/>
    <w:rsid w:val="00D50B91"/>
    <w:rsid w:val="00D5600A"/>
    <w:rsid w:val="00D65F26"/>
    <w:rsid w:val="00D743A2"/>
    <w:rsid w:val="00D86A13"/>
    <w:rsid w:val="00D903E2"/>
    <w:rsid w:val="00D9040D"/>
    <w:rsid w:val="00D905BA"/>
    <w:rsid w:val="00D91C80"/>
    <w:rsid w:val="00D94849"/>
    <w:rsid w:val="00DA0396"/>
    <w:rsid w:val="00DA406B"/>
    <w:rsid w:val="00DA6421"/>
    <w:rsid w:val="00DB3E42"/>
    <w:rsid w:val="00DB5787"/>
    <w:rsid w:val="00DC386B"/>
    <w:rsid w:val="00DC3FD7"/>
    <w:rsid w:val="00DC6D63"/>
    <w:rsid w:val="00DC711E"/>
    <w:rsid w:val="00DD1811"/>
    <w:rsid w:val="00DD4F1A"/>
    <w:rsid w:val="00DE2290"/>
    <w:rsid w:val="00DE3556"/>
    <w:rsid w:val="00DE6B5B"/>
    <w:rsid w:val="00DE739E"/>
    <w:rsid w:val="00DF0527"/>
    <w:rsid w:val="00E10BEE"/>
    <w:rsid w:val="00E10D33"/>
    <w:rsid w:val="00E12BC7"/>
    <w:rsid w:val="00E142F6"/>
    <w:rsid w:val="00E2789D"/>
    <w:rsid w:val="00E302C9"/>
    <w:rsid w:val="00E353E3"/>
    <w:rsid w:val="00E37251"/>
    <w:rsid w:val="00E4323D"/>
    <w:rsid w:val="00E43E15"/>
    <w:rsid w:val="00E440BE"/>
    <w:rsid w:val="00E44195"/>
    <w:rsid w:val="00E45B2E"/>
    <w:rsid w:val="00E47A08"/>
    <w:rsid w:val="00E51246"/>
    <w:rsid w:val="00E63BC0"/>
    <w:rsid w:val="00E64B8F"/>
    <w:rsid w:val="00E66478"/>
    <w:rsid w:val="00E70661"/>
    <w:rsid w:val="00E72CD8"/>
    <w:rsid w:val="00E771B0"/>
    <w:rsid w:val="00E771F1"/>
    <w:rsid w:val="00E77C7E"/>
    <w:rsid w:val="00E81F6A"/>
    <w:rsid w:val="00E84063"/>
    <w:rsid w:val="00E90D3F"/>
    <w:rsid w:val="00E93053"/>
    <w:rsid w:val="00E96D1B"/>
    <w:rsid w:val="00E97250"/>
    <w:rsid w:val="00EB514B"/>
    <w:rsid w:val="00EB5702"/>
    <w:rsid w:val="00EB6169"/>
    <w:rsid w:val="00EC06D8"/>
    <w:rsid w:val="00EC128C"/>
    <w:rsid w:val="00EC1D57"/>
    <w:rsid w:val="00EC2F36"/>
    <w:rsid w:val="00EC3B8C"/>
    <w:rsid w:val="00EC3EA5"/>
    <w:rsid w:val="00EC6A59"/>
    <w:rsid w:val="00EC743C"/>
    <w:rsid w:val="00ED0C46"/>
    <w:rsid w:val="00ED1938"/>
    <w:rsid w:val="00ED1DAF"/>
    <w:rsid w:val="00ED5E19"/>
    <w:rsid w:val="00EE048D"/>
    <w:rsid w:val="00EE10CE"/>
    <w:rsid w:val="00EE40C2"/>
    <w:rsid w:val="00EE49DF"/>
    <w:rsid w:val="00EF05BE"/>
    <w:rsid w:val="00EF5772"/>
    <w:rsid w:val="00EF67C1"/>
    <w:rsid w:val="00EF6BE6"/>
    <w:rsid w:val="00F00D98"/>
    <w:rsid w:val="00F02E90"/>
    <w:rsid w:val="00F03BD1"/>
    <w:rsid w:val="00F07BBF"/>
    <w:rsid w:val="00F266E2"/>
    <w:rsid w:val="00F34F9E"/>
    <w:rsid w:val="00F36257"/>
    <w:rsid w:val="00F427FC"/>
    <w:rsid w:val="00F4693C"/>
    <w:rsid w:val="00F52F77"/>
    <w:rsid w:val="00F577F7"/>
    <w:rsid w:val="00F66469"/>
    <w:rsid w:val="00F6743C"/>
    <w:rsid w:val="00F7217A"/>
    <w:rsid w:val="00F7308F"/>
    <w:rsid w:val="00F7729E"/>
    <w:rsid w:val="00F842B0"/>
    <w:rsid w:val="00FA264C"/>
    <w:rsid w:val="00FB241E"/>
    <w:rsid w:val="00FB2517"/>
    <w:rsid w:val="00FB70C2"/>
    <w:rsid w:val="00FC2B35"/>
    <w:rsid w:val="00FC45DF"/>
    <w:rsid w:val="00FC4EB7"/>
    <w:rsid w:val="00FC6984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3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C06309"/>
    <w:pPr>
      <w:suppressAutoHyphens w:val="0"/>
      <w:spacing w:before="100" w:beforeAutospacing="1" w:after="100" w:afterAutospacing="1"/>
    </w:pPr>
    <w:rPr>
      <w:rFonts w:ascii="texgyreadventorregular" w:hAnsi="texgyreadventorregular"/>
      <w:sz w:val="21"/>
      <w:szCs w:val="21"/>
      <w:lang w:val="es-MX" w:eastAsia="es-MX"/>
    </w:rPr>
  </w:style>
  <w:style w:type="paragraph" w:customStyle="1" w:styleId="Default">
    <w:name w:val="Default"/>
    <w:rsid w:val="00C063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3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C06309"/>
    <w:pPr>
      <w:suppressAutoHyphens w:val="0"/>
      <w:spacing w:before="100" w:beforeAutospacing="1" w:after="100" w:afterAutospacing="1"/>
    </w:pPr>
    <w:rPr>
      <w:rFonts w:ascii="texgyreadventorregular" w:hAnsi="texgyreadventorregular"/>
      <w:sz w:val="21"/>
      <w:szCs w:val="21"/>
      <w:lang w:val="es-MX" w:eastAsia="es-MX"/>
    </w:rPr>
  </w:style>
  <w:style w:type="paragraph" w:customStyle="1" w:styleId="Default">
    <w:name w:val="Default"/>
    <w:rsid w:val="00C063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BB94E-0D6C-4DC8-B31E-5AE624E6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Ramirez Ortiz</dc:creator>
  <cp:lastModifiedBy>Edgar Ramírez Ortiz</cp:lastModifiedBy>
  <cp:revision>6</cp:revision>
  <cp:lastPrinted>2017-02-20T16:26:00Z</cp:lastPrinted>
  <dcterms:created xsi:type="dcterms:W3CDTF">2017-02-08T18:31:00Z</dcterms:created>
  <dcterms:modified xsi:type="dcterms:W3CDTF">2017-02-20T16:26:00Z</dcterms:modified>
</cp:coreProperties>
</file>