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C3EA5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bookmarkStart w:id="0" w:name="_GoBack"/>
      <w:bookmarkEnd w:id="0"/>
      <w:r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AA139A" w:rsidRDefault="001B529A" w:rsidP="00AA139A">
      <w:pPr>
        <w:jc w:val="center"/>
        <w:rPr>
          <w:rFonts w:ascii="Soberana Sans" w:hAnsi="Soberana Sans" w:cs="Arial"/>
          <w:sz w:val="22"/>
          <w:szCs w:val="22"/>
        </w:rPr>
      </w:pPr>
      <w:r>
        <w:rPr>
          <w:rFonts w:ascii="Soberana Sans" w:hAnsi="Soberana Sans" w:cs="Arial"/>
          <w:sz w:val="22"/>
          <w:szCs w:val="22"/>
        </w:rPr>
        <w:t xml:space="preserve">     </w:t>
      </w:r>
    </w:p>
    <w:p w:rsidR="00AA139A" w:rsidRPr="00AA139A" w:rsidRDefault="001B529A" w:rsidP="00AA139A">
      <w:pPr>
        <w:jc w:val="center"/>
        <w:rPr>
          <w:rFonts w:ascii="Soberana Sans" w:hAnsi="Soberana Sans"/>
          <w:b/>
          <w:bCs/>
          <w:sz w:val="16"/>
          <w:szCs w:val="16"/>
        </w:rPr>
      </w:pPr>
      <w:r w:rsidRPr="00AA139A">
        <w:rPr>
          <w:rFonts w:ascii="Soberana Sans" w:hAnsi="Soberana Sans" w:cs="Arial"/>
          <w:sz w:val="18"/>
          <w:szCs w:val="18"/>
        </w:rPr>
        <w:t xml:space="preserve"> </w:t>
      </w:r>
      <w:r w:rsidR="00AA139A" w:rsidRPr="00AA139A">
        <w:rPr>
          <w:rFonts w:ascii="Soberana Sans" w:hAnsi="Soberana Sans"/>
          <w:b/>
          <w:bCs/>
          <w:sz w:val="16"/>
          <w:szCs w:val="16"/>
        </w:rPr>
        <w:t>"2017, Año del Centenario de la Promulgación de la Constitución Política de los Estados Unidos Mexicanos"</w:t>
      </w:r>
    </w:p>
    <w:p w:rsidR="006439C6" w:rsidRPr="00AA139A" w:rsidRDefault="006439C6" w:rsidP="00EC1D57">
      <w:pPr>
        <w:rPr>
          <w:rFonts w:ascii="Soberana Sans" w:hAnsi="Soberana Sans" w:cs="Arial"/>
          <w:b/>
          <w:sz w:val="16"/>
          <w:szCs w:val="16"/>
        </w:rPr>
      </w:pPr>
    </w:p>
    <w:p w:rsidR="00AA139A" w:rsidRDefault="00AA139A" w:rsidP="00EC1D57">
      <w:pPr>
        <w:rPr>
          <w:rFonts w:ascii="Soberana Sans" w:hAnsi="Soberana Sans" w:cs="Arial"/>
          <w:b/>
          <w:sz w:val="16"/>
          <w:szCs w:val="16"/>
        </w:rPr>
      </w:pPr>
    </w:p>
    <w:p w:rsidR="00712A88" w:rsidRPr="00AA139A" w:rsidRDefault="00712A88" w:rsidP="00EC1D57">
      <w:pPr>
        <w:rPr>
          <w:rFonts w:ascii="Soberana Sans" w:hAnsi="Soberana Sans" w:cs="Arial"/>
          <w:b/>
          <w:sz w:val="16"/>
          <w:szCs w:val="16"/>
        </w:rPr>
      </w:pPr>
    </w:p>
    <w:p w:rsidR="009A3857" w:rsidRPr="00712A88" w:rsidRDefault="00EC3EA5" w:rsidP="00186DE2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12A88">
        <w:rPr>
          <w:rFonts w:ascii="Arial" w:hAnsi="Arial" w:cs="Arial"/>
          <w:b/>
          <w:sz w:val="22"/>
          <w:szCs w:val="22"/>
          <w:lang w:val="es-MX"/>
        </w:rPr>
        <w:t>INFORME NACIONAL DE JUICIOS FISCALES</w:t>
      </w:r>
      <w:r w:rsidR="00CE536E" w:rsidRPr="00712A88">
        <w:rPr>
          <w:rFonts w:ascii="Arial" w:hAnsi="Arial" w:cs="Arial"/>
          <w:b/>
          <w:sz w:val="22"/>
          <w:szCs w:val="22"/>
          <w:lang w:val="es-MX"/>
        </w:rPr>
        <w:t xml:space="preserve"> GANADOS</w:t>
      </w:r>
      <w:r w:rsidRPr="00712A88">
        <w:rPr>
          <w:rFonts w:ascii="Arial" w:hAnsi="Arial" w:cs="Arial"/>
          <w:b/>
          <w:sz w:val="22"/>
          <w:szCs w:val="22"/>
          <w:lang w:val="es-MX"/>
        </w:rPr>
        <w:t xml:space="preserve">, </w:t>
      </w:r>
      <w:r w:rsidR="00CE536E" w:rsidRPr="00712A88">
        <w:rPr>
          <w:rFonts w:ascii="Arial" w:hAnsi="Arial" w:cs="Arial"/>
          <w:b/>
          <w:sz w:val="22"/>
          <w:szCs w:val="22"/>
          <w:lang w:val="es-MX"/>
        </w:rPr>
        <w:t xml:space="preserve">PERDIDOS Y </w:t>
      </w:r>
      <w:r w:rsidRPr="00712A88">
        <w:rPr>
          <w:rFonts w:ascii="Arial" w:hAnsi="Arial" w:cs="Arial"/>
          <w:b/>
          <w:sz w:val="22"/>
          <w:szCs w:val="22"/>
          <w:lang w:val="es-MX"/>
        </w:rPr>
        <w:t xml:space="preserve">EN LOS QUE SE DICTÓ </w:t>
      </w:r>
      <w:r w:rsidRPr="00712A88">
        <w:rPr>
          <w:rFonts w:ascii="Arial" w:hAnsi="Arial" w:cs="Arial"/>
          <w:b/>
          <w:sz w:val="22"/>
          <w:szCs w:val="22"/>
        </w:rPr>
        <w:t>LA NULIDAD PARA EFECTOS</w:t>
      </w:r>
      <w:r w:rsidRPr="00712A88">
        <w:rPr>
          <w:rFonts w:ascii="Arial" w:hAnsi="Arial" w:cs="Arial"/>
          <w:b/>
          <w:sz w:val="22"/>
          <w:szCs w:val="22"/>
          <w:lang w:val="es-MX"/>
        </w:rPr>
        <w:t xml:space="preserve">, DURANTE EL TRIMESTRE </w:t>
      </w:r>
    </w:p>
    <w:p w:rsidR="00EC3EA5" w:rsidRPr="00712A88" w:rsidRDefault="008C15FE" w:rsidP="00186DE2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712A88">
        <w:rPr>
          <w:rFonts w:ascii="Arial" w:hAnsi="Arial" w:cs="Arial"/>
          <w:b/>
          <w:sz w:val="22"/>
          <w:szCs w:val="22"/>
          <w:lang w:val="es-MX"/>
        </w:rPr>
        <w:t>ABRIL</w:t>
      </w:r>
      <w:r w:rsidR="00DC386B" w:rsidRPr="00712A88">
        <w:rPr>
          <w:rFonts w:ascii="Arial" w:hAnsi="Arial" w:cs="Arial"/>
          <w:b/>
          <w:sz w:val="22"/>
          <w:szCs w:val="22"/>
          <w:lang w:val="es-MX"/>
        </w:rPr>
        <w:t xml:space="preserve"> - </w:t>
      </w:r>
      <w:r w:rsidRPr="00712A88">
        <w:rPr>
          <w:rFonts w:ascii="Arial" w:hAnsi="Arial" w:cs="Arial"/>
          <w:b/>
          <w:sz w:val="22"/>
          <w:szCs w:val="22"/>
          <w:lang w:val="es-MX"/>
        </w:rPr>
        <w:t>JUNI</w:t>
      </w:r>
      <w:r w:rsidR="00DC386B" w:rsidRPr="00712A88">
        <w:rPr>
          <w:rFonts w:ascii="Arial" w:hAnsi="Arial" w:cs="Arial"/>
          <w:b/>
          <w:sz w:val="22"/>
          <w:szCs w:val="22"/>
          <w:lang w:val="es-MX"/>
        </w:rPr>
        <w:t>O</w:t>
      </w:r>
      <w:r w:rsidR="004454A2" w:rsidRPr="00712A88">
        <w:rPr>
          <w:rFonts w:ascii="Arial" w:hAnsi="Arial" w:cs="Arial"/>
          <w:b/>
          <w:sz w:val="22"/>
          <w:szCs w:val="22"/>
          <w:lang w:val="es-MX"/>
        </w:rPr>
        <w:t xml:space="preserve"> DE</w:t>
      </w:r>
      <w:r w:rsidR="00446894" w:rsidRPr="00712A88">
        <w:rPr>
          <w:rFonts w:ascii="Arial" w:hAnsi="Arial" w:cs="Arial"/>
          <w:b/>
          <w:sz w:val="22"/>
          <w:szCs w:val="22"/>
          <w:lang w:val="es-MX"/>
        </w:rPr>
        <w:t xml:space="preserve"> 201</w:t>
      </w:r>
      <w:r w:rsidR="00495795" w:rsidRPr="00712A88">
        <w:rPr>
          <w:rFonts w:ascii="Arial" w:hAnsi="Arial" w:cs="Arial"/>
          <w:b/>
          <w:sz w:val="22"/>
          <w:szCs w:val="22"/>
          <w:lang w:val="es-MX"/>
        </w:rPr>
        <w:t>7</w:t>
      </w:r>
    </w:p>
    <w:p w:rsidR="00EC3EA5" w:rsidRPr="00712A88" w:rsidRDefault="00EC3EA5" w:rsidP="00186DE2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887B80" w:rsidRDefault="00887B80" w:rsidP="00EC3EA5">
      <w:pPr>
        <w:rPr>
          <w:rFonts w:ascii="Arial" w:hAnsi="Arial" w:cs="Arial"/>
          <w:b/>
          <w:sz w:val="22"/>
          <w:szCs w:val="22"/>
          <w:lang w:val="es-MX"/>
        </w:rPr>
      </w:pPr>
    </w:p>
    <w:p w:rsidR="00712A88" w:rsidRPr="00712A88" w:rsidRDefault="00712A88" w:rsidP="00EC3EA5">
      <w:pPr>
        <w:rPr>
          <w:rFonts w:ascii="Arial" w:hAnsi="Arial" w:cs="Arial"/>
          <w:b/>
          <w:sz w:val="22"/>
          <w:szCs w:val="22"/>
          <w:lang w:val="es-MX"/>
        </w:rPr>
      </w:pPr>
    </w:p>
    <w:p w:rsidR="001862F8" w:rsidRDefault="001862F8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Arial" w:hAnsi="Arial" w:cs="Arial"/>
          <w:b/>
        </w:rPr>
      </w:pPr>
      <w:r w:rsidRPr="00712A88">
        <w:rPr>
          <w:rFonts w:ascii="Arial" w:hAnsi="Arial" w:cs="Arial"/>
          <w:b/>
        </w:rPr>
        <w:t xml:space="preserve"> </w:t>
      </w:r>
      <w:r w:rsidR="00EC3EA5" w:rsidRPr="00712A88">
        <w:rPr>
          <w:rFonts w:ascii="Arial" w:hAnsi="Arial" w:cs="Arial"/>
          <w:b/>
        </w:rPr>
        <w:t xml:space="preserve">JUICIOS FISCALES </w:t>
      </w:r>
      <w:r w:rsidRPr="00712A88">
        <w:rPr>
          <w:rFonts w:ascii="Arial" w:hAnsi="Arial" w:cs="Arial"/>
          <w:b/>
        </w:rPr>
        <w:t>GANADOS</w:t>
      </w:r>
    </w:p>
    <w:p w:rsidR="003B7219" w:rsidRPr="00712A88" w:rsidRDefault="003B7219" w:rsidP="003B7219">
      <w:pPr>
        <w:pStyle w:val="Prrafodelista"/>
        <w:ind w:left="0" w:right="-142"/>
        <w:rPr>
          <w:rFonts w:ascii="Arial" w:hAnsi="Arial" w:cs="Arial"/>
          <w:b/>
        </w:rPr>
      </w:pPr>
    </w:p>
    <w:p w:rsidR="001862F8" w:rsidRPr="00712A88" w:rsidRDefault="001862F8" w:rsidP="00EC3EA5">
      <w:pPr>
        <w:ind w:right="-142"/>
        <w:rPr>
          <w:rFonts w:ascii="Arial" w:hAnsi="Arial" w:cs="Arial"/>
          <w:b/>
          <w:sz w:val="22"/>
          <w:szCs w:val="22"/>
          <w:lang w:val="es-MX"/>
        </w:rPr>
      </w:pPr>
    </w:p>
    <w:p w:rsidR="00EC3EA5" w:rsidRPr="00712A88" w:rsidRDefault="001243CC" w:rsidP="00EC3EA5">
      <w:pPr>
        <w:ind w:right="-142"/>
        <w:rPr>
          <w:rFonts w:ascii="Arial" w:hAnsi="Arial" w:cs="Arial"/>
          <w:b/>
          <w:sz w:val="22"/>
          <w:szCs w:val="22"/>
          <w:lang w:val="es-MX"/>
        </w:rPr>
      </w:pPr>
      <w:r w:rsidRPr="00712A88">
        <w:rPr>
          <w:rFonts w:ascii="Arial" w:hAnsi="Arial" w:cs="Arial"/>
          <w:b/>
          <w:sz w:val="22"/>
          <w:szCs w:val="22"/>
          <w:lang w:val="es-MX"/>
        </w:rPr>
        <w:t>1</w:t>
      </w:r>
      <w:r w:rsidR="001862F8" w:rsidRPr="00712A88">
        <w:rPr>
          <w:rFonts w:ascii="Arial" w:hAnsi="Arial" w:cs="Arial"/>
          <w:b/>
          <w:sz w:val="22"/>
          <w:szCs w:val="22"/>
          <w:lang w:val="es-MX"/>
        </w:rPr>
        <w:t>.1) JUICIOS E</w:t>
      </w:r>
      <w:r w:rsidR="00446894" w:rsidRPr="00712A88">
        <w:rPr>
          <w:rFonts w:ascii="Arial" w:hAnsi="Arial" w:cs="Arial"/>
          <w:b/>
          <w:sz w:val="22"/>
          <w:szCs w:val="22"/>
          <w:lang w:val="es-MX"/>
        </w:rPr>
        <w:t>N LOS QUE SE DECLARÓ LA VALIDEZ</w:t>
      </w:r>
    </w:p>
    <w:p w:rsidR="00EC3EA5" w:rsidRPr="00712A88" w:rsidRDefault="00EC3EA5" w:rsidP="00EC3EA5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EC3EA5" w:rsidRPr="00712A88" w:rsidTr="00EF6BE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5C9" w:rsidRPr="00712A88" w:rsidRDefault="00193E24" w:rsidP="00495795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ABRIL</w:t>
            </w:r>
          </w:p>
          <w:p w:rsidR="00193E24" w:rsidRPr="00712A88" w:rsidRDefault="00193E24" w:rsidP="00495795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6DEE" w:rsidRPr="00712A88" w:rsidRDefault="00BB1FD6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361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811" w:rsidRPr="00712A88" w:rsidRDefault="00495795" w:rsidP="008C15FE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BB1FD6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107’030,684.09</w:t>
            </w:r>
          </w:p>
        </w:tc>
      </w:tr>
      <w:tr w:rsidR="0074237D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712A88" w:rsidRDefault="00193E24" w:rsidP="00495795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MAYO</w:t>
            </w:r>
          </w:p>
          <w:p w:rsidR="00193E24" w:rsidRPr="00712A88" w:rsidRDefault="00193E24" w:rsidP="00495795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712A88" w:rsidRDefault="00BB1FD6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712A88" w:rsidRDefault="00BB1FD6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$143’170,537</w:t>
            </w:r>
            <w:r w:rsidR="00F07CF7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.78</w:t>
            </w:r>
          </w:p>
        </w:tc>
      </w:tr>
      <w:tr w:rsidR="0074237D" w:rsidRPr="00712A88" w:rsidTr="00995BA4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Pr="00712A88" w:rsidRDefault="00193E24" w:rsidP="00495795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JUNIO</w:t>
            </w:r>
          </w:p>
          <w:p w:rsidR="00193E24" w:rsidRPr="00712A88" w:rsidRDefault="00193E24" w:rsidP="00495795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74237D" w:rsidRPr="00712A88" w:rsidRDefault="0033566C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712A88" w:rsidRDefault="00BB1FD6" w:rsidP="004F1E03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33566C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183’964,908.44</w:t>
            </w:r>
          </w:p>
        </w:tc>
      </w:tr>
      <w:tr w:rsidR="0074237D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4237D" w:rsidRPr="00712A88" w:rsidRDefault="0074237D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74237D" w:rsidRPr="00712A88" w:rsidRDefault="0074237D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4237D" w:rsidRPr="00712A88" w:rsidRDefault="0033566C" w:rsidP="0049579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color w:val="000000"/>
                <w:sz w:val="22"/>
                <w:szCs w:val="22"/>
              </w:rPr>
              <w:t>1,162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37D" w:rsidRPr="00712A88" w:rsidRDefault="0074237D" w:rsidP="008C15FE">
            <w:pPr>
              <w:snapToGri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</w:t>
            </w:r>
            <w:r w:rsidR="0033566C"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434’166,130.31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3B7219" w:rsidRDefault="003B7219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EC1D57" w:rsidRPr="00A95F2B" w:rsidRDefault="00EC1D57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712A88" w:rsidRDefault="001243CC" w:rsidP="001862F8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712A88">
        <w:rPr>
          <w:rFonts w:ascii="Arial" w:hAnsi="Arial" w:cs="Arial"/>
          <w:b/>
          <w:sz w:val="22"/>
          <w:szCs w:val="22"/>
          <w:lang w:val="es-MX"/>
        </w:rPr>
        <w:t>1</w:t>
      </w:r>
      <w:r w:rsidR="001862F8" w:rsidRPr="00712A88">
        <w:rPr>
          <w:rFonts w:ascii="Arial" w:hAnsi="Arial" w:cs="Arial"/>
          <w:b/>
          <w:sz w:val="22"/>
          <w:szCs w:val="22"/>
          <w:lang w:val="es-MX"/>
        </w:rPr>
        <w:t xml:space="preserve">.2) JUICIOS FISCALES EN </w:t>
      </w:r>
      <w:r w:rsidR="00887B80" w:rsidRPr="00712A88">
        <w:rPr>
          <w:rFonts w:ascii="Arial" w:hAnsi="Arial" w:cs="Arial"/>
          <w:b/>
          <w:sz w:val="22"/>
          <w:szCs w:val="22"/>
          <w:lang w:val="es-MX"/>
        </w:rPr>
        <w:t>LOS QUE SE DICTÓ SOBRESEIMIENTO</w:t>
      </w:r>
      <w:r w:rsidR="001862F8" w:rsidRPr="00712A88">
        <w:rPr>
          <w:rFonts w:ascii="Arial" w:hAnsi="Arial" w:cs="Arial"/>
          <w:b/>
          <w:sz w:val="22"/>
          <w:szCs w:val="22"/>
          <w:lang w:val="es-MX"/>
        </w:rPr>
        <w:t xml:space="preserve"> </w:t>
      </w:r>
    </w:p>
    <w:p w:rsidR="001862F8" w:rsidRPr="00712A88" w:rsidRDefault="001862F8" w:rsidP="001862F8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261"/>
      </w:tblGrid>
      <w:tr w:rsidR="001862F8" w:rsidRPr="00712A88" w:rsidTr="00EF6BE6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712A88" w:rsidRDefault="001862F8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712A88" w:rsidRDefault="001862F8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712A88" w:rsidRDefault="001862F8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A70884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ABRIL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83492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6A64F4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88’316,568.70</w:t>
            </w:r>
          </w:p>
        </w:tc>
      </w:tr>
      <w:tr w:rsidR="00A70884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MAYO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6A64F4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83492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6A64F4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54’010,468.45</w:t>
            </w:r>
          </w:p>
        </w:tc>
      </w:tr>
      <w:tr w:rsidR="00A70884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JUNIO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6A64F4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83492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6A64F4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82’</w:t>
            </w:r>
            <w:r w:rsidR="00F32CBC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648,898.6</w:t>
            </w:r>
            <w:r w:rsidR="006A64F4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A70884" w:rsidRPr="00712A88" w:rsidTr="00995B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0884" w:rsidRPr="00712A88" w:rsidRDefault="00A70884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A70884" w:rsidRPr="00712A88" w:rsidRDefault="00A70884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6A64F4" w:rsidP="0049579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color w:val="000000"/>
                <w:sz w:val="22"/>
                <w:szCs w:val="22"/>
              </w:rPr>
              <w:t>743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83492">
            <w:pPr>
              <w:snapToGri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</w:t>
            </w:r>
            <w:r w:rsidR="006A64F4"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224’975,935.78</w:t>
            </w:r>
          </w:p>
        </w:tc>
      </w:tr>
      <w:tr w:rsidR="00A70884" w:rsidRPr="00712A88" w:rsidTr="00F02E9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0884" w:rsidRPr="00712A88" w:rsidRDefault="00A70884" w:rsidP="00F02E90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A70884" w:rsidRPr="00712A88" w:rsidRDefault="00A70884" w:rsidP="00F02E90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 TRIMESTRAL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0884" w:rsidRPr="00712A88" w:rsidRDefault="006A64F4" w:rsidP="001777E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color w:val="000000"/>
                <w:sz w:val="22"/>
                <w:szCs w:val="22"/>
              </w:rPr>
              <w:t>1,905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0884" w:rsidRPr="00712A88" w:rsidRDefault="0033566C" w:rsidP="00D331D1">
            <w:pPr>
              <w:snapToGrid w:val="0"/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</w:t>
            </w:r>
            <w:r w:rsidR="006A64F4"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659’142,066.09</w:t>
            </w:r>
          </w:p>
        </w:tc>
      </w:tr>
    </w:tbl>
    <w:p w:rsidR="001862F8" w:rsidRPr="00712A88" w:rsidRDefault="001862F8" w:rsidP="001862F8">
      <w:pPr>
        <w:rPr>
          <w:rFonts w:ascii="Arial" w:hAnsi="Arial" w:cs="Arial"/>
          <w:sz w:val="22"/>
          <w:szCs w:val="22"/>
        </w:rPr>
      </w:pPr>
    </w:p>
    <w:p w:rsidR="00D905BA" w:rsidRDefault="00D905BA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12A88" w:rsidRDefault="00712A88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12A88" w:rsidRDefault="00712A88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12A88" w:rsidRPr="00712A88" w:rsidRDefault="00712A88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E032A" w:rsidRDefault="009E032A" w:rsidP="00EC1D57">
      <w:pPr>
        <w:pStyle w:val="Prrafodelista"/>
        <w:ind w:left="0"/>
        <w:jc w:val="both"/>
        <w:rPr>
          <w:rFonts w:ascii="Arial" w:hAnsi="Arial" w:cs="Arial"/>
          <w:b/>
        </w:rPr>
      </w:pPr>
    </w:p>
    <w:p w:rsidR="003B7219" w:rsidRPr="00712A88" w:rsidRDefault="003B7219" w:rsidP="00EC1D57">
      <w:pPr>
        <w:pStyle w:val="Prrafodelista"/>
        <w:ind w:left="0"/>
        <w:jc w:val="both"/>
        <w:rPr>
          <w:rFonts w:ascii="Arial" w:hAnsi="Arial" w:cs="Arial"/>
          <w:b/>
        </w:rPr>
      </w:pPr>
    </w:p>
    <w:p w:rsidR="001862F8" w:rsidRPr="00712A88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Arial" w:hAnsi="Arial" w:cs="Arial"/>
          <w:b/>
        </w:rPr>
      </w:pPr>
      <w:r w:rsidRPr="00712A88">
        <w:rPr>
          <w:rFonts w:ascii="Arial" w:hAnsi="Arial" w:cs="Arial"/>
          <w:b/>
        </w:rPr>
        <w:t>JUICIOS PERDIDOS</w:t>
      </w:r>
    </w:p>
    <w:p w:rsidR="001862F8" w:rsidRPr="00712A88" w:rsidRDefault="001862F8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C3EA5" w:rsidRPr="00712A88" w:rsidRDefault="00EC3EA5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712A88">
        <w:rPr>
          <w:rFonts w:ascii="Arial" w:hAnsi="Arial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712A88" w:rsidRDefault="00EC3EA5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712A88" w:rsidRDefault="00EC3EA5" w:rsidP="0049579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ABRIL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C045AF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C045AF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85’337,600.93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MAYO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040153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040153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141’937,629.01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JUNIO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7C6257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7C6257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192’049,621.45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0884" w:rsidRPr="00712A88" w:rsidRDefault="00A70884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A70884" w:rsidRPr="00712A88" w:rsidRDefault="00A70884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EC66EC" w:rsidP="0049579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color w:val="000000"/>
                <w:sz w:val="22"/>
                <w:szCs w:val="22"/>
              </w:rPr>
              <w:t>983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984D01">
            <w:pPr>
              <w:snapToGri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</w:t>
            </w:r>
            <w:r w:rsidR="00EC66EC"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419’324,851.39</w:t>
            </w:r>
          </w:p>
        </w:tc>
      </w:tr>
    </w:tbl>
    <w:p w:rsidR="00EC3EA5" w:rsidRPr="00712A88" w:rsidRDefault="00EC3EA5" w:rsidP="00EC3EA5">
      <w:pPr>
        <w:rPr>
          <w:rFonts w:ascii="Arial" w:hAnsi="Arial" w:cs="Arial"/>
          <w:sz w:val="22"/>
          <w:szCs w:val="22"/>
        </w:rPr>
      </w:pPr>
    </w:p>
    <w:p w:rsidR="009D0216" w:rsidRDefault="009D0216" w:rsidP="00EC3EA5">
      <w:pPr>
        <w:ind w:right="49"/>
        <w:jc w:val="both"/>
        <w:rPr>
          <w:rFonts w:ascii="Arial" w:hAnsi="Arial" w:cs="Arial"/>
          <w:b/>
          <w:sz w:val="22"/>
          <w:szCs w:val="22"/>
        </w:rPr>
      </w:pPr>
    </w:p>
    <w:p w:rsidR="003B7219" w:rsidRPr="00712A88" w:rsidRDefault="003B7219" w:rsidP="00EC3EA5">
      <w:pPr>
        <w:ind w:right="49"/>
        <w:jc w:val="both"/>
        <w:rPr>
          <w:rFonts w:ascii="Arial" w:hAnsi="Arial" w:cs="Arial"/>
          <w:b/>
          <w:sz w:val="22"/>
          <w:szCs w:val="22"/>
        </w:rPr>
      </w:pPr>
    </w:p>
    <w:p w:rsidR="001243CC" w:rsidRPr="00712A88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Arial" w:hAnsi="Arial" w:cs="Arial"/>
          <w:b/>
        </w:rPr>
      </w:pPr>
      <w:r w:rsidRPr="00712A88">
        <w:rPr>
          <w:rFonts w:ascii="Arial" w:hAnsi="Arial" w:cs="Arial"/>
          <w:b/>
        </w:rPr>
        <w:t>JUICIOS  FISCALES  EN  LOS  QUE  SE  DEC</w:t>
      </w:r>
      <w:r w:rsidR="00446894" w:rsidRPr="00712A88">
        <w:rPr>
          <w:rFonts w:ascii="Arial" w:hAnsi="Arial" w:cs="Arial"/>
          <w:b/>
        </w:rPr>
        <w:t>LARÓ  LA  NULIDAD  PARA EFECTOS</w:t>
      </w:r>
    </w:p>
    <w:p w:rsidR="00EC3EA5" w:rsidRPr="00712A88" w:rsidRDefault="00EC3EA5" w:rsidP="00EC3EA5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835"/>
      </w:tblGrid>
      <w:tr w:rsidR="00EC3EA5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</w:rPr>
              <w:t>NULIDAD PARA EFECTOS</w:t>
            </w:r>
          </w:p>
          <w:p w:rsidR="00EC3EA5" w:rsidRPr="00712A88" w:rsidRDefault="00EC3EA5" w:rsidP="004957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712A88" w:rsidRDefault="00EC3EA5" w:rsidP="0049579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ABRIL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361F6E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361F6E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35’934,339.89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MAYO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04752A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04752A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43’955,697.64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sz w:val="22"/>
                <w:szCs w:val="22"/>
                <w:lang w:val="es-MX"/>
              </w:rPr>
              <w:t>JUNIO</w:t>
            </w:r>
          </w:p>
          <w:p w:rsidR="00A70884" w:rsidRPr="00712A88" w:rsidRDefault="00A70884" w:rsidP="00E91AAA">
            <w:pPr>
              <w:snapToGrid w:val="0"/>
              <w:spacing w:line="100" w:lineRule="atLeast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5A5801" w:rsidP="00495795">
            <w:pPr>
              <w:snapToGrid w:val="0"/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$</w:t>
            </w:r>
            <w:r w:rsidR="005A5801" w:rsidRPr="00712A88">
              <w:rPr>
                <w:rFonts w:ascii="Arial" w:hAnsi="Arial" w:cs="Arial"/>
                <w:bCs/>
                <w:color w:val="000000"/>
                <w:sz w:val="22"/>
                <w:szCs w:val="22"/>
              </w:rPr>
              <w:t>131’931,646.92</w:t>
            </w:r>
          </w:p>
        </w:tc>
      </w:tr>
      <w:tr w:rsidR="00A70884" w:rsidRPr="00712A88" w:rsidTr="00B1649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0884" w:rsidRPr="00712A88" w:rsidRDefault="00A70884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12A88">
              <w:rPr>
                <w:rFonts w:ascii="Arial" w:hAnsi="Arial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A70884" w:rsidRPr="00712A88" w:rsidRDefault="00A70884" w:rsidP="00495795">
            <w:pPr>
              <w:snapToGrid w:val="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0884" w:rsidRPr="00712A88" w:rsidRDefault="00EC66EC" w:rsidP="0049579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color w:val="000000"/>
                <w:sz w:val="22"/>
                <w:szCs w:val="22"/>
              </w:rPr>
              <w:t>594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0884" w:rsidRPr="00712A88" w:rsidRDefault="0033566C" w:rsidP="00495795">
            <w:pPr>
              <w:snapToGrid w:val="0"/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$</w:t>
            </w:r>
            <w:r w:rsidR="00EC66EC" w:rsidRPr="00712A8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211’821,684.45</w:t>
            </w:r>
          </w:p>
        </w:tc>
      </w:tr>
    </w:tbl>
    <w:p w:rsidR="00EC3EA5" w:rsidRPr="00712A88" w:rsidRDefault="00EC3EA5" w:rsidP="00EC3EA5">
      <w:pPr>
        <w:rPr>
          <w:rFonts w:ascii="Arial" w:hAnsi="Arial" w:cs="Arial"/>
          <w:b/>
          <w:sz w:val="22"/>
          <w:szCs w:val="22"/>
          <w:lang w:val="es-MX"/>
        </w:rPr>
      </w:pPr>
    </w:p>
    <w:p w:rsidR="008A3F9A" w:rsidRDefault="008A3F9A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3B7219" w:rsidRPr="00712A88" w:rsidRDefault="003B7219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C1D57" w:rsidRPr="00712A88" w:rsidRDefault="00EC1D57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C3EA5" w:rsidRPr="00712A88" w:rsidRDefault="00EC3EA5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712A88">
        <w:rPr>
          <w:rFonts w:ascii="Arial" w:hAnsi="Arial" w:cs="Arial"/>
          <w:b/>
          <w:sz w:val="22"/>
          <w:szCs w:val="22"/>
          <w:lang w:val="es-MX"/>
        </w:rPr>
        <w:t>CRITERIOS PARA CLASIFICAR LOS JUICIOS FI</w:t>
      </w:r>
      <w:r w:rsidR="00887B80" w:rsidRPr="00712A88">
        <w:rPr>
          <w:rFonts w:ascii="Arial" w:hAnsi="Arial" w:cs="Arial"/>
          <w:b/>
          <w:sz w:val="22"/>
          <w:szCs w:val="22"/>
          <w:lang w:val="es-MX"/>
        </w:rPr>
        <w:t>SCALES COMO GANADOS Y PERDIDOS</w:t>
      </w:r>
    </w:p>
    <w:p w:rsidR="00EC3EA5" w:rsidRPr="00712A88" w:rsidRDefault="00EC3EA5" w:rsidP="00EC3EA5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EC3EA5" w:rsidRPr="00712A88" w:rsidRDefault="00EC3EA5" w:rsidP="00EC3EA5">
      <w:pPr>
        <w:autoSpaceDE w:val="0"/>
        <w:jc w:val="both"/>
        <w:rPr>
          <w:rFonts w:ascii="Arial" w:hAnsi="Arial" w:cs="Arial"/>
          <w:sz w:val="22"/>
          <w:szCs w:val="22"/>
        </w:rPr>
      </w:pPr>
      <w:r w:rsidRPr="00712A88">
        <w:rPr>
          <w:rFonts w:ascii="Arial" w:hAnsi="Arial" w:cs="Arial"/>
          <w:sz w:val="22"/>
          <w:szCs w:val="22"/>
          <w:lang w:val="es-MX"/>
        </w:rPr>
        <w:t>J</w:t>
      </w:r>
      <w:proofErr w:type="spellStart"/>
      <w:r w:rsidRPr="00712A88">
        <w:rPr>
          <w:rFonts w:ascii="Arial" w:hAnsi="Arial" w:cs="Arial"/>
          <w:sz w:val="22"/>
          <w:szCs w:val="22"/>
        </w:rPr>
        <w:t>uicios</w:t>
      </w:r>
      <w:proofErr w:type="spellEnd"/>
      <w:r w:rsidRPr="00712A88">
        <w:rPr>
          <w:rFonts w:ascii="Arial" w:hAnsi="Arial" w:cs="Arial"/>
          <w:sz w:val="22"/>
          <w:szCs w:val="22"/>
        </w:rPr>
        <w:t xml:space="preserve"> ganados: son aquellos en los que se dicta sentencia reconociendo la validez del acto impugnado, se deseche la demanda por extemporánea o por</w:t>
      </w:r>
      <w:r w:rsidR="00740797" w:rsidRPr="00712A88">
        <w:rPr>
          <w:rFonts w:ascii="Arial" w:hAnsi="Arial" w:cs="Arial"/>
          <w:sz w:val="22"/>
          <w:szCs w:val="22"/>
        </w:rPr>
        <w:t xml:space="preserve"> no acreditar la personalidad y por lo tanto el acto que fue impugnado surtió </w:t>
      </w:r>
      <w:r w:rsidR="005B0B97" w:rsidRPr="00712A88">
        <w:rPr>
          <w:rFonts w:ascii="Arial" w:hAnsi="Arial" w:cs="Arial"/>
          <w:sz w:val="22"/>
          <w:szCs w:val="22"/>
        </w:rPr>
        <w:t>sus plenos efectos cuando esté firme.</w:t>
      </w:r>
    </w:p>
    <w:p w:rsidR="00740797" w:rsidRPr="00712A88" w:rsidRDefault="00740797" w:rsidP="00EC3EA5">
      <w:pPr>
        <w:autoSpaceDE w:val="0"/>
        <w:jc w:val="both"/>
        <w:rPr>
          <w:rFonts w:ascii="Arial" w:hAnsi="Arial" w:cs="Arial"/>
          <w:sz w:val="22"/>
          <w:szCs w:val="22"/>
        </w:rPr>
      </w:pPr>
    </w:p>
    <w:p w:rsidR="00740797" w:rsidRDefault="005B0B97" w:rsidP="00EC3EA5">
      <w:pPr>
        <w:autoSpaceDE w:val="0"/>
        <w:jc w:val="both"/>
        <w:rPr>
          <w:rFonts w:ascii="Arial" w:hAnsi="Arial" w:cs="Arial"/>
          <w:sz w:val="22"/>
          <w:szCs w:val="22"/>
        </w:rPr>
      </w:pPr>
      <w:r w:rsidRPr="00712A88">
        <w:rPr>
          <w:rFonts w:ascii="Arial" w:hAnsi="Arial" w:cs="Arial"/>
          <w:sz w:val="22"/>
          <w:szCs w:val="22"/>
        </w:rPr>
        <w:t>Asi</w:t>
      </w:r>
      <w:r w:rsidR="00740797" w:rsidRPr="00712A88">
        <w:rPr>
          <w:rFonts w:ascii="Arial" w:hAnsi="Arial" w:cs="Arial"/>
          <w:sz w:val="22"/>
          <w:szCs w:val="22"/>
        </w:rPr>
        <w:t>mismo</w:t>
      </w:r>
      <w:r w:rsidRPr="00712A88">
        <w:rPr>
          <w:rFonts w:ascii="Arial" w:hAnsi="Arial" w:cs="Arial"/>
          <w:sz w:val="22"/>
          <w:szCs w:val="22"/>
        </w:rPr>
        <w:t>,</w:t>
      </w:r>
      <w:r w:rsidR="00740797" w:rsidRPr="00712A88">
        <w:rPr>
          <w:rFonts w:ascii="Arial" w:hAnsi="Arial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 w:rsidRPr="00712A88">
        <w:rPr>
          <w:rFonts w:ascii="Arial" w:hAnsi="Arial" w:cs="Arial"/>
          <w:sz w:val="22"/>
          <w:szCs w:val="22"/>
        </w:rPr>
        <w:t>por advertirse</w:t>
      </w:r>
      <w:r w:rsidR="00740797" w:rsidRPr="00712A88">
        <w:rPr>
          <w:rFonts w:ascii="Arial" w:hAnsi="Arial" w:cs="Arial"/>
          <w:sz w:val="22"/>
          <w:szCs w:val="22"/>
        </w:rPr>
        <w:t xml:space="preserve"> alguna causa de sobreseimiento dispuesta en ley o jurisprudencia.</w:t>
      </w:r>
    </w:p>
    <w:p w:rsidR="003B7219" w:rsidRDefault="003B7219" w:rsidP="00EC3EA5">
      <w:pPr>
        <w:autoSpaceDE w:val="0"/>
        <w:jc w:val="both"/>
        <w:rPr>
          <w:rFonts w:ascii="Arial" w:hAnsi="Arial" w:cs="Arial"/>
          <w:sz w:val="22"/>
          <w:szCs w:val="22"/>
        </w:rPr>
      </w:pPr>
    </w:p>
    <w:p w:rsidR="00EC3EA5" w:rsidRPr="00712A88" w:rsidRDefault="00EC3EA5" w:rsidP="00EC3EA5">
      <w:pPr>
        <w:autoSpaceDE w:val="0"/>
        <w:jc w:val="both"/>
        <w:rPr>
          <w:rFonts w:ascii="Arial" w:hAnsi="Arial" w:cs="Arial"/>
          <w:sz w:val="22"/>
          <w:szCs w:val="22"/>
        </w:rPr>
      </w:pPr>
    </w:p>
    <w:p w:rsidR="00EC3EA5" w:rsidRPr="00712A88" w:rsidRDefault="00EC3EA5" w:rsidP="00EC3EA5">
      <w:pPr>
        <w:ind w:right="44"/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712A88">
        <w:rPr>
          <w:rFonts w:ascii="Arial" w:hAnsi="Arial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712A88">
        <w:rPr>
          <w:rFonts w:ascii="Arial" w:hAnsi="Arial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712A88" w:rsidRDefault="00EC3EA5" w:rsidP="00EC3EA5">
      <w:pPr>
        <w:autoSpaceDE w:val="0"/>
        <w:ind w:right="-414"/>
        <w:jc w:val="both"/>
        <w:rPr>
          <w:rFonts w:ascii="Arial" w:hAnsi="Arial" w:cs="Arial"/>
          <w:sz w:val="22"/>
          <w:szCs w:val="22"/>
        </w:rPr>
      </w:pPr>
    </w:p>
    <w:p w:rsidR="00EC3EA5" w:rsidRDefault="00EC3EA5" w:rsidP="00EC3EA5">
      <w:pPr>
        <w:rPr>
          <w:rFonts w:ascii="Arial" w:hAnsi="Arial" w:cs="Arial"/>
          <w:b/>
          <w:sz w:val="22"/>
          <w:szCs w:val="22"/>
          <w:lang w:val="es-MX"/>
        </w:rPr>
      </w:pPr>
    </w:p>
    <w:p w:rsidR="003B7219" w:rsidRPr="00712A88" w:rsidRDefault="003B7219" w:rsidP="00EC3EA5">
      <w:pPr>
        <w:rPr>
          <w:rFonts w:ascii="Arial" w:hAnsi="Arial" w:cs="Arial"/>
          <w:b/>
          <w:sz w:val="22"/>
          <w:szCs w:val="22"/>
          <w:lang w:val="es-MX"/>
        </w:rPr>
      </w:pPr>
    </w:p>
    <w:p w:rsidR="00E353E3" w:rsidRDefault="00E353E3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021553" w:rsidRPr="003734C0" w:rsidRDefault="00021553" w:rsidP="00021553">
      <w:pPr>
        <w:rPr>
          <w:rFonts w:ascii="Soberana Sans" w:hAnsi="Soberana Sans"/>
          <w:color w:val="FF0000"/>
          <w:sz w:val="22"/>
          <w:szCs w:val="22"/>
        </w:rPr>
      </w:pPr>
    </w:p>
    <w:sectPr w:rsidR="00021553" w:rsidRPr="003734C0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FB" w:rsidRDefault="00117CFB" w:rsidP="00BD3F02">
      <w:r>
        <w:separator/>
      </w:r>
    </w:p>
  </w:endnote>
  <w:endnote w:type="continuationSeparator" w:id="0">
    <w:p w:rsidR="00117CFB" w:rsidRDefault="00117CFB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358" w:rsidRPr="00520358">
          <w:rPr>
            <w:noProof/>
            <w:lang w:val="es-ES"/>
          </w:rPr>
          <w:t>1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FB" w:rsidRDefault="00117CFB" w:rsidP="00BD3F02">
      <w:r>
        <w:separator/>
      </w:r>
    </w:p>
  </w:footnote>
  <w:footnote w:type="continuationSeparator" w:id="0">
    <w:p w:rsidR="00117CFB" w:rsidRDefault="00117CFB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1907E4" wp14:editId="1C50828F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F36257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F36257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57AD5B6D" wp14:editId="30993645">
          <wp:extent cx="6553200" cy="1200150"/>
          <wp:effectExtent l="0" t="0" r="0" b="0"/>
          <wp:docPr id="2" name="Imagen 2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10D73"/>
    <w:rsid w:val="00021553"/>
    <w:rsid w:val="0002430E"/>
    <w:rsid w:val="000252B3"/>
    <w:rsid w:val="0002715E"/>
    <w:rsid w:val="0003461B"/>
    <w:rsid w:val="0003606D"/>
    <w:rsid w:val="00040153"/>
    <w:rsid w:val="00043D58"/>
    <w:rsid w:val="00046A2C"/>
    <w:rsid w:val="0004752A"/>
    <w:rsid w:val="0005114A"/>
    <w:rsid w:val="00052090"/>
    <w:rsid w:val="0005276A"/>
    <w:rsid w:val="0006059A"/>
    <w:rsid w:val="0006065A"/>
    <w:rsid w:val="00075952"/>
    <w:rsid w:val="00076792"/>
    <w:rsid w:val="000767D2"/>
    <w:rsid w:val="000835EE"/>
    <w:rsid w:val="0008379A"/>
    <w:rsid w:val="0008529B"/>
    <w:rsid w:val="000909FE"/>
    <w:rsid w:val="00096ED1"/>
    <w:rsid w:val="000A424D"/>
    <w:rsid w:val="000A6399"/>
    <w:rsid w:val="000A6D15"/>
    <w:rsid w:val="000B01CD"/>
    <w:rsid w:val="000B0323"/>
    <w:rsid w:val="000B26BF"/>
    <w:rsid w:val="000B368F"/>
    <w:rsid w:val="000B7083"/>
    <w:rsid w:val="000C4682"/>
    <w:rsid w:val="000C7612"/>
    <w:rsid w:val="000D0778"/>
    <w:rsid w:val="000D3819"/>
    <w:rsid w:val="000D52CB"/>
    <w:rsid w:val="001024ED"/>
    <w:rsid w:val="00116551"/>
    <w:rsid w:val="00117CFB"/>
    <w:rsid w:val="0012285E"/>
    <w:rsid w:val="001243CC"/>
    <w:rsid w:val="00140817"/>
    <w:rsid w:val="00141FF0"/>
    <w:rsid w:val="001420B5"/>
    <w:rsid w:val="00142DA1"/>
    <w:rsid w:val="001451AE"/>
    <w:rsid w:val="00155C7C"/>
    <w:rsid w:val="00165490"/>
    <w:rsid w:val="00171A77"/>
    <w:rsid w:val="00172705"/>
    <w:rsid w:val="001760CE"/>
    <w:rsid w:val="0017729F"/>
    <w:rsid w:val="001777E9"/>
    <w:rsid w:val="00181CBE"/>
    <w:rsid w:val="001862F8"/>
    <w:rsid w:val="00186C79"/>
    <w:rsid w:val="00186DE2"/>
    <w:rsid w:val="001918C9"/>
    <w:rsid w:val="00193E24"/>
    <w:rsid w:val="00193E99"/>
    <w:rsid w:val="001A682C"/>
    <w:rsid w:val="001B0CB2"/>
    <w:rsid w:val="001B529A"/>
    <w:rsid w:val="001B6191"/>
    <w:rsid w:val="001C2CC2"/>
    <w:rsid w:val="001C6229"/>
    <w:rsid w:val="001D2D67"/>
    <w:rsid w:val="001E45D9"/>
    <w:rsid w:val="001E4A64"/>
    <w:rsid w:val="001F2261"/>
    <w:rsid w:val="001F4F7E"/>
    <w:rsid w:val="00203ED8"/>
    <w:rsid w:val="002047FF"/>
    <w:rsid w:val="00204925"/>
    <w:rsid w:val="0020570C"/>
    <w:rsid w:val="00211A1C"/>
    <w:rsid w:val="002148C0"/>
    <w:rsid w:val="002270E6"/>
    <w:rsid w:val="00232E17"/>
    <w:rsid w:val="00234210"/>
    <w:rsid w:val="00257F69"/>
    <w:rsid w:val="00264336"/>
    <w:rsid w:val="00264E8B"/>
    <w:rsid w:val="00265C27"/>
    <w:rsid w:val="002662F3"/>
    <w:rsid w:val="00266DC9"/>
    <w:rsid w:val="00271796"/>
    <w:rsid w:val="002756DC"/>
    <w:rsid w:val="00281F96"/>
    <w:rsid w:val="0028222F"/>
    <w:rsid w:val="00293D9C"/>
    <w:rsid w:val="00294305"/>
    <w:rsid w:val="00297295"/>
    <w:rsid w:val="002A0671"/>
    <w:rsid w:val="002A5CA7"/>
    <w:rsid w:val="002A6155"/>
    <w:rsid w:val="002A71A4"/>
    <w:rsid w:val="002B2544"/>
    <w:rsid w:val="002B791C"/>
    <w:rsid w:val="002C28BA"/>
    <w:rsid w:val="002D1FE2"/>
    <w:rsid w:val="002D38CF"/>
    <w:rsid w:val="002D7F43"/>
    <w:rsid w:val="002F1704"/>
    <w:rsid w:val="002F7B0F"/>
    <w:rsid w:val="003012F5"/>
    <w:rsid w:val="00302422"/>
    <w:rsid w:val="003042E4"/>
    <w:rsid w:val="00304331"/>
    <w:rsid w:val="00311EC9"/>
    <w:rsid w:val="003122BA"/>
    <w:rsid w:val="00314B9A"/>
    <w:rsid w:val="003227DE"/>
    <w:rsid w:val="00325C1C"/>
    <w:rsid w:val="00333E8A"/>
    <w:rsid w:val="0033566C"/>
    <w:rsid w:val="003418EF"/>
    <w:rsid w:val="0034678C"/>
    <w:rsid w:val="0034683B"/>
    <w:rsid w:val="00361F6E"/>
    <w:rsid w:val="0036279D"/>
    <w:rsid w:val="003647CE"/>
    <w:rsid w:val="00366704"/>
    <w:rsid w:val="003734C0"/>
    <w:rsid w:val="0037737C"/>
    <w:rsid w:val="003773A7"/>
    <w:rsid w:val="00381825"/>
    <w:rsid w:val="003842C8"/>
    <w:rsid w:val="0038752F"/>
    <w:rsid w:val="00390705"/>
    <w:rsid w:val="003907C5"/>
    <w:rsid w:val="0039115C"/>
    <w:rsid w:val="00391353"/>
    <w:rsid w:val="0039274C"/>
    <w:rsid w:val="00393461"/>
    <w:rsid w:val="0039666B"/>
    <w:rsid w:val="003A01B6"/>
    <w:rsid w:val="003B1087"/>
    <w:rsid w:val="003B5CFA"/>
    <w:rsid w:val="003B7219"/>
    <w:rsid w:val="003C07C0"/>
    <w:rsid w:val="003C69E1"/>
    <w:rsid w:val="003E0970"/>
    <w:rsid w:val="003E448D"/>
    <w:rsid w:val="003E4D27"/>
    <w:rsid w:val="003F6C96"/>
    <w:rsid w:val="00401EA9"/>
    <w:rsid w:val="00405C41"/>
    <w:rsid w:val="0040722A"/>
    <w:rsid w:val="00417536"/>
    <w:rsid w:val="00420B65"/>
    <w:rsid w:val="004234DF"/>
    <w:rsid w:val="00423F56"/>
    <w:rsid w:val="00424A4E"/>
    <w:rsid w:val="00424D89"/>
    <w:rsid w:val="00424DD1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1335"/>
    <w:rsid w:val="00472D7E"/>
    <w:rsid w:val="004751A8"/>
    <w:rsid w:val="00495795"/>
    <w:rsid w:val="004959E7"/>
    <w:rsid w:val="00496D0F"/>
    <w:rsid w:val="00497D1A"/>
    <w:rsid w:val="004A178F"/>
    <w:rsid w:val="004A33F7"/>
    <w:rsid w:val="004A61D8"/>
    <w:rsid w:val="004C1675"/>
    <w:rsid w:val="004C71B7"/>
    <w:rsid w:val="004D39CF"/>
    <w:rsid w:val="004D6182"/>
    <w:rsid w:val="004D7430"/>
    <w:rsid w:val="004E39AD"/>
    <w:rsid w:val="004E7D06"/>
    <w:rsid w:val="004F0092"/>
    <w:rsid w:val="004F1E03"/>
    <w:rsid w:val="004F3CDD"/>
    <w:rsid w:val="004F497F"/>
    <w:rsid w:val="004F68F6"/>
    <w:rsid w:val="005025E7"/>
    <w:rsid w:val="005136A8"/>
    <w:rsid w:val="00516E82"/>
    <w:rsid w:val="00517055"/>
    <w:rsid w:val="00520358"/>
    <w:rsid w:val="005208E3"/>
    <w:rsid w:val="005218A2"/>
    <w:rsid w:val="005308CB"/>
    <w:rsid w:val="00531DDF"/>
    <w:rsid w:val="005341D6"/>
    <w:rsid w:val="0053722D"/>
    <w:rsid w:val="0054163B"/>
    <w:rsid w:val="00545A40"/>
    <w:rsid w:val="005468A5"/>
    <w:rsid w:val="00546FC5"/>
    <w:rsid w:val="0055060C"/>
    <w:rsid w:val="00550B4A"/>
    <w:rsid w:val="00552B26"/>
    <w:rsid w:val="00553F92"/>
    <w:rsid w:val="00555839"/>
    <w:rsid w:val="00556A82"/>
    <w:rsid w:val="00557723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A5801"/>
    <w:rsid w:val="005B0B97"/>
    <w:rsid w:val="005D1CB9"/>
    <w:rsid w:val="005D2D65"/>
    <w:rsid w:val="005D5746"/>
    <w:rsid w:val="005E15AA"/>
    <w:rsid w:val="005E5CE4"/>
    <w:rsid w:val="0060181C"/>
    <w:rsid w:val="00603ED0"/>
    <w:rsid w:val="00604975"/>
    <w:rsid w:val="00605F3E"/>
    <w:rsid w:val="006100CE"/>
    <w:rsid w:val="00614B1F"/>
    <w:rsid w:val="00617FC7"/>
    <w:rsid w:val="00623554"/>
    <w:rsid w:val="006237B4"/>
    <w:rsid w:val="006276E5"/>
    <w:rsid w:val="006314FB"/>
    <w:rsid w:val="006363CE"/>
    <w:rsid w:val="006439C6"/>
    <w:rsid w:val="00646776"/>
    <w:rsid w:val="00652B6A"/>
    <w:rsid w:val="00653DC4"/>
    <w:rsid w:val="006549CC"/>
    <w:rsid w:val="006576DD"/>
    <w:rsid w:val="0066345E"/>
    <w:rsid w:val="006668BE"/>
    <w:rsid w:val="00670F7C"/>
    <w:rsid w:val="00674CAD"/>
    <w:rsid w:val="006A4E22"/>
    <w:rsid w:val="006A64F4"/>
    <w:rsid w:val="006A6C91"/>
    <w:rsid w:val="006C5435"/>
    <w:rsid w:val="006C6332"/>
    <w:rsid w:val="006D2856"/>
    <w:rsid w:val="006D6875"/>
    <w:rsid w:val="006E1153"/>
    <w:rsid w:val="006E1A88"/>
    <w:rsid w:val="006E1B76"/>
    <w:rsid w:val="006E21F9"/>
    <w:rsid w:val="006E4813"/>
    <w:rsid w:val="006E7FC2"/>
    <w:rsid w:val="006F3B87"/>
    <w:rsid w:val="006F7977"/>
    <w:rsid w:val="00703654"/>
    <w:rsid w:val="0070501E"/>
    <w:rsid w:val="00707641"/>
    <w:rsid w:val="00712A88"/>
    <w:rsid w:val="00725F40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65E31"/>
    <w:rsid w:val="00766184"/>
    <w:rsid w:val="00772E16"/>
    <w:rsid w:val="00773B3D"/>
    <w:rsid w:val="00776CC1"/>
    <w:rsid w:val="00780834"/>
    <w:rsid w:val="0078230A"/>
    <w:rsid w:val="00783468"/>
    <w:rsid w:val="007A2D20"/>
    <w:rsid w:val="007B292A"/>
    <w:rsid w:val="007B38BC"/>
    <w:rsid w:val="007B7424"/>
    <w:rsid w:val="007C3A40"/>
    <w:rsid w:val="007C6257"/>
    <w:rsid w:val="007D1B95"/>
    <w:rsid w:val="007D21BA"/>
    <w:rsid w:val="007E025D"/>
    <w:rsid w:val="007E51B1"/>
    <w:rsid w:val="007E611C"/>
    <w:rsid w:val="007F10E5"/>
    <w:rsid w:val="007F1521"/>
    <w:rsid w:val="007F50BC"/>
    <w:rsid w:val="008071AB"/>
    <w:rsid w:val="00812F05"/>
    <w:rsid w:val="00814D1C"/>
    <w:rsid w:val="008160C6"/>
    <w:rsid w:val="008246C0"/>
    <w:rsid w:val="0082637B"/>
    <w:rsid w:val="008334CE"/>
    <w:rsid w:val="008337C4"/>
    <w:rsid w:val="008338AE"/>
    <w:rsid w:val="0084007F"/>
    <w:rsid w:val="008406DB"/>
    <w:rsid w:val="00843C3C"/>
    <w:rsid w:val="00846230"/>
    <w:rsid w:val="00847932"/>
    <w:rsid w:val="00850F16"/>
    <w:rsid w:val="00851302"/>
    <w:rsid w:val="00863C39"/>
    <w:rsid w:val="0087209E"/>
    <w:rsid w:val="00887B80"/>
    <w:rsid w:val="008A3F9A"/>
    <w:rsid w:val="008A44CC"/>
    <w:rsid w:val="008A4AD6"/>
    <w:rsid w:val="008A4DD6"/>
    <w:rsid w:val="008B1237"/>
    <w:rsid w:val="008B64EA"/>
    <w:rsid w:val="008B78AD"/>
    <w:rsid w:val="008B79B8"/>
    <w:rsid w:val="008C0972"/>
    <w:rsid w:val="008C15FE"/>
    <w:rsid w:val="008C6206"/>
    <w:rsid w:val="008C6991"/>
    <w:rsid w:val="008E0FF8"/>
    <w:rsid w:val="008E7B6F"/>
    <w:rsid w:val="008F02ED"/>
    <w:rsid w:val="008F0BBF"/>
    <w:rsid w:val="008F17E1"/>
    <w:rsid w:val="008F31EC"/>
    <w:rsid w:val="008F32A8"/>
    <w:rsid w:val="00903C6A"/>
    <w:rsid w:val="0090441B"/>
    <w:rsid w:val="00904758"/>
    <w:rsid w:val="00907A3D"/>
    <w:rsid w:val="0091223A"/>
    <w:rsid w:val="009125D4"/>
    <w:rsid w:val="009171A2"/>
    <w:rsid w:val="0093066B"/>
    <w:rsid w:val="00930DDC"/>
    <w:rsid w:val="00936380"/>
    <w:rsid w:val="00940337"/>
    <w:rsid w:val="00940FF2"/>
    <w:rsid w:val="00943491"/>
    <w:rsid w:val="00962C05"/>
    <w:rsid w:val="0096566A"/>
    <w:rsid w:val="009668BE"/>
    <w:rsid w:val="00984D01"/>
    <w:rsid w:val="009903E4"/>
    <w:rsid w:val="0099233F"/>
    <w:rsid w:val="00994764"/>
    <w:rsid w:val="00995BA4"/>
    <w:rsid w:val="009A0596"/>
    <w:rsid w:val="009A3631"/>
    <w:rsid w:val="009A3857"/>
    <w:rsid w:val="009B0183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D2389"/>
    <w:rsid w:val="009E032A"/>
    <w:rsid w:val="009E4446"/>
    <w:rsid w:val="009E5024"/>
    <w:rsid w:val="009E5413"/>
    <w:rsid w:val="009E5B8B"/>
    <w:rsid w:val="009E63D3"/>
    <w:rsid w:val="009F66A6"/>
    <w:rsid w:val="009F6725"/>
    <w:rsid w:val="009F7D38"/>
    <w:rsid w:val="00A0410C"/>
    <w:rsid w:val="00A044FF"/>
    <w:rsid w:val="00A066E3"/>
    <w:rsid w:val="00A07534"/>
    <w:rsid w:val="00A10D70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1371"/>
    <w:rsid w:val="00A35E79"/>
    <w:rsid w:val="00A422EA"/>
    <w:rsid w:val="00A4243C"/>
    <w:rsid w:val="00A43536"/>
    <w:rsid w:val="00A451C3"/>
    <w:rsid w:val="00A54A16"/>
    <w:rsid w:val="00A62A31"/>
    <w:rsid w:val="00A6407F"/>
    <w:rsid w:val="00A670E6"/>
    <w:rsid w:val="00A70884"/>
    <w:rsid w:val="00A86E29"/>
    <w:rsid w:val="00A95F2B"/>
    <w:rsid w:val="00A96DEE"/>
    <w:rsid w:val="00AA0E5C"/>
    <w:rsid w:val="00AA139A"/>
    <w:rsid w:val="00AA35C9"/>
    <w:rsid w:val="00AA5C39"/>
    <w:rsid w:val="00AA63A6"/>
    <w:rsid w:val="00AB10A8"/>
    <w:rsid w:val="00AB37FD"/>
    <w:rsid w:val="00AB3B5A"/>
    <w:rsid w:val="00AB78AA"/>
    <w:rsid w:val="00AC3BC9"/>
    <w:rsid w:val="00AD19FA"/>
    <w:rsid w:val="00AD285D"/>
    <w:rsid w:val="00AE40CF"/>
    <w:rsid w:val="00AE5D95"/>
    <w:rsid w:val="00AF2DEE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D8F"/>
    <w:rsid w:val="00B24FA2"/>
    <w:rsid w:val="00B324CD"/>
    <w:rsid w:val="00B33796"/>
    <w:rsid w:val="00B377BC"/>
    <w:rsid w:val="00B40DA5"/>
    <w:rsid w:val="00B5019C"/>
    <w:rsid w:val="00B516FE"/>
    <w:rsid w:val="00B53565"/>
    <w:rsid w:val="00B63F47"/>
    <w:rsid w:val="00B63F71"/>
    <w:rsid w:val="00B70390"/>
    <w:rsid w:val="00B70F2E"/>
    <w:rsid w:val="00B72D4F"/>
    <w:rsid w:val="00B7345A"/>
    <w:rsid w:val="00B73CB4"/>
    <w:rsid w:val="00B73F93"/>
    <w:rsid w:val="00B80F85"/>
    <w:rsid w:val="00B855DC"/>
    <w:rsid w:val="00B920AA"/>
    <w:rsid w:val="00BA1700"/>
    <w:rsid w:val="00BA4854"/>
    <w:rsid w:val="00BB1E15"/>
    <w:rsid w:val="00BB1FD6"/>
    <w:rsid w:val="00BB2A5D"/>
    <w:rsid w:val="00BB3179"/>
    <w:rsid w:val="00BB3525"/>
    <w:rsid w:val="00BC2A69"/>
    <w:rsid w:val="00BD3F02"/>
    <w:rsid w:val="00BD7888"/>
    <w:rsid w:val="00BE160E"/>
    <w:rsid w:val="00BF1B80"/>
    <w:rsid w:val="00BF3008"/>
    <w:rsid w:val="00BF3EE8"/>
    <w:rsid w:val="00BF517D"/>
    <w:rsid w:val="00BF7E40"/>
    <w:rsid w:val="00C045AF"/>
    <w:rsid w:val="00C204A1"/>
    <w:rsid w:val="00C25823"/>
    <w:rsid w:val="00C27D7D"/>
    <w:rsid w:val="00C3242E"/>
    <w:rsid w:val="00C36931"/>
    <w:rsid w:val="00C40DB9"/>
    <w:rsid w:val="00C42249"/>
    <w:rsid w:val="00C4224A"/>
    <w:rsid w:val="00C44035"/>
    <w:rsid w:val="00C5004D"/>
    <w:rsid w:val="00C5687E"/>
    <w:rsid w:val="00C618D2"/>
    <w:rsid w:val="00C62A78"/>
    <w:rsid w:val="00C659A6"/>
    <w:rsid w:val="00C7200F"/>
    <w:rsid w:val="00C948EB"/>
    <w:rsid w:val="00C957A6"/>
    <w:rsid w:val="00C95EAD"/>
    <w:rsid w:val="00C97A4E"/>
    <w:rsid w:val="00CA028C"/>
    <w:rsid w:val="00CA67B1"/>
    <w:rsid w:val="00CB0C9D"/>
    <w:rsid w:val="00CB2379"/>
    <w:rsid w:val="00CB380E"/>
    <w:rsid w:val="00CC017E"/>
    <w:rsid w:val="00CC092A"/>
    <w:rsid w:val="00CC0DF6"/>
    <w:rsid w:val="00CC23D9"/>
    <w:rsid w:val="00CC411D"/>
    <w:rsid w:val="00CC5C1F"/>
    <w:rsid w:val="00CD0E5C"/>
    <w:rsid w:val="00CD1494"/>
    <w:rsid w:val="00CD15F3"/>
    <w:rsid w:val="00CD1697"/>
    <w:rsid w:val="00CD1A8E"/>
    <w:rsid w:val="00CD1DA8"/>
    <w:rsid w:val="00CD3370"/>
    <w:rsid w:val="00CD75D2"/>
    <w:rsid w:val="00CE4DF0"/>
    <w:rsid w:val="00CE4FBD"/>
    <w:rsid w:val="00CE536E"/>
    <w:rsid w:val="00CE6FAA"/>
    <w:rsid w:val="00CF1E41"/>
    <w:rsid w:val="00D0162E"/>
    <w:rsid w:val="00D06195"/>
    <w:rsid w:val="00D06649"/>
    <w:rsid w:val="00D331D1"/>
    <w:rsid w:val="00D3327E"/>
    <w:rsid w:val="00D4710A"/>
    <w:rsid w:val="00D5600A"/>
    <w:rsid w:val="00D65F26"/>
    <w:rsid w:val="00D743A2"/>
    <w:rsid w:val="00D86A13"/>
    <w:rsid w:val="00D9040D"/>
    <w:rsid w:val="00D905BA"/>
    <w:rsid w:val="00DA0396"/>
    <w:rsid w:val="00DA406B"/>
    <w:rsid w:val="00DA6421"/>
    <w:rsid w:val="00DB3E42"/>
    <w:rsid w:val="00DB5787"/>
    <w:rsid w:val="00DC386B"/>
    <w:rsid w:val="00DC3FD7"/>
    <w:rsid w:val="00DC40DD"/>
    <w:rsid w:val="00DC6D63"/>
    <w:rsid w:val="00DD1811"/>
    <w:rsid w:val="00DE2290"/>
    <w:rsid w:val="00DE6B5B"/>
    <w:rsid w:val="00DE739E"/>
    <w:rsid w:val="00DF0527"/>
    <w:rsid w:val="00E01801"/>
    <w:rsid w:val="00E10BEE"/>
    <w:rsid w:val="00E10D33"/>
    <w:rsid w:val="00E12BC7"/>
    <w:rsid w:val="00E142F6"/>
    <w:rsid w:val="00E2058A"/>
    <w:rsid w:val="00E2789D"/>
    <w:rsid w:val="00E302C9"/>
    <w:rsid w:val="00E353E3"/>
    <w:rsid w:val="00E4323D"/>
    <w:rsid w:val="00E43E15"/>
    <w:rsid w:val="00E440BE"/>
    <w:rsid w:val="00E47A08"/>
    <w:rsid w:val="00E51246"/>
    <w:rsid w:val="00E63BC0"/>
    <w:rsid w:val="00E64B8F"/>
    <w:rsid w:val="00E66478"/>
    <w:rsid w:val="00E70661"/>
    <w:rsid w:val="00E72CD8"/>
    <w:rsid w:val="00E771B0"/>
    <w:rsid w:val="00E771F1"/>
    <w:rsid w:val="00E77C7E"/>
    <w:rsid w:val="00E84063"/>
    <w:rsid w:val="00E85A2E"/>
    <w:rsid w:val="00E96D1B"/>
    <w:rsid w:val="00E97250"/>
    <w:rsid w:val="00EA6CF6"/>
    <w:rsid w:val="00EB0B1E"/>
    <w:rsid w:val="00EB514B"/>
    <w:rsid w:val="00EB5702"/>
    <w:rsid w:val="00EC06D8"/>
    <w:rsid w:val="00EC128C"/>
    <w:rsid w:val="00EC1D57"/>
    <w:rsid w:val="00EC2F36"/>
    <w:rsid w:val="00EC3B8C"/>
    <w:rsid w:val="00EC3EA5"/>
    <w:rsid w:val="00EC66EC"/>
    <w:rsid w:val="00EC6A59"/>
    <w:rsid w:val="00ED0C46"/>
    <w:rsid w:val="00ED1938"/>
    <w:rsid w:val="00ED5E19"/>
    <w:rsid w:val="00EE048D"/>
    <w:rsid w:val="00EE49DF"/>
    <w:rsid w:val="00EF05BE"/>
    <w:rsid w:val="00EF5772"/>
    <w:rsid w:val="00EF67C1"/>
    <w:rsid w:val="00EF6BE6"/>
    <w:rsid w:val="00F02E90"/>
    <w:rsid w:val="00F03BD1"/>
    <w:rsid w:val="00F07BBF"/>
    <w:rsid w:val="00F07CF7"/>
    <w:rsid w:val="00F266E2"/>
    <w:rsid w:val="00F32CBC"/>
    <w:rsid w:val="00F34F9E"/>
    <w:rsid w:val="00F36257"/>
    <w:rsid w:val="00F4693C"/>
    <w:rsid w:val="00F52F77"/>
    <w:rsid w:val="00F577F7"/>
    <w:rsid w:val="00F61A61"/>
    <w:rsid w:val="00F66469"/>
    <w:rsid w:val="00F7217A"/>
    <w:rsid w:val="00F7308F"/>
    <w:rsid w:val="00F752DD"/>
    <w:rsid w:val="00F7729E"/>
    <w:rsid w:val="00F842B0"/>
    <w:rsid w:val="00F93C57"/>
    <w:rsid w:val="00FA264C"/>
    <w:rsid w:val="00FA77A9"/>
    <w:rsid w:val="00FB241E"/>
    <w:rsid w:val="00FB2517"/>
    <w:rsid w:val="00FB70C2"/>
    <w:rsid w:val="00FC2B35"/>
    <w:rsid w:val="00FC45DF"/>
    <w:rsid w:val="00FC4EB7"/>
    <w:rsid w:val="00FC6B4D"/>
    <w:rsid w:val="00FD63E0"/>
    <w:rsid w:val="00FD70EA"/>
    <w:rsid w:val="00FE0FB9"/>
    <w:rsid w:val="00FE377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paragraph" w:customStyle="1" w:styleId="Default">
    <w:name w:val="Default"/>
    <w:basedOn w:val="Normal"/>
    <w:rsid w:val="00021553"/>
    <w:pPr>
      <w:suppressAutoHyphens w:val="0"/>
      <w:autoSpaceDE w:val="0"/>
      <w:autoSpaceDN w:val="0"/>
    </w:pPr>
    <w:rPr>
      <w:rFonts w:ascii="Arial" w:eastAsiaTheme="minorHAnsi" w:hAnsi="Arial" w:cs="Arial"/>
      <w:color w:val="000000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paragraph" w:customStyle="1" w:styleId="Default">
    <w:name w:val="Default"/>
    <w:basedOn w:val="Normal"/>
    <w:rsid w:val="00021553"/>
    <w:pPr>
      <w:suppressAutoHyphens w:val="0"/>
      <w:autoSpaceDE w:val="0"/>
      <w:autoSpaceDN w:val="0"/>
    </w:pPr>
    <w:rPr>
      <w:rFonts w:ascii="Arial" w:eastAsiaTheme="minorHAnsi" w:hAnsi="Arial" w:cs="Arial"/>
      <w:color w:val="00000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78A98-2F86-4827-921D-33F2E691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Edgar Ramírez Ortiz</cp:lastModifiedBy>
  <cp:revision>7</cp:revision>
  <cp:lastPrinted>2017-07-17T17:19:00Z</cp:lastPrinted>
  <dcterms:created xsi:type="dcterms:W3CDTF">2017-07-15T00:08:00Z</dcterms:created>
  <dcterms:modified xsi:type="dcterms:W3CDTF">2017-07-17T17:19:00Z</dcterms:modified>
</cp:coreProperties>
</file>