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adapted from notes to a coworker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What I end up changing</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The edits I make fall into a few categories:</w:t>
      </w:r>
      <w:r w:rsidDel="00000000" w:rsidR="00000000" w:rsidRPr="00000000">
        <w:rPr>
          <w:rtl w:val="0"/>
        </w:rPr>
      </w:r>
    </w:p>
    <w:p w:rsidR="00000000" w:rsidDel="00000000" w:rsidP="00000000" w:rsidRDefault="00000000" w:rsidRPr="00000000" w14:paraId="00000005">
      <w:pPr>
        <w:numPr>
          <w:ilvl w:val="0"/>
          <w:numId w:val="6"/>
        </w:numPr>
        <w:ind w:left="720" w:hanging="360"/>
        <w:rPr>
          <w:b w:val="1"/>
          <w:bCs w:val="1"/>
        </w:rPr>
      </w:pPr>
      <w:r w:rsidDel="00000000" w:rsidR="00000000" w:rsidRPr="00000000">
        <w:rPr>
          <w:b w:val="1"/>
          <w:bCs w:val="1"/>
          <w:rtl w:val="0"/>
        </w:rPr>
        <w:t xml:space="preserve">Descriptive text is too long and spoils the outcome. </w:t>
      </w:r>
    </w:p>
    <w:p w:rsidR="00000000" w:rsidDel="00000000" w:rsidP="00000000" w:rsidRDefault="00000000" w:rsidRPr="00000000" w14:paraId="00000006">
      <w:pPr>
        <w:rPr/>
      </w:pPr>
      <w:r w:rsidDel="00000000" w:rsidR="00000000" w:rsidRPr="00000000">
        <w:rPr>
          <w:rtl w:val="0"/>
        </w:rPr>
        <w:t xml:space="preserve">In my experience both being a student and teaching, students just don't read long blocks of text.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Also, the descriptions tend to just tell the students what they're going to see when they do the activity… we should avoid this! There's literature on exploratory labs leading to better outcomes, and in my opinion it's just more satisfying.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6"/>
        </w:numPr>
        <w:ind w:left="720" w:hanging="360"/>
        <w:rPr>
          <w:b w:val="1"/>
          <w:bCs w:val="1"/>
        </w:rPr>
      </w:pPr>
      <w:r w:rsidDel="00000000" w:rsidR="00000000" w:rsidRPr="00000000">
        <w:rPr>
          <w:b w:val="1"/>
          <w:bCs w:val="1"/>
          <w:rtl w:val="0"/>
        </w:rPr>
        <w:t xml:space="preserve">Coding activities aren't scaffolded enough.</w:t>
      </w:r>
    </w:p>
    <w:p w:rsidR="00000000" w:rsidDel="00000000" w:rsidP="00000000" w:rsidRDefault="00000000" w:rsidRPr="00000000" w14:paraId="0000000B">
      <w:pPr>
        <w:ind w:left="0" w:firstLine="0"/>
        <w:rPr/>
      </w:pPr>
      <w:r w:rsidDel="00000000" w:rsidR="00000000" w:rsidRPr="00000000">
        <w:rPr>
          <w:rtl w:val="0"/>
        </w:rPr>
        <w:t xml:space="preserve">They tend to alternate between trivial and very hard without much middle ground. More below.</w:t>
      </w:r>
    </w:p>
    <w:p w:rsidR="00000000" w:rsidDel="00000000" w:rsidP="00000000" w:rsidRDefault="00000000" w:rsidRPr="00000000" w14:paraId="0000000C">
      <w:pPr>
        <w:ind w:left="0" w:firstLine="0"/>
        <w:rPr>
          <w:b w:val="1"/>
          <w:bCs w:val="1"/>
        </w:rPr>
      </w:pPr>
      <w:r w:rsidDel="00000000" w:rsidR="00000000" w:rsidRPr="00000000">
        <w:rPr>
          <w:rtl w:val="0"/>
        </w:rPr>
      </w:r>
    </w:p>
    <w:p w:rsidR="00000000" w:rsidDel="00000000" w:rsidP="00000000" w:rsidRDefault="00000000" w:rsidRPr="00000000" w14:paraId="0000000D">
      <w:pPr>
        <w:numPr>
          <w:ilvl w:val="0"/>
          <w:numId w:val="6"/>
        </w:numPr>
        <w:ind w:left="720" w:hanging="360"/>
        <w:rPr>
          <w:b w:val="1"/>
          <w:bCs w:val="1"/>
        </w:rPr>
      </w:pPr>
      <w:r w:rsidDel="00000000" w:rsidR="00000000" w:rsidRPr="00000000">
        <w:rPr>
          <w:b w:val="1"/>
          <w:bCs w:val="1"/>
          <w:rtl w:val="0"/>
        </w:rPr>
        <w:t xml:space="preserve">SRQs could be more connected to the coding activity.</w:t>
      </w:r>
    </w:p>
    <w:p w:rsidR="00000000" w:rsidDel="00000000" w:rsidP="00000000" w:rsidRDefault="00000000" w:rsidRPr="00000000" w14:paraId="0000000E">
      <w:pPr>
        <w:rPr/>
      </w:pPr>
      <w:r w:rsidDel="00000000" w:rsidR="00000000" w:rsidRPr="00000000">
        <w:rPr>
          <w:rtl w:val="0"/>
        </w:rPr>
        <w:t xml:space="preserve">These often just ask students to recall facts or point out things in the data. We should use them to walk students through analyzing their data for the result we want them to notice, and then make them connect it to the topic of the lab. Also more below.</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Learning objectives could be sharper.</w:t>
      </w:r>
    </w:p>
    <w:p w:rsidR="00000000" w:rsidDel="00000000" w:rsidP="00000000" w:rsidRDefault="00000000" w:rsidRPr="00000000" w14:paraId="00000011">
      <w:pPr>
        <w:rPr/>
      </w:pPr>
      <w:r w:rsidDel="00000000" w:rsidR="00000000" w:rsidRPr="00000000">
        <w:rPr>
          <w:rtl w:val="0"/>
        </w:rPr>
        <w:t xml:space="preserve">I think we shouldn't repeat learning objectives across labs. There's this idea of spiral learning where we reinforce past topics by re-using them, but we don't make them explicit objectives again.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also have some ideas for how we could choose these in general.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On coding activities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are really hard to write. But in general we want a balance of challenging the students while not overwhelming them. We also want to avoid distracting them with challenges that aren't relevant to what we're trying to teach. These are some habits I've picked up: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Be mindful of cognitive load</w:t>
      </w:r>
    </w:p>
    <w:p w:rsidR="00000000" w:rsidDel="00000000" w:rsidP="00000000" w:rsidRDefault="00000000" w:rsidRPr="00000000" w14:paraId="0000001A">
      <w:pPr>
        <w:rPr/>
      </w:pPr>
      <w:r w:rsidDel="00000000" w:rsidR="00000000" w:rsidRPr="00000000">
        <w:rPr>
          <w:rtl w:val="0"/>
        </w:rPr>
        <w:t xml:space="preserve">Read the papers about this if you haven't! Super important. A good rule of thumb might be, "if it's on the edge of what </w:t>
      </w:r>
      <w:r w:rsidDel="00000000" w:rsidR="00000000" w:rsidRPr="00000000">
        <w:rPr>
          <w:i w:val="1"/>
          <w:iCs w:val="1"/>
          <w:rtl w:val="0"/>
        </w:rPr>
        <w:t xml:space="preserve">you</w:t>
      </w:r>
      <w:r w:rsidDel="00000000" w:rsidR="00000000" w:rsidRPr="00000000">
        <w:rPr>
          <w:rtl w:val="0"/>
        </w:rPr>
        <w:t xml:space="preserve"> consider trivial, it's on the edge of the students' abilities."</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Break them into parts</w:t>
      </w:r>
    </w:p>
    <w:p w:rsidR="00000000" w:rsidDel="00000000" w:rsidP="00000000" w:rsidRDefault="00000000" w:rsidRPr="00000000" w14:paraId="0000001D">
      <w:pPr>
        <w:rPr/>
      </w:pPr>
      <w:r w:rsidDel="00000000" w:rsidR="00000000" w:rsidRPr="00000000">
        <w:rPr>
          <w:rtl w:val="0"/>
        </w:rPr>
        <w:t xml:space="preserve">If you want students to do something but you think it's beyond their cognitive load capacity, just break it into multiple parts. (we shouldn't have more than 3, 4 at the very max, parts per coding activity IMO). </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 Use existing pedagogical patterns</w:t>
      </w:r>
    </w:p>
    <w:p w:rsidR="00000000" w:rsidDel="00000000" w:rsidP="00000000" w:rsidRDefault="00000000" w:rsidRPr="00000000" w14:paraId="00000020">
      <w:pPr>
        <w:rPr/>
      </w:pPr>
      <w:r w:rsidDel="00000000" w:rsidR="00000000" w:rsidRPr="00000000">
        <w:rPr>
          <w:rtl w:val="0"/>
        </w:rPr>
        <w:t xml:space="preserve">It's much easier to write an activity if you have a "basis set" of patterns other people have established. These are the ones I use most often: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highlight w:val="yellow"/>
          <w:rtl w:val="0"/>
        </w:rPr>
        <w:t xml:space="preserve">Worked example -&gt; your turn</w:t>
      </w:r>
      <w:r w:rsidDel="00000000" w:rsidR="00000000" w:rsidRPr="00000000">
        <w:rPr>
          <w:rtl w:val="0"/>
        </w:rPr>
        <w:t xml:space="preserve">: Show them how to do something, then ask them to do it again for something slightly different. </w:t>
      </w:r>
      <w:r w:rsidDel="00000000" w:rsidR="00000000" w:rsidRPr="00000000">
        <w:rPr>
          <w:b w:val="1"/>
          <w:bCs w:val="1"/>
          <w:rtl w:val="0"/>
        </w:rPr>
        <w:t xml:space="preserve">This one is the staple. If you don't know what to do, do this.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Comment a worked example: Give them working code and ask them to explain what each part does. I like to use this together with (1).</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Fill-in-the-blank: Provide a mostly-working function or loop, ask students to fill in one or two lines.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Target practice: like fill-in-the-blank, but within a larger workflow. For example, if you want students to focus on performing a numerical optimization routine, provide them with the data loading and plotting parts so that their limited capacity is focused on the one part you care about.</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Translating pseudocode: Outline each step of the procedure and ask them to translate it to real Python syntax. Best for reinforcing something they've done before.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Translating formulas into functions: similar to above, you've done this one yourself.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general, if students are encountering something for the first time, always give a worked example first.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On SRQs</w:t>
      </w:r>
    </w:p>
    <w:p w:rsidR="00000000" w:rsidDel="00000000" w:rsidP="00000000" w:rsidRDefault="00000000" w:rsidRPr="00000000" w14:paraId="0000002D">
      <w:pPr>
        <w:rPr/>
      </w:pPr>
      <w:r w:rsidDel="00000000" w:rsidR="00000000" w:rsidRPr="00000000">
        <w:rPr>
          <w:rtl w:val="0"/>
        </w:rPr>
        <w:t xml:space="preserve">Some general guidance for these:</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Align them with the coding activity</w:t>
      </w:r>
    </w:p>
    <w:p w:rsidR="00000000" w:rsidDel="00000000" w:rsidP="00000000" w:rsidRDefault="00000000" w:rsidRPr="00000000" w14:paraId="00000030">
      <w:pPr>
        <w:rPr/>
      </w:pPr>
      <w:r w:rsidDel="00000000" w:rsidR="00000000" w:rsidRPr="00000000">
        <w:rPr>
          <w:rtl w:val="0"/>
        </w:rPr>
        <w:t xml:space="preserve">If we're doing an exploratory lab design, where we don't tell students the result in the description, but let them find it in the coding activity - these serve as the prompt to make students notice that result and interpret what it means.  A good rule of thumb is that the SRQ should not be answerable without completing the coding activity first.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Use Bloom's Taxonomy</w:t>
      </w:r>
    </w:p>
    <w:p w:rsidR="00000000" w:rsidDel="00000000" w:rsidP="00000000" w:rsidRDefault="00000000" w:rsidRPr="00000000" w14:paraId="00000033">
      <w:pPr>
        <w:rPr/>
      </w:pPr>
      <w:r w:rsidDel="00000000" w:rsidR="00000000" w:rsidRPr="00000000">
        <w:rPr>
          <w:rtl w:val="0"/>
        </w:rPr>
        <w:t xml:space="preserve">This is to SRQs like the above pedagogical patterns are for coding activities. It's a framework for thinking about the range of question types. Questions range from lower-order (remember, understand, apply) to higher-order (analyze, evaluate, create). In my opinion, we should ask at least one lower order and one higher order question for each SRQ. (see literature below)</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Connect results to schema</w:t>
      </w:r>
    </w:p>
    <w:p w:rsidR="00000000" w:rsidDel="00000000" w:rsidP="00000000" w:rsidRDefault="00000000" w:rsidRPr="00000000" w14:paraId="00000036">
      <w:pPr>
        <w:rPr/>
      </w:pPr>
      <w:r w:rsidDel="00000000" w:rsidR="00000000" w:rsidRPr="00000000">
        <w:rPr>
          <w:rtl w:val="0"/>
        </w:rPr>
        <w:t xml:space="preserve">Make an effort to connect SRQs to a schema or mental model when possible. There's a lot of literature about this being useful for enabling transfer. (again, see literature below)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6"/>
          <w:szCs w:val="26"/>
        </w:rPr>
      </w:pPr>
      <w:r w:rsidDel="00000000" w:rsidR="00000000" w:rsidRPr="00000000">
        <w:rPr>
          <w:b w:val="1"/>
          <w:bCs w:val="1"/>
          <w:sz w:val="26"/>
          <w:szCs w:val="26"/>
          <w:rtl w:val="0"/>
        </w:rPr>
        <w:t xml:space="preserve">Thoughts on learning objectives</w:t>
      </w:r>
    </w:p>
    <w:p w:rsidR="00000000" w:rsidDel="00000000" w:rsidP="00000000" w:rsidRDefault="00000000" w:rsidRPr="00000000" w14:paraId="00000039">
      <w:pPr>
        <w:rPr/>
      </w:pPr>
      <w:r w:rsidDel="00000000" w:rsidR="00000000" w:rsidRPr="00000000">
        <w:rPr>
          <w:rtl w:val="0"/>
        </w:rPr>
        <w:t xml:space="preserve">In my opinion, we might structure our chemistry and programming learning objectives like this: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At the broadest level, students should understand after this course </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Fundamental results in quantum mechanics</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A real application of quantum mechanics to chemistry</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Unifying mental models for quantum mechanics (threshold concepts)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With respect to programming, we want the students to learn the following.</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General proficiency with Python syntax or a core library</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Specific libraries and techniques that are useful in chemical research</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Mental models for solving programming problems (abstraction, decomposition, planning, etc)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Thought process being we're focusing on some specific application to ground each topic as well as the general framework it fits into. Something more concrete and something more abstract.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is vibes though. Don't feel bound by this if you have other good ideas.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26"/>
          <w:szCs w:val="26"/>
        </w:rPr>
      </w:pPr>
      <w:r w:rsidDel="00000000" w:rsidR="00000000" w:rsidRPr="00000000">
        <w:rPr>
          <w:b w:val="1"/>
          <w:bCs w:val="1"/>
          <w:sz w:val="26"/>
          <w:szCs w:val="26"/>
          <w:rtl w:val="0"/>
        </w:rPr>
        <w:t xml:space="preserve">Practical suggestions for writing these</w:t>
      </w:r>
    </w:p>
    <w:p w:rsidR="00000000" w:rsidDel="00000000" w:rsidP="00000000" w:rsidRDefault="00000000" w:rsidRPr="00000000" w14:paraId="0000004A">
      <w:pPr>
        <w:rPr/>
      </w:pPr>
      <w:r w:rsidDel="00000000" w:rsidR="00000000" w:rsidRPr="00000000">
        <w:rPr>
          <w:rtl w:val="0"/>
        </w:rPr>
        <w:t xml:space="preserve">Developing these labs is an open-ended nightmare, so it helps to have clear success criteria and constraints for what you'll work on.</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Use Learning Objectives as success criteria and a filter</w:t>
      </w:r>
    </w:p>
    <w:p w:rsidR="00000000" w:rsidDel="00000000" w:rsidP="00000000" w:rsidRDefault="00000000" w:rsidRPr="00000000" w14:paraId="0000004D">
      <w:pPr>
        <w:rPr/>
      </w:pPr>
      <w:r w:rsidDel="00000000" w:rsidR="00000000" w:rsidRPr="00000000">
        <w:rPr>
          <w:rtl w:val="0"/>
        </w:rPr>
        <w:t xml:space="preserve">If you choose learning objectives first and use them as a constraint for developing coding activities and SRQs this saves a lot of time. The objectives tell you what to emphasize, what to provide as scaffolding, and what to leave out. It also just makes the labs more coherent.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Use a todo list and focus on one thing at a time.</w:t>
      </w:r>
    </w:p>
    <w:p w:rsidR="00000000" w:rsidDel="00000000" w:rsidP="00000000" w:rsidRDefault="00000000" w:rsidRPr="00000000" w14:paraId="00000050">
      <w:pPr>
        <w:rPr/>
      </w:pPr>
      <w:r w:rsidDel="00000000" w:rsidR="00000000" w:rsidRPr="00000000">
        <w:rPr>
          <w:rtl w:val="0"/>
        </w:rPr>
        <w:t xml:space="preserve">Self-explanatory. You are in the trenches if you don't do this.</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Literature you should read</w:t>
      </w:r>
    </w:p>
    <w:p w:rsidR="00000000" w:rsidDel="00000000" w:rsidP="00000000" w:rsidRDefault="00000000" w:rsidRPr="00000000" w14:paraId="00000053">
      <w:pPr>
        <w:rPr/>
      </w:pPr>
      <w:r w:rsidDel="00000000" w:rsidR="00000000" w:rsidRPr="00000000">
        <w:rPr>
          <w:rtl w:val="0"/>
        </w:rPr>
        <w:t xml:space="preserve">These are a few really good papers that I think you should actually take the time to read in full. They've informed a lot of my thinking about the labs.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Sultanova, G. (2025). Assessment tasks in STEM education: integrating Bloom’s Revised Taxonomy and Cognitive Load Theory. Research in Science &amp; Technological Education, 1–19. </w:t>
      </w:r>
      <w:hyperlink r:id="rId6">
        <w:r w:rsidDel="00000000" w:rsidR="00000000" w:rsidRPr="00000000">
          <w:rPr>
            <w:color w:val="1155cc"/>
            <w:u w:val="single"/>
            <w:rtl w:val="0"/>
          </w:rPr>
          <w:t xml:space="preserve">https://doi.org/10.1080/02635143.2025.2586564</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This one is great. some novel untested material, but a good summary of Bloom's and Cognitive Load Theory and some thoughts about how you might use both of them together.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William Fuchs, et. al. (2024). Recommendations for Improving End-User Programming Education: A Case Study with Undergraduate Chemistry Students</w:t>
      </w:r>
      <w:r w:rsidDel="00000000" w:rsidR="00000000" w:rsidRPr="00000000">
        <w:rPr>
          <w:rtl w:val="0"/>
        </w:rPr>
      </w:r>
    </w:p>
    <w:p w:rsidR="00000000" w:rsidDel="00000000" w:rsidP="00000000" w:rsidRDefault="00000000" w:rsidRPr="00000000" w14:paraId="0000005A">
      <w:pPr>
        <w:rPr/>
      </w:pPr>
      <w:hyperlink r:id="rId7">
        <w:r w:rsidDel="00000000" w:rsidR="00000000" w:rsidRPr="00000000">
          <w:rPr>
            <w:color w:val="1155cc"/>
            <w:u w:val="single"/>
            <w:rtl w:val="0"/>
          </w:rPr>
          <w:t xml:space="preserve">https://pubs.acs.org/doi/10.1021/acs.jchemed.4c00219</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Mental models for programming live here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Vicente Talanquer (2015). Threshold Concepts in Chemistry: The Critical Role of Implicit Schemas</w:t>
      </w:r>
    </w:p>
    <w:p w:rsidR="00000000" w:rsidDel="00000000" w:rsidP="00000000" w:rsidRDefault="00000000" w:rsidRPr="00000000" w14:paraId="0000005F">
      <w:pPr>
        <w:rPr/>
      </w:pPr>
      <w:hyperlink r:id="rId8">
        <w:r w:rsidDel="00000000" w:rsidR="00000000" w:rsidRPr="00000000">
          <w:rPr>
            <w:color w:val="1155cc"/>
            <w:u w:val="single"/>
            <w:rtl w:val="0"/>
          </w:rPr>
          <w:t xml:space="preserve">https://pubs.acs.org/doi/10.1021/ed500679k</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Schema and threshold concepts (mental models for chemistry live here). Material is mainly relevant to general chemistry, but you could probably think of some of these for quantum.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80/02635143.2025.2586564" TargetMode="External"/><Relationship Id="rId7" Type="http://schemas.openxmlformats.org/officeDocument/2006/relationships/hyperlink" Target="https://pubs.acs.org/doi/10.1021/acs.jchemed.4c00219" TargetMode="External"/><Relationship Id="rId8" Type="http://schemas.openxmlformats.org/officeDocument/2006/relationships/hyperlink" Target="https://pubs.acs.org/doi/10.1021/ed500679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