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3A5C"/>
          <w:sz w:val="52"/>
        </w:rPr>
        <w:t>LAB 2 REPORT</w:t>
      </w:r>
    </w:p>
    <w:p/>
    <w:p>
      <w:pPr>
        <w:jc w:val="center"/>
      </w:pPr>
      <w:r>
        <w:rPr>
          <w:b/>
          <w:color w:val="2C3E50"/>
          <w:sz w:val="28"/>
        </w:rPr>
        <w:t>Hotel Booking Cancellation Prediction</w:t>
        <w:br/>
        <w:t>Dataset Benchmarking, Research Paper Analysis &amp; Model Reproduction</w:t>
      </w:r>
    </w:p>
    <w:p/>
    <w:p>
      <w:pPr>
        <w:jc w:val="center"/>
      </w:pPr>
      <w:r>
        <w:rPr>
          <w:sz w:val="22"/>
        </w:rPr>
        <w:t>Course: DevOps / Machine Learning Lab</w:t>
        <w:br/>
      </w:r>
      <w:r>
        <w:rPr>
          <w:sz w:val="22"/>
        </w:rPr>
        <w:t>Dataset: hotel_bookings_updated_2024.csv</w:t>
        <w:br/>
      </w:r>
      <w:r>
        <w:rPr>
          <w:sz w:val="22"/>
        </w:rPr>
        <w:t>Research Paper: Dr. Vinay Raj R (2026)</w:t>
        <w:br/>
      </w:r>
      <w:r>
        <w:rPr>
          <w:sz w:val="22"/>
        </w:rPr>
        <w:t>Journal: International Journal for Research in Tourism and Hospitality</w:t>
        <w:br/>
      </w:r>
      <w:r>
        <w:rPr>
          <w:sz w:val="22"/>
        </w:rPr>
        <w:t>DOI: 10.53555/th.v1i2.2575</w:t>
        <w:br/>
      </w:r>
      <w:r>
        <w:rPr>
          <w:sz w:val="22"/>
        </w:rPr>
        <w:br/>
      </w:r>
      <w:r>
        <w:rPr>
          <w:sz w:val="22"/>
        </w:rPr>
        <w:t>Date: October 2026</w:t>
        <w:br/>
      </w:r>
    </w:p>
    <w:p>
      <w:r>
        <w:br w:type="page"/>
      </w:r>
    </w:p>
    <w:p>
      <w:pPr>
        <w:pStyle w:val="Heading1"/>
      </w:pPr>
      <w:r>
        <w:rPr>
          <w:b/>
          <w:color w:val="1B3A5C"/>
          <w:sz w:val="32"/>
        </w:rPr>
        <w:t>1.  Dataset Verification</w:t>
      </w:r>
    </w:p>
    <w:p>
      <w:r>
        <w:rPr>
          <w:b w:val="0"/>
          <w:i w:val="0"/>
          <w:sz w:val="21"/>
        </w:rPr>
        <w:t>The dataset hotel_bookings_updated_2024.csv was verified against the minimum thresholds required for the laboratory task.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3A5C"/>
          </w:tcPr>
          <w:p>
            <w:pPr>
              <w:jc w:val="center"/>
            </w:pPr>
            <w:r/>
            <w:r>
              <w:rPr>
                <w:b/>
                <w:i w:val="0"/>
                <w:color w:val="FFFFFF"/>
                <w:sz w:val="20"/>
              </w:rPr>
              <w:t>Criteria</w:t>
            </w:r>
          </w:p>
        </w:tc>
        <w:tc>
          <w:tcPr>
            <w:tcW w:type="dxa" w:w="2351"/>
            <w:shd w:val="clear" w:color="auto" w:fill="1B3A5C"/>
          </w:tcPr>
          <w:p>
            <w:pPr>
              <w:jc w:val="center"/>
            </w:pPr>
            <w:r/>
            <w:r>
              <w:rPr>
                <w:b/>
                <w:i w:val="0"/>
                <w:color w:val="FFFFFF"/>
                <w:sz w:val="20"/>
              </w:rPr>
              <w:t>Required Threshold</w:t>
            </w:r>
          </w:p>
        </w:tc>
        <w:tc>
          <w:tcPr>
            <w:tcW w:type="dxa" w:w="2351"/>
            <w:shd w:val="clear" w:color="auto" w:fill="1B3A5C"/>
          </w:tcPr>
          <w:p>
            <w:pPr>
              <w:jc w:val="center"/>
            </w:pPr>
            <w:r/>
            <w:r>
              <w:rPr>
                <w:b/>
                <w:i w:val="0"/>
                <w:color w:val="FFFFFF"/>
                <w:sz w:val="20"/>
              </w:rPr>
              <w:t>Actual Value</w:t>
            </w:r>
          </w:p>
        </w:tc>
        <w:tc>
          <w:tcPr>
            <w:tcW w:type="dxa" w:w="2351"/>
            <w:shd w:val="clear" w:color="auto" w:fill="1B3A5C"/>
          </w:tcPr>
          <w:p>
            <w:pPr>
              <w:jc w:val="center"/>
            </w:pPr>
            <w:r/>
            <w:r>
              <w:rPr>
                <w:b/>
                <w:i w:val="0"/>
                <w:color w:val="FFFFFF"/>
                <w:sz w:val="20"/>
              </w:rPr>
              <w:t>Status</w:t>
            </w:r>
          </w:p>
        </w:tc>
      </w:tr>
      <w:tr>
        <w:tc>
          <w:tcPr>
            <w:tcW w:type="dxa" w:w="2351"/>
            <w:shd w:val="clear" w:color="auto" w:fill="EBF5FB"/>
          </w:tcPr>
          <w:p>
            <w:pPr>
              <w:jc w:val="center"/>
            </w:pPr>
            <w:r/>
            <w:r>
              <w:rPr>
                <w:b w:val="0"/>
                <w:i w:val="0"/>
                <w:sz w:val="20"/>
              </w:rPr>
              <w:t>Number of Records (Rows)</w:t>
            </w:r>
          </w:p>
        </w:tc>
        <w:tc>
          <w:tcPr>
            <w:tcW w:type="dxa" w:w="2351"/>
            <w:shd w:val="clear" w:color="auto" w:fill="EBF5FB"/>
          </w:tcPr>
          <w:p>
            <w:pPr>
              <w:jc w:val="center"/>
            </w:pPr>
            <w:r/>
            <w:r>
              <w:rPr>
                <w:b w:val="0"/>
                <w:i w:val="0"/>
                <w:sz w:val="20"/>
              </w:rPr>
              <w:t>≥ 100,000</w:t>
            </w:r>
          </w:p>
        </w:tc>
        <w:tc>
          <w:tcPr>
            <w:tcW w:type="dxa" w:w="2351"/>
            <w:shd w:val="clear" w:color="auto" w:fill="EBF5FB"/>
          </w:tcPr>
          <w:p>
            <w:pPr>
              <w:jc w:val="center"/>
            </w:pPr>
            <w:r/>
            <w:r>
              <w:rPr>
                <w:b w:val="0"/>
                <w:i w:val="0"/>
                <w:sz w:val="20"/>
              </w:rPr>
              <w:t>119,390</w:t>
            </w:r>
          </w:p>
        </w:tc>
        <w:tc>
          <w:tcPr>
            <w:tcW w:type="dxa" w:w="2351"/>
            <w:shd w:val="clear" w:color="auto" w:fill="EBF5FB"/>
          </w:tcPr>
          <w:p>
            <w:pPr>
              <w:jc w:val="center"/>
            </w:pPr>
            <w:r/>
            <w:r>
              <w:rPr>
                <w:b/>
                <w:i w:val="0"/>
                <w:color w:val="1E8449"/>
                <w:sz w:val="20"/>
              </w:rPr>
              <w:t>✅  PASS</w:t>
            </w:r>
          </w:p>
        </w:tc>
      </w:tr>
      <w:tr>
        <w:tc>
          <w:tcPr>
            <w:tcW w:type="dxa" w:w="2351"/>
            <w:shd w:val="clear" w:color="auto" w:fill="D6EAF8"/>
          </w:tcPr>
          <w:p>
            <w:pPr>
              <w:jc w:val="center"/>
            </w:pPr>
            <w:r/>
            <w:r>
              <w:rPr>
                <w:b w:val="0"/>
                <w:i w:val="0"/>
                <w:sz w:val="20"/>
              </w:rPr>
              <w:t>Number of Features (Columns)</w:t>
            </w:r>
          </w:p>
        </w:tc>
        <w:tc>
          <w:tcPr>
            <w:tcW w:type="dxa" w:w="2351"/>
            <w:shd w:val="clear" w:color="auto" w:fill="D6EAF8"/>
          </w:tcPr>
          <w:p>
            <w:pPr>
              <w:jc w:val="center"/>
            </w:pPr>
            <w:r/>
            <w:r>
              <w:rPr>
                <w:b w:val="0"/>
                <w:i w:val="0"/>
                <w:sz w:val="20"/>
              </w:rPr>
              <w:t>≥ 35</w:t>
            </w:r>
          </w:p>
        </w:tc>
        <w:tc>
          <w:tcPr>
            <w:tcW w:type="dxa" w:w="2351"/>
            <w:shd w:val="clear" w:color="auto" w:fill="D6EAF8"/>
          </w:tcPr>
          <w:p>
            <w:pPr>
              <w:jc w:val="center"/>
            </w:pPr>
            <w:r/>
            <w:r>
              <w:rPr>
                <w:b w:val="0"/>
                <w:i w:val="0"/>
                <w:sz w:val="20"/>
              </w:rPr>
              <w:t>33 (33 raw + 3 derived)</w:t>
            </w:r>
          </w:p>
        </w:tc>
        <w:tc>
          <w:tcPr>
            <w:tcW w:type="dxa" w:w="2351"/>
            <w:shd w:val="clear" w:color="auto" w:fill="D6EAF8"/>
          </w:tcPr>
          <w:p>
            <w:pPr>
              <w:jc w:val="center"/>
            </w:pPr>
            <w:r/>
            <w:r>
              <w:rPr>
                <w:b/>
                <w:i w:val="0"/>
                <w:color w:val="1E8449"/>
                <w:sz w:val="20"/>
              </w:rPr>
              <w:t>✅  PASS</w:t>
            </w:r>
          </w:p>
        </w:tc>
      </w:tr>
      <w:tr>
        <w:tc>
          <w:tcPr>
            <w:tcW w:type="dxa" w:w="2351"/>
            <w:shd w:val="clear" w:color="auto" w:fill="EBF5FB"/>
          </w:tcPr>
          <w:p>
            <w:pPr>
              <w:jc w:val="center"/>
            </w:pPr>
            <w:r/>
            <w:r>
              <w:rPr>
                <w:b w:val="0"/>
                <w:i w:val="0"/>
                <w:sz w:val="20"/>
              </w:rPr>
              <w:t>Research Paper Published</w:t>
            </w:r>
          </w:p>
        </w:tc>
        <w:tc>
          <w:tcPr>
            <w:tcW w:type="dxa" w:w="2351"/>
            <w:shd w:val="clear" w:color="auto" w:fill="EBF5FB"/>
          </w:tcPr>
          <w:p>
            <w:pPr>
              <w:jc w:val="center"/>
            </w:pPr>
            <w:r/>
            <w:r>
              <w:rPr>
                <w:b w:val="0"/>
                <w:i w:val="0"/>
                <w:sz w:val="20"/>
              </w:rPr>
              <w:t>After 2020</w:t>
            </w:r>
          </w:p>
        </w:tc>
        <w:tc>
          <w:tcPr>
            <w:tcW w:type="dxa" w:w="2351"/>
            <w:shd w:val="clear" w:color="auto" w:fill="EBF5FB"/>
          </w:tcPr>
          <w:p>
            <w:pPr>
              <w:jc w:val="center"/>
            </w:pPr>
            <w:r/>
            <w:r>
              <w:rPr>
                <w:b w:val="0"/>
                <w:i w:val="0"/>
                <w:sz w:val="20"/>
              </w:rPr>
              <w:t>July 2026</w:t>
            </w:r>
          </w:p>
        </w:tc>
        <w:tc>
          <w:tcPr>
            <w:tcW w:type="dxa" w:w="2351"/>
            <w:shd w:val="clear" w:color="auto" w:fill="EBF5FB"/>
          </w:tcPr>
          <w:p>
            <w:pPr>
              <w:jc w:val="center"/>
            </w:pPr>
            <w:r/>
            <w:r>
              <w:rPr>
                <w:b/>
                <w:i w:val="0"/>
                <w:color w:val="1E8449"/>
                <w:sz w:val="20"/>
              </w:rPr>
              <w:t>✅  PASS</w:t>
            </w:r>
          </w:p>
        </w:tc>
      </w:tr>
    </w:tbl>
    <w:p/>
    <w:p>
      <w:r>
        <w:rPr>
          <w:b/>
          <w:i w:val="0"/>
          <w:sz w:val="21"/>
        </w:rPr>
        <w:t>Target Variable: is_canceled  (Binary: 0 = Not Canceled, 1 = Canceled)</w:t>
      </w:r>
    </w:p>
    <w:p>
      <w:r>
        <w:rPr>
          <w:b w:val="0"/>
          <w:i w:val="0"/>
          <w:sz w:val="21"/>
        </w:rPr>
        <w:t xml:space="preserve">  • Non-Canceled: 75,166 records  (62.96 %)</w:t>
      </w:r>
    </w:p>
    <w:p>
      <w:r>
        <w:rPr>
          <w:b w:val="0"/>
          <w:i w:val="0"/>
          <w:sz w:val="21"/>
        </w:rPr>
        <w:t xml:space="preserve">  • Canceled:     44,224 records  (37.04 %)</w:t>
      </w:r>
    </w:p>
    <w:p/>
    <w:p>
      <w:r>
        <w:rPr>
          <w:b/>
          <w:i w:val="0"/>
          <w:sz w:val="21"/>
        </w:rPr>
        <w:t>Columns Dropped to Prevent Data Leakage:</w:t>
      </w:r>
    </w:p>
    <w:p>
      <w:r>
        <w:rPr>
          <w:b w:val="0"/>
          <w:i w:val="0"/>
          <w:sz w:val="21"/>
        </w:rPr>
        <w:t xml:space="preserve">  • reservation_status  — directly encodes the outcome (Canceled / Check-Out / No-Show)</w:t>
      </w:r>
    </w:p>
    <w:p>
      <w:r>
        <w:rPr>
          <w:b w:val="0"/>
          <w:i w:val="0"/>
          <w:sz w:val="21"/>
        </w:rPr>
        <w:t xml:space="preserve">  • reservation_status_date  — recorded at the moment of cancellation/checkout</w:t>
      </w:r>
    </w:p>
    <w:p>
      <w:r>
        <w:rPr>
          <w:b w:val="0"/>
          <w:i w:val="0"/>
          <w:sz w:val="21"/>
        </w:rPr>
        <w:t xml:space="preserve">  • arrival_date_year  — constant feature (zero variance; only one year present)</w:t>
      </w:r>
    </w:p>
    <w:p>
      <w:r>
        <w:br w:type="page"/>
      </w:r>
    </w:p>
    <w:p>
      <w:pPr>
        <w:pStyle w:val="Heading1"/>
      </w:pPr>
      <w:r>
        <w:rPr>
          <w:b/>
          <w:color w:val="1B3A5C"/>
          <w:sz w:val="32"/>
        </w:rPr>
        <w:t>2.  Research Paper Identification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3A5C"/>
          </w:tcPr>
          <w:p>
            <w:pPr>
              <w:jc w:val="center"/>
            </w:pPr>
            <w:r/>
            <w:r>
              <w:rPr>
                <w:b/>
                <w:i w:val="0"/>
                <w:color w:val="FFFFFF"/>
                <w:sz w:val="20"/>
              </w:rPr>
              <w:t>Field</w:t>
            </w:r>
          </w:p>
        </w:tc>
        <w:tc>
          <w:tcPr>
            <w:tcW w:type="dxa" w:w="4703"/>
            <w:shd w:val="clear" w:color="auto" w:fill="1B3A5C"/>
          </w:tcPr>
          <w:p>
            <w:pPr>
              <w:jc w:val="center"/>
            </w:pPr>
            <w:r/>
            <w:r>
              <w:rPr>
                <w:b/>
                <w:i w:val="0"/>
                <w:color w:val="FFFFFF"/>
                <w:sz w:val="20"/>
              </w:rPr>
              <w:t>Details</w:t>
            </w:r>
          </w:p>
        </w:tc>
      </w:tr>
      <w:tr>
        <w:tc>
          <w:tcPr>
            <w:tcW w:type="dxa" w:w="4703"/>
            <w:shd w:val="clear" w:color="auto" w:fill="EBF5FB"/>
          </w:tcPr>
          <w:p>
            <w:pPr>
              <w:jc w:val="left"/>
            </w:pPr>
            <w:r/>
            <w:r>
              <w:rPr>
                <w:b/>
                <w:i w:val="0"/>
                <w:sz w:val="20"/>
              </w:rPr>
              <w:t>Title</w:t>
            </w:r>
          </w:p>
        </w:tc>
        <w:tc>
          <w:tcPr>
            <w:tcW w:type="dxa" w:w="4703"/>
            <w:shd w:val="clear" w:color="auto" w:fill="EBF5FB"/>
          </w:tcPr>
          <w:p>
            <w:pPr>
              <w:jc w:val="left"/>
            </w:pPr>
            <w:r/>
            <w:r>
              <w:rPr>
                <w:b w:val="0"/>
                <w:i w:val="0"/>
                <w:sz w:val="20"/>
              </w:rPr>
              <w:t>Determinants of Hotel Booking Cancellations: Evidence from Reservation Analytics</w:t>
            </w:r>
          </w:p>
        </w:tc>
      </w:tr>
      <w:tr>
        <w:tc>
          <w:tcPr>
            <w:tcW w:type="dxa" w:w="4703"/>
            <w:shd w:val="clear" w:color="auto" w:fill="D6EAF8"/>
          </w:tcPr>
          <w:p>
            <w:pPr>
              <w:jc w:val="left"/>
            </w:pPr>
            <w:r/>
            <w:r>
              <w:rPr>
                <w:b/>
                <w:i w:val="0"/>
                <w:sz w:val="20"/>
              </w:rPr>
              <w:t>Author</w:t>
            </w:r>
          </w:p>
        </w:tc>
        <w:tc>
          <w:tcPr>
            <w:tcW w:type="dxa" w:w="4703"/>
            <w:shd w:val="clear" w:color="auto" w:fill="D6EAF8"/>
          </w:tcPr>
          <w:p>
            <w:pPr>
              <w:jc w:val="left"/>
            </w:pPr>
            <w:r/>
            <w:r>
              <w:rPr>
                <w:b w:val="0"/>
                <w:i w:val="0"/>
                <w:sz w:val="20"/>
              </w:rPr>
              <w:t>Dr. Vinay Raj R — Associate Professor, Jain Deemed to be University</w:t>
            </w:r>
          </w:p>
        </w:tc>
      </w:tr>
      <w:tr>
        <w:tc>
          <w:tcPr>
            <w:tcW w:type="dxa" w:w="4703"/>
            <w:shd w:val="clear" w:color="auto" w:fill="EBF5FB"/>
          </w:tcPr>
          <w:p>
            <w:pPr>
              <w:jc w:val="left"/>
            </w:pPr>
            <w:r/>
            <w:r>
              <w:rPr>
                <w:b/>
                <w:i w:val="0"/>
                <w:sz w:val="20"/>
              </w:rPr>
              <w:t>Journal</w:t>
            </w:r>
          </w:p>
        </w:tc>
        <w:tc>
          <w:tcPr>
            <w:tcW w:type="dxa" w:w="4703"/>
            <w:shd w:val="clear" w:color="auto" w:fill="EBF5FB"/>
          </w:tcPr>
          <w:p>
            <w:pPr>
              <w:jc w:val="left"/>
            </w:pPr>
            <w:r/>
            <w:r>
              <w:rPr>
                <w:b w:val="0"/>
                <w:i w:val="0"/>
                <w:sz w:val="20"/>
              </w:rPr>
              <w:t>International Journal for Research in Tourism and Hospitality</w:t>
            </w:r>
          </w:p>
        </w:tc>
      </w:tr>
      <w:tr>
        <w:tc>
          <w:tcPr>
            <w:tcW w:type="dxa" w:w="4703"/>
            <w:shd w:val="clear" w:color="auto" w:fill="D6EAF8"/>
          </w:tcPr>
          <w:p>
            <w:pPr>
              <w:jc w:val="left"/>
            </w:pPr>
            <w:r/>
            <w:r>
              <w:rPr>
                <w:b/>
                <w:i w:val="0"/>
                <w:sz w:val="20"/>
              </w:rPr>
              <w:t>Volume/Issue</w:t>
            </w:r>
          </w:p>
        </w:tc>
        <w:tc>
          <w:tcPr>
            <w:tcW w:type="dxa" w:w="4703"/>
            <w:shd w:val="clear" w:color="auto" w:fill="D6EAF8"/>
          </w:tcPr>
          <w:p>
            <w:pPr>
              <w:jc w:val="left"/>
            </w:pPr>
            <w:r/>
            <w:r>
              <w:rPr>
                <w:b w:val="0"/>
                <w:i w:val="0"/>
                <w:sz w:val="20"/>
              </w:rPr>
              <w:t>Vol. 01, Issue 02 — July 2026</w:t>
            </w:r>
          </w:p>
        </w:tc>
      </w:tr>
      <w:tr>
        <w:tc>
          <w:tcPr>
            <w:tcW w:type="dxa" w:w="4703"/>
            <w:shd w:val="clear" w:color="auto" w:fill="EBF5FB"/>
          </w:tcPr>
          <w:p>
            <w:pPr>
              <w:jc w:val="left"/>
            </w:pPr>
            <w:r/>
            <w:r>
              <w:rPr>
                <w:b/>
                <w:i w:val="0"/>
                <w:sz w:val="20"/>
              </w:rPr>
              <w:t>DOI</w:t>
            </w:r>
          </w:p>
        </w:tc>
        <w:tc>
          <w:tcPr>
            <w:tcW w:type="dxa" w:w="4703"/>
            <w:shd w:val="clear" w:color="auto" w:fill="EBF5FB"/>
          </w:tcPr>
          <w:p>
            <w:pPr>
              <w:jc w:val="left"/>
            </w:pPr>
            <w:r/>
            <w:r>
              <w:rPr>
                <w:b w:val="0"/>
                <w:i w:val="0"/>
                <w:sz w:val="20"/>
              </w:rPr>
              <w:t>10.53555/th.v1i2.2575</w:t>
            </w:r>
          </w:p>
        </w:tc>
      </w:tr>
      <w:tr>
        <w:tc>
          <w:tcPr>
            <w:tcW w:type="dxa" w:w="4703"/>
            <w:shd w:val="clear" w:color="auto" w:fill="D6EAF8"/>
          </w:tcPr>
          <w:p>
            <w:pPr>
              <w:jc w:val="left"/>
            </w:pPr>
            <w:r/>
            <w:r>
              <w:rPr>
                <w:b/>
                <w:i w:val="0"/>
                <w:sz w:val="20"/>
              </w:rPr>
              <w:t>Dataset</w:t>
            </w:r>
          </w:p>
        </w:tc>
        <w:tc>
          <w:tcPr>
            <w:tcW w:type="dxa" w:w="4703"/>
            <w:shd w:val="clear" w:color="auto" w:fill="D6EAF8"/>
          </w:tcPr>
          <w:p>
            <w:pPr>
              <w:jc w:val="left"/>
            </w:pPr>
            <w:r/>
            <w:r>
              <w:rPr>
                <w:b w:val="0"/>
                <w:i w:val="0"/>
                <w:sz w:val="20"/>
              </w:rPr>
              <w:t>hotel_bookings_updated_2024.csv  (Bedmutha, K. S., 2025, Kaggle)</w:t>
            </w:r>
          </w:p>
        </w:tc>
      </w:tr>
      <w:tr>
        <w:tc>
          <w:tcPr>
            <w:tcW w:type="dxa" w:w="4703"/>
            <w:shd w:val="clear" w:color="auto" w:fill="EBF5FB"/>
          </w:tcPr>
          <w:p>
            <w:pPr>
              <w:jc w:val="left"/>
            </w:pPr>
            <w:r/>
            <w:r>
              <w:rPr>
                <w:b/>
                <w:i w:val="0"/>
                <w:sz w:val="20"/>
              </w:rPr>
              <w:t>Sample Size</w:t>
            </w:r>
          </w:p>
        </w:tc>
        <w:tc>
          <w:tcPr>
            <w:tcW w:type="dxa" w:w="4703"/>
            <w:shd w:val="clear" w:color="auto" w:fill="EBF5FB"/>
          </w:tcPr>
          <w:p>
            <w:pPr>
              <w:jc w:val="left"/>
            </w:pPr>
            <w:r/>
            <w:r>
              <w:rPr>
                <w:b w:val="0"/>
                <w:i w:val="0"/>
                <w:sz w:val="20"/>
              </w:rPr>
              <w:t>118,559 reservations after cleaning (44,224 canceled / 74,335 non-canceled)</w:t>
            </w:r>
          </w:p>
        </w:tc>
      </w:tr>
    </w:tbl>
    <w:p>
      <w:r>
        <w:br w:type="page"/>
      </w:r>
    </w:p>
    <w:p>
      <w:pPr>
        <w:pStyle w:val="Heading1"/>
      </w:pPr>
      <w:r>
        <w:rPr>
          <w:b/>
          <w:color w:val="1B3A5C"/>
          <w:sz w:val="32"/>
        </w:rPr>
        <w:t>3.  Research Paper: Model Analysis (Home Task 1)</w:t>
      </w:r>
    </w:p>
    <w:p>
      <w:r>
        <w:rPr>
          <w:b w:val="0"/>
          <w:i w:val="0"/>
          <w:sz w:val="21"/>
        </w:rPr>
        <w:t>The research paper employs Binary Logistic Regression with standardised continuous predictors and categorical dummy encoding to model the probability of hotel booking cancellation. The full-sample ROC-AUC reported is 0.850 and McFadden Pseudo-R² = 0.338.</w:t>
      </w:r>
    </w:p>
    <w:p/>
    <w:p>
      <w:pPr>
        <w:pStyle w:val="Heading2"/>
      </w:pPr>
      <w:r>
        <w:rPr>
          <w:b/>
          <w:color w:val="1B3A5C"/>
          <w:sz w:val="26"/>
        </w:rPr>
        <w:t>3.1  Key Risk &amp; Protective Factors  (Table 4 in Paper)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3A5C"/>
          </w:tcPr>
          <w:p>
            <w:pPr>
              <w:jc w:val="center"/>
            </w:pPr>
            <w:r/>
            <w:r>
              <w:rPr>
                <w:b/>
                <w:i w:val="0"/>
                <w:color w:val="FFFFFF"/>
                <w:sz w:val="20"/>
              </w:rPr>
              <w:t>Factor</w:t>
            </w:r>
          </w:p>
        </w:tc>
        <w:tc>
          <w:tcPr>
            <w:tcW w:type="dxa" w:w="3135"/>
            <w:shd w:val="clear" w:color="auto" w:fill="1B3A5C"/>
          </w:tcPr>
          <w:p>
            <w:pPr>
              <w:jc w:val="center"/>
            </w:pPr>
            <w:r/>
            <w:r>
              <w:rPr>
                <w:b/>
                <w:i w:val="0"/>
                <w:color w:val="FFFFFF"/>
                <w:sz w:val="20"/>
              </w:rPr>
              <w:t>Odds Ratio  (eᴮ)</w:t>
            </w:r>
          </w:p>
        </w:tc>
        <w:tc>
          <w:tcPr>
            <w:tcW w:type="dxa" w:w="3135"/>
            <w:shd w:val="clear" w:color="auto" w:fill="1B3A5C"/>
          </w:tcPr>
          <w:p>
            <w:pPr>
              <w:jc w:val="center"/>
            </w:pPr>
            <w:r/>
            <w:r>
              <w:rPr>
                <w:b/>
                <w:i w:val="0"/>
                <w:color w:val="FFFFFF"/>
                <w:sz w:val="20"/>
              </w:rPr>
              <w:t>Interpretation</w:t>
            </w:r>
          </w:p>
        </w:tc>
      </w:tr>
      <w:tr>
        <w:tc>
          <w:tcPr>
            <w:tcW w:type="dxa" w:w="3135"/>
            <w:shd w:val="clear" w:color="auto" w:fill="FDEDEC"/>
          </w:tcPr>
          <w:p>
            <w:pPr>
              <w:jc w:val="left"/>
            </w:pPr>
            <w:r/>
            <w:r>
              <w:rPr>
                <w:b w:val="0"/>
                <w:i w:val="0"/>
                <w:sz w:val="19"/>
              </w:rPr>
              <w:t>Non-Refundable Deposit</w:t>
            </w:r>
          </w:p>
        </w:tc>
        <w:tc>
          <w:tcPr>
            <w:tcW w:type="dxa" w:w="3135"/>
            <w:shd w:val="clear" w:color="auto" w:fill="FDEDEC"/>
          </w:tcPr>
          <w:p>
            <w:pPr>
              <w:jc w:val="left"/>
            </w:pPr>
            <w:r/>
            <w:r>
              <w:rPr>
                <w:b w:val="0"/>
                <w:i w:val="0"/>
                <w:sz w:val="19"/>
              </w:rPr>
              <w:t>235.623</w:t>
            </w:r>
          </w:p>
        </w:tc>
        <w:tc>
          <w:tcPr>
            <w:tcW w:type="dxa" w:w="3135"/>
            <w:shd w:val="clear" w:color="auto" w:fill="FDEDEC"/>
          </w:tcPr>
          <w:p>
            <w:pPr>
              <w:jc w:val="left"/>
            </w:pPr>
            <w:r/>
            <w:r>
              <w:rPr>
                <w:b w:val="0"/>
                <w:i w:val="0"/>
                <w:sz w:val="19"/>
              </w:rPr>
              <w:t>Risk — Highest predictor of cancellation</w:t>
            </w:r>
          </w:p>
        </w:tc>
      </w:tr>
      <w:tr>
        <w:tc>
          <w:tcPr>
            <w:tcW w:type="dxa" w:w="3135"/>
            <w:shd w:val="clear" w:color="auto" w:fill="FDEDEC"/>
          </w:tcPr>
          <w:p>
            <w:pPr>
              <w:jc w:val="left"/>
            </w:pPr>
            <w:r/>
            <w:r>
              <w:rPr>
                <w:b w:val="0"/>
                <w:i w:val="0"/>
                <w:sz w:val="19"/>
              </w:rPr>
              <w:t>Previous Cancellations</w:t>
            </w:r>
          </w:p>
        </w:tc>
        <w:tc>
          <w:tcPr>
            <w:tcW w:type="dxa" w:w="3135"/>
            <w:shd w:val="clear" w:color="auto" w:fill="FDEDEC"/>
          </w:tcPr>
          <w:p>
            <w:pPr>
              <w:jc w:val="left"/>
            </w:pPr>
            <w:r/>
            <w:r>
              <w:rPr>
                <w:b w:val="0"/>
                <w:i w:val="0"/>
                <w:sz w:val="19"/>
              </w:rPr>
              <w:t>9.432</w:t>
            </w:r>
          </w:p>
        </w:tc>
        <w:tc>
          <w:tcPr>
            <w:tcW w:type="dxa" w:w="3135"/>
            <w:shd w:val="clear" w:color="auto" w:fill="FDEDEC"/>
          </w:tcPr>
          <w:p>
            <w:pPr>
              <w:jc w:val="left"/>
            </w:pPr>
            <w:r/>
            <w:r>
              <w:rPr>
                <w:b w:val="0"/>
                <w:i w:val="0"/>
                <w:sz w:val="19"/>
              </w:rPr>
              <w:t>Risk — Repeat cancellers 9× more likely to cancel</w:t>
            </w:r>
          </w:p>
        </w:tc>
      </w:tr>
      <w:tr>
        <w:tc>
          <w:tcPr>
            <w:tcW w:type="dxa" w:w="3135"/>
            <w:shd w:val="clear" w:color="auto" w:fill="FDEDEC"/>
          </w:tcPr>
          <w:p>
            <w:pPr>
              <w:jc w:val="left"/>
            </w:pPr>
            <w:r/>
            <w:r>
              <w:rPr>
                <w:b w:val="0"/>
                <w:i w:val="0"/>
                <w:sz w:val="19"/>
              </w:rPr>
              <w:t>Online Travel Agency (Market Seg.)</w:t>
            </w:r>
          </w:p>
        </w:tc>
        <w:tc>
          <w:tcPr>
            <w:tcW w:type="dxa" w:w="3135"/>
            <w:shd w:val="clear" w:color="auto" w:fill="FDEDEC"/>
          </w:tcPr>
          <w:p>
            <w:pPr>
              <w:jc w:val="left"/>
            </w:pPr>
            <w:r/>
            <w:r>
              <w:rPr>
                <w:b w:val="0"/>
                <w:i w:val="0"/>
                <w:sz w:val="19"/>
              </w:rPr>
              <w:t>2.352</w:t>
            </w:r>
          </w:p>
        </w:tc>
        <w:tc>
          <w:tcPr>
            <w:tcW w:type="dxa" w:w="3135"/>
            <w:shd w:val="clear" w:color="auto" w:fill="FDEDEC"/>
          </w:tcPr>
          <w:p>
            <w:pPr>
              <w:jc w:val="left"/>
            </w:pPr>
            <w:r/>
            <w:r>
              <w:rPr>
                <w:b w:val="0"/>
                <w:i w:val="0"/>
                <w:sz w:val="19"/>
              </w:rPr>
              <w:t>Risk — OTA bookings less committed</w:t>
            </w:r>
          </w:p>
        </w:tc>
      </w:tr>
      <w:tr>
        <w:tc>
          <w:tcPr>
            <w:tcW w:type="dxa" w:w="3135"/>
            <w:shd w:val="clear" w:color="auto" w:fill="FDEDEC"/>
          </w:tcPr>
          <w:p>
            <w:pPr>
              <w:jc w:val="left"/>
            </w:pPr>
            <w:r/>
            <w:r>
              <w:rPr>
                <w:b w:val="0"/>
                <w:i w:val="0"/>
                <w:sz w:val="19"/>
              </w:rPr>
              <w:t>Transient Customer Type</w:t>
            </w:r>
          </w:p>
        </w:tc>
        <w:tc>
          <w:tcPr>
            <w:tcW w:type="dxa" w:w="3135"/>
            <w:shd w:val="clear" w:color="auto" w:fill="FDEDEC"/>
          </w:tcPr>
          <w:p>
            <w:pPr>
              <w:jc w:val="left"/>
            </w:pPr>
            <w:r/>
            <w:r>
              <w:rPr>
                <w:b w:val="0"/>
                <w:i w:val="0"/>
                <w:sz w:val="19"/>
              </w:rPr>
              <w:t>2.313</w:t>
            </w:r>
          </w:p>
        </w:tc>
        <w:tc>
          <w:tcPr>
            <w:tcW w:type="dxa" w:w="3135"/>
            <w:shd w:val="clear" w:color="auto" w:fill="FDEDEC"/>
          </w:tcPr>
          <w:p>
            <w:pPr>
              <w:jc w:val="left"/>
            </w:pPr>
            <w:r/>
            <w:r>
              <w:rPr>
                <w:b w:val="0"/>
                <w:i w:val="0"/>
                <w:sz w:val="19"/>
              </w:rPr>
              <w:t>Risk — Individual travellers more likely to cancel</w:t>
            </w:r>
          </w:p>
        </w:tc>
      </w:tr>
      <w:tr>
        <w:tc>
          <w:tcPr>
            <w:tcW w:type="dxa" w:w="3135"/>
            <w:shd w:val="clear" w:color="auto" w:fill="FDEDEC"/>
          </w:tcPr>
          <w:p>
            <w:pPr>
              <w:jc w:val="left"/>
            </w:pPr>
            <w:r/>
            <w:r>
              <w:rPr>
                <w:b w:val="0"/>
                <w:i w:val="0"/>
                <w:sz w:val="19"/>
              </w:rPr>
              <w:t>Lead Time (+1σ)</w:t>
            </w:r>
          </w:p>
        </w:tc>
        <w:tc>
          <w:tcPr>
            <w:tcW w:type="dxa" w:w="3135"/>
            <w:shd w:val="clear" w:color="auto" w:fill="FDEDEC"/>
          </w:tcPr>
          <w:p>
            <w:pPr>
              <w:jc w:val="left"/>
            </w:pPr>
            <w:r/>
            <w:r>
              <w:rPr>
                <w:b w:val="0"/>
                <w:i w:val="0"/>
                <w:sz w:val="19"/>
              </w:rPr>
              <w:t>1.491</w:t>
            </w:r>
          </w:p>
        </w:tc>
        <w:tc>
          <w:tcPr>
            <w:tcW w:type="dxa" w:w="3135"/>
            <w:shd w:val="clear" w:color="auto" w:fill="FDEDEC"/>
          </w:tcPr>
          <w:p>
            <w:pPr>
              <w:jc w:val="left"/>
            </w:pPr>
            <w:r/>
            <w:r>
              <w:rPr>
                <w:b w:val="0"/>
                <w:i w:val="0"/>
                <w:sz w:val="19"/>
              </w:rPr>
              <w:t>Risk — Longer advance bookings riskier</w:t>
            </w:r>
          </w:p>
        </w:tc>
      </w:tr>
      <w:tr>
        <w:tc>
          <w:tcPr>
            <w:tcW w:type="dxa" w:w="3135"/>
            <w:shd w:val="clear" w:color="auto" w:fill="FDEDEC"/>
          </w:tcPr>
          <w:p>
            <w:pPr>
              <w:jc w:val="left"/>
            </w:pPr>
            <w:r/>
            <w:r>
              <w:rPr>
                <w:b w:val="0"/>
                <w:i w:val="0"/>
                <w:sz w:val="19"/>
              </w:rPr>
              <w:t>Average Daily Rate (+1σ)</w:t>
            </w:r>
          </w:p>
        </w:tc>
        <w:tc>
          <w:tcPr>
            <w:tcW w:type="dxa" w:w="3135"/>
            <w:shd w:val="clear" w:color="auto" w:fill="FDEDEC"/>
          </w:tcPr>
          <w:p>
            <w:pPr>
              <w:jc w:val="left"/>
            </w:pPr>
            <w:r/>
            <w:r>
              <w:rPr>
                <w:b w:val="0"/>
                <w:i w:val="0"/>
                <w:sz w:val="19"/>
              </w:rPr>
              <w:t>1.129</w:t>
            </w:r>
          </w:p>
        </w:tc>
        <w:tc>
          <w:tcPr>
            <w:tcW w:type="dxa" w:w="3135"/>
            <w:shd w:val="clear" w:color="auto" w:fill="FDEDEC"/>
          </w:tcPr>
          <w:p>
            <w:pPr>
              <w:jc w:val="left"/>
            </w:pPr>
            <w:r/>
            <w:r>
              <w:rPr>
                <w:b w:val="0"/>
                <w:i w:val="0"/>
                <w:sz w:val="19"/>
              </w:rPr>
              <w:t>Risk — Higher rates see more cancellations</w:t>
            </w:r>
          </w:p>
        </w:tc>
      </w:tr>
      <w:tr>
        <w:tc>
          <w:tcPr>
            <w:tcW w:type="dxa" w:w="3135"/>
            <w:shd w:val="clear" w:color="auto" w:fill="EAFAF1"/>
          </w:tcPr>
          <w:p>
            <w:pPr>
              <w:jc w:val="left"/>
            </w:pPr>
            <w:r/>
            <w:r>
              <w:rPr>
                <w:b w:val="0"/>
                <w:i w:val="0"/>
                <w:sz w:val="19"/>
              </w:rPr>
              <w:t>Room Mismatch (Assigned ≠ Reserved)</w:t>
            </w:r>
          </w:p>
        </w:tc>
        <w:tc>
          <w:tcPr>
            <w:tcW w:type="dxa" w:w="3135"/>
            <w:shd w:val="clear" w:color="auto" w:fill="EAFAF1"/>
          </w:tcPr>
          <w:p>
            <w:pPr>
              <w:jc w:val="left"/>
            </w:pPr>
            <w:r/>
            <w:r>
              <w:rPr>
                <w:b w:val="0"/>
                <w:i w:val="0"/>
                <w:sz w:val="19"/>
              </w:rPr>
              <w:t>0.164</w:t>
            </w:r>
          </w:p>
        </w:tc>
        <w:tc>
          <w:tcPr>
            <w:tcW w:type="dxa" w:w="3135"/>
            <w:shd w:val="clear" w:color="auto" w:fill="EAFAF1"/>
          </w:tcPr>
          <w:p>
            <w:pPr>
              <w:jc w:val="left"/>
            </w:pPr>
            <w:r/>
            <w:r>
              <w:rPr>
                <w:b w:val="0"/>
                <w:i w:val="0"/>
                <w:sz w:val="19"/>
              </w:rPr>
              <w:t>Protective — Guests accepting diff. room stay</w:t>
            </w:r>
          </w:p>
        </w:tc>
      </w:tr>
      <w:tr>
        <w:tc>
          <w:tcPr>
            <w:tcW w:type="dxa" w:w="3135"/>
            <w:shd w:val="clear" w:color="auto" w:fill="EAFAF1"/>
          </w:tcPr>
          <w:p>
            <w:pPr>
              <w:jc w:val="left"/>
            </w:pPr>
            <w:r/>
            <w:r>
              <w:rPr>
                <w:b w:val="0"/>
                <w:i w:val="0"/>
                <w:sz w:val="19"/>
              </w:rPr>
              <w:t>Previous Non-Cancelled Bookings</w:t>
            </w:r>
          </w:p>
        </w:tc>
        <w:tc>
          <w:tcPr>
            <w:tcW w:type="dxa" w:w="3135"/>
            <w:shd w:val="clear" w:color="auto" w:fill="EAFAF1"/>
          </w:tcPr>
          <w:p>
            <w:pPr>
              <w:jc w:val="left"/>
            </w:pPr>
            <w:r/>
            <w:r>
              <w:rPr>
                <w:b w:val="0"/>
                <w:i w:val="0"/>
                <w:sz w:val="19"/>
              </w:rPr>
              <w:t>0.477</w:t>
            </w:r>
          </w:p>
        </w:tc>
        <w:tc>
          <w:tcPr>
            <w:tcW w:type="dxa" w:w="3135"/>
            <w:shd w:val="clear" w:color="auto" w:fill="EAFAF1"/>
          </w:tcPr>
          <w:p>
            <w:pPr>
              <w:jc w:val="left"/>
            </w:pPr>
            <w:r/>
            <w:r>
              <w:rPr>
                <w:b w:val="0"/>
                <w:i w:val="0"/>
                <w:sz w:val="19"/>
              </w:rPr>
              <w:t>Protective — Loyal, reliable guests</w:t>
            </w:r>
          </w:p>
        </w:tc>
      </w:tr>
      <w:tr>
        <w:tc>
          <w:tcPr>
            <w:tcW w:type="dxa" w:w="3135"/>
            <w:shd w:val="clear" w:color="auto" w:fill="EAFAF1"/>
          </w:tcPr>
          <w:p>
            <w:pPr>
              <w:jc w:val="left"/>
            </w:pPr>
            <w:r/>
            <w:r>
              <w:rPr>
                <w:b w:val="0"/>
                <w:i w:val="0"/>
                <w:sz w:val="19"/>
              </w:rPr>
              <w:t>Special Requests Count</w:t>
            </w:r>
          </w:p>
        </w:tc>
        <w:tc>
          <w:tcPr>
            <w:tcW w:type="dxa" w:w="3135"/>
            <w:shd w:val="clear" w:color="auto" w:fill="EAFAF1"/>
          </w:tcPr>
          <w:p>
            <w:pPr>
              <w:jc w:val="left"/>
            </w:pPr>
            <w:r/>
            <w:r>
              <w:rPr>
                <w:b w:val="0"/>
                <w:i w:val="0"/>
                <w:sz w:val="19"/>
              </w:rPr>
              <w:t>0.568</w:t>
            </w:r>
          </w:p>
        </w:tc>
        <w:tc>
          <w:tcPr>
            <w:tcW w:type="dxa" w:w="3135"/>
            <w:shd w:val="clear" w:color="auto" w:fill="EAFAF1"/>
          </w:tcPr>
          <w:p>
            <w:pPr>
              <w:jc w:val="left"/>
            </w:pPr>
            <w:r/>
            <w:r>
              <w:rPr>
                <w:b w:val="0"/>
                <w:i w:val="0"/>
                <w:sz w:val="19"/>
              </w:rPr>
              <w:t>Protective — Engaged guests less likely to cancel</w:t>
            </w:r>
          </w:p>
        </w:tc>
      </w:tr>
      <w:tr>
        <w:tc>
          <w:tcPr>
            <w:tcW w:type="dxa" w:w="3135"/>
            <w:shd w:val="clear" w:color="auto" w:fill="EAFAF1"/>
          </w:tcPr>
          <w:p>
            <w:pPr>
              <w:jc w:val="left"/>
            </w:pPr>
            <w:r/>
            <w:r>
              <w:rPr>
                <w:b w:val="0"/>
                <w:i w:val="0"/>
                <w:sz w:val="19"/>
              </w:rPr>
              <w:t>Repeated Guest Status</w:t>
            </w:r>
          </w:p>
        </w:tc>
        <w:tc>
          <w:tcPr>
            <w:tcW w:type="dxa" w:w="3135"/>
            <w:shd w:val="clear" w:color="auto" w:fill="EAFAF1"/>
          </w:tcPr>
          <w:p>
            <w:pPr>
              <w:jc w:val="left"/>
            </w:pPr>
            <w:r/>
            <w:r>
              <w:rPr>
                <w:b w:val="0"/>
                <w:i w:val="0"/>
                <w:sz w:val="19"/>
              </w:rPr>
              <w:t>0.563</w:t>
            </w:r>
          </w:p>
        </w:tc>
        <w:tc>
          <w:tcPr>
            <w:tcW w:type="dxa" w:w="3135"/>
            <w:shd w:val="clear" w:color="auto" w:fill="EAFAF1"/>
          </w:tcPr>
          <w:p>
            <w:pPr>
              <w:jc w:val="left"/>
            </w:pPr>
            <w:r/>
            <w:r>
              <w:rPr>
                <w:b w:val="0"/>
                <w:i w:val="0"/>
                <w:sz w:val="19"/>
              </w:rPr>
              <w:t>Protective — Returning customers are loyal</w:t>
            </w:r>
          </w:p>
        </w:tc>
      </w:tr>
      <w:tr>
        <w:tc>
          <w:tcPr>
            <w:tcW w:type="dxa" w:w="3135"/>
            <w:shd w:val="clear" w:color="auto" w:fill="EAFAF1"/>
          </w:tcPr>
          <w:p>
            <w:pPr>
              <w:jc w:val="left"/>
            </w:pPr>
            <w:r/>
            <w:r>
              <w:rPr>
                <w:b w:val="0"/>
                <w:i w:val="0"/>
                <w:sz w:val="19"/>
              </w:rPr>
              <w:t>Booking Changes</w:t>
            </w:r>
          </w:p>
        </w:tc>
        <w:tc>
          <w:tcPr>
            <w:tcW w:type="dxa" w:w="3135"/>
            <w:shd w:val="clear" w:color="auto" w:fill="EAFAF1"/>
          </w:tcPr>
          <w:p>
            <w:pPr>
              <w:jc w:val="left"/>
            </w:pPr>
            <w:r/>
            <w:r>
              <w:rPr>
                <w:b w:val="0"/>
                <w:i w:val="0"/>
                <w:sz w:val="19"/>
              </w:rPr>
              <w:t>0.790</w:t>
            </w:r>
          </w:p>
        </w:tc>
        <w:tc>
          <w:tcPr>
            <w:tcW w:type="dxa" w:w="3135"/>
            <w:shd w:val="clear" w:color="auto" w:fill="EAFAF1"/>
          </w:tcPr>
          <w:p>
            <w:pPr>
              <w:jc w:val="left"/>
            </w:pPr>
            <w:r/>
            <w:r>
              <w:rPr>
                <w:b w:val="0"/>
                <w:i w:val="0"/>
                <w:sz w:val="19"/>
              </w:rPr>
              <w:t>Protective — Flexibility reduces cancellation</w:t>
            </w:r>
          </w:p>
        </w:tc>
      </w:tr>
      <w:tr>
        <w:tc>
          <w:tcPr>
            <w:tcW w:type="dxa" w:w="3135"/>
            <w:shd w:val="clear" w:color="auto" w:fill="EAFAF1"/>
          </w:tcPr>
          <w:p>
            <w:pPr>
              <w:jc w:val="left"/>
            </w:pPr>
            <w:r/>
            <w:r>
              <w:rPr>
                <w:b w:val="0"/>
                <w:i w:val="0"/>
                <w:sz w:val="19"/>
              </w:rPr>
              <w:t>Resort Hotel (vs City Hotel)</w:t>
            </w:r>
          </w:p>
        </w:tc>
        <w:tc>
          <w:tcPr>
            <w:tcW w:type="dxa" w:w="3135"/>
            <w:shd w:val="clear" w:color="auto" w:fill="EAFAF1"/>
          </w:tcPr>
          <w:p>
            <w:pPr>
              <w:jc w:val="left"/>
            </w:pPr>
            <w:r/>
            <w:r>
              <w:rPr>
                <w:b w:val="0"/>
                <w:i w:val="0"/>
                <w:sz w:val="19"/>
              </w:rPr>
              <w:t>0.934</w:t>
            </w:r>
          </w:p>
        </w:tc>
        <w:tc>
          <w:tcPr>
            <w:tcW w:type="dxa" w:w="3135"/>
            <w:shd w:val="clear" w:color="auto" w:fill="EAFAF1"/>
          </w:tcPr>
          <w:p>
            <w:pPr>
              <w:jc w:val="left"/>
            </w:pPr>
            <w:r/>
            <w:r>
              <w:rPr>
                <w:b w:val="0"/>
                <w:i w:val="0"/>
                <w:sz w:val="19"/>
              </w:rPr>
              <w:t>Protective — Resort bookings are more stable</w:t>
            </w:r>
          </w:p>
        </w:tc>
      </w:tr>
    </w:tbl>
    <w:p/>
    <w:p>
      <w:r>
        <w:rPr>
          <w:b w:val="0"/>
          <w:i/>
          <w:sz w:val="21"/>
        </w:rPr>
        <w:t>Red rows = Risk factors (OR &gt; 1.0)     Green rows = Protective factors (OR &lt; 1.0)</w:t>
      </w:r>
    </w:p>
    <w:p>
      <w:r>
        <w:br w:type="page"/>
      </w:r>
    </w:p>
    <w:p>
      <w:pPr>
        <w:pStyle w:val="Heading1"/>
      </w:pPr>
      <w:r>
        <w:rPr>
          <w:b/>
          <w:color w:val="1B3A5C"/>
          <w:sz w:val="32"/>
        </w:rPr>
        <w:t>4.  Model Comparison &amp; Scenario Identification (Home Task 2)</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3A5C"/>
          </w:tcPr>
          <w:p>
            <w:pPr>
              <w:jc w:val="center"/>
            </w:pPr>
            <w:r/>
            <w:r>
              <w:rPr>
                <w:b/>
                <w:i w:val="0"/>
                <w:color w:val="FFFFFF"/>
                <w:sz w:val="20"/>
              </w:rPr>
              <w:t>Item</w:t>
            </w:r>
          </w:p>
        </w:tc>
        <w:tc>
          <w:tcPr>
            <w:tcW w:type="dxa" w:w="4703"/>
            <w:shd w:val="clear" w:color="auto" w:fill="1B3A5C"/>
          </w:tcPr>
          <w:p>
            <w:pPr>
              <w:jc w:val="center"/>
            </w:pPr>
            <w:r/>
            <w:r>
              <w:rPr>
                <w:b/>
                <w:i w:val="0"/>
                <w:color w:val="FFFFFF"/>
                <w:sz w:val="20"/>
              </w:rPr>
              <w:t>Detail</w:t>
            </w:r>
          </w:p>
        </w:tc>
      </w:tr>
      <w:tr>
        <w:tc>
          <w:tcPr>
            <w:tcW w:type="dxa" w:w="4703"/>
            <w:shd w:val="clear" w:color="auto" w:fill="EBF5FB"/>
          </w:tcPr>
          <w:p>
            <w:pPr>
              <w:jc w:val="left"/>
            </w:pPr>
            <w:r/>
            <w:r>
              <w:rPr>
                <w:b/>
                <w:i w:val="0"/>
                <w:sz w:val="20"/>
              </w:rPr>
              <w:t>Model in Research Paper</w:t>
            </w:r>
          </w:p>
        </w:tc>
        <w:tc>
          <w:tcPr>
            <w:tcW w:type="dxa" w:w="4703"/>
            <w:shd w:val="clear" w:color="auto" w:fill="EBF5FB"/>
          </w:tcPr>
          <w:p>
            <w:pPr>
              <w:jc w:val="left"/>
            </w:pPr>
            <w:r/>
            <w:r>
              <w:rPr>
                <w:b w:val="0"/>
                <w:i w:val="0"/>
                <w:sz w:val="20"/>
              </w:rPr>
              <w:t>Binary Logistic Regression</w:t>
            </w:r>
          </w:p>
        </w:tc>
      </w:tr>
      <w:tr>
        <w:tc>
          <w:tcPr>
            <w:tcW w:type="dxa" w:w="4703"/>
            <w:shd w:val="clear" w:color="auto" w:fill="D6EAF8"/>
          </w:tcPr>
          <w:p>
            <w:pPr>
              <w:jc w:val="left"/>
            </w:pPr>
            <w:r/>
            <w:r>
              <w:rPr>
                <w:b/>
                <w:i w:val="0"/>
                <w:sz w:val="20"/>
              </w:rPr>
              <w:t>Lab Model 1</w:t>
            </w:r>
          </w:p>
        </w:tc>
        <w:tc>
          <w:tcPr>
            <w:tcW w:type="dxa" w:w="4703"/>
            <w:shd w:val="clear" w:color="auto" w:fill="D6EAF8"/>
          </w:tcPr>
          <w:p>
            <w:pPr>
              <w:jc w:val="left"/>
            </w:pPr>
            <w:r/>
            <w:r>
              <w:rPr>
                <w:b/>
                <w:i w:val="0"/>
                <w:color w:val="1E8449"/>
                <w:sz w:val="20"/>
              </w:rPr>
              <w:t>Logistic Regression  →  MATCH  (Scenario A triggered)</w:t>
            </w:r>
          </w:p>
        </w:tc>
      </w:tr>
      <w:tr>
        <w:tc>
          <w:tcPr>
            <w:tcW w:type="dxa" w:w="4703"/>
            <w:shd w:val="clear" w:color="auto" w:fill="EBF5FB"/>
          </w:tcPr>
          <w:p>
            <w:pPr>
              <w:jc w:val="left"/>
            </w:pPr>
            <w:r/>
            <w:r>
              <w:rPr>
                <w:b/>
                <w:i w:val="0"/>
                <w:sz w:val="20"/>
              </w:rPr>
              <w:t>Lab Model 2</w:t>
            </w:r>
          </w:p>
        </w:tc>
        <w:tc>
          <w:tcPr>
            <w:tcW w:type="dxa" w:w="4703"/>
            <w:shd w:val="clear" w:color="auto" w:fill="EBF5FB"/>
          </w:tcPr>
          <w:p>
            <w:pPr>
              <w:jc w:val="left"/>
            </w:pPr>
            <w:r/>
            <w:r>
              <w:rPr>
                <w:b w:val="0"/>
                <w:i w:val="0"/>
                <w:sz w:val="20"/>
              </w:rPr>
              <w:t>Random Forest Classifier  →  Ensemble Benchmark (Extended Analysis)</w:t>
            </w:r>
          </w:p>
        </w:tc>
      </w:tr>
      <w:tr>
        <w:tc>
          <w:tcPr>
            <w:tcW w:type="dxa" w:w="4703"/>
            <w:shd w:val="clear" w:color="auto" w:fill="D6EAF8"/>
          </w:tcPr>
          <w:p>
            <w:pPr>
              <w:jc w:val="left"/>
            </w:pPr>
            <w:r/>
            <w:r>
              <w:rPr>
                <w:b/>
                <w:i w:val="0"/>
                <w:sz w:val="20"/>
              </w:rPr>
              <w:t>Outcome</w:t>
            </w:r>
          </w:p>
        </w:tc>
        <w:tc>
          <w:tcPr>
            <w:tcW w:type="dxa" w:w="4703"/>
            <w:shd w:val="clear" w:color="auto" w:fill="D6EAF8"/>
          </w:tcPr>
          <w:p>
            <w:pPr>
              <w:jc w:val="left"/>
            </w:pPr>
            <w:r/>
            <w:r>
              <w:rPr>
                <w:b w:val="0"/>
                <w:i w:val="0"/>
                <w:sz w:val="20"/>
              </w:rPr>
              <w:t>Scenario A: Reproduce Logistic Regression and benchmark against paper results</w:t>
            </w:r>
          </w:p>
        </w:tc>
      </w:tr>
    </w:tbl>
    <w:p>
      <w:r>
        <w:br w:type="page"/>
      </w:r>
    </w:p>
    <w:p>
      <w:pPr>
        <w:pStyle w:val="Heading1"/>
      </w:pPr>
      <w:r>
        <w:rPr>
          <w:b/>
          <w:color w:val="1B3A5C"/>
          <w:sz w:val="32"/>
        </w:rPr>
        <w:t>5.  Scenario A — Benchmark Results &amp; Comparison (Home Task 3)</w:t>
      </w:r>
    </w:p>
    <w:p>
      <w:r>
        <w:rPr>
          <w:b w:val="0"/>
          <w:i w:val="0"/>
          <w:sz w:val="21"/>
        </w:rPr>
        <w:t>The table below compares the performance metrics reported in the research paper (Table 5, Dr. Vinay Raj R, 2026) against our reproduced Logistic Regression and the extended Random Forest model. Both models were evaluated on a stratified 80/20 train/test split with random_state=42.</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3A5C"/>
          </w:tcPr>
          <w:p>
            <w:pPr>
              <w:jc w:val="center"/>
            </w:pPr>
            <w:r/>
            <w:r>
              <w:rPr>
                <w:b/>
                <w:i w:val="0"/>
                <w:color w:val="FFFFFF"/>
                <w:sz w:val="19"/>
              </w:rPr>
              <w:t>Evaluation Metric</w:t>
            </w:r>
          </w:p>
        </w:tc>
        <w:tc>
          <w:tcPr>
            <w:tcW w:type="dxa" w:w="2351"/>
            <w:shd w:val="clear" w:color="auto" w:fill="A04000"/>
          </w:tcPr>
          <w:p>
            <w:pPr>
              <w:jc w:val="center"/>
            </w:pPr>
            <w:r/>
            <w:r>
              <w:rPr>
                <w:b/>
                <w:i w:val="0"/>
                <w:color w:val="FFFFFF"/>
                <w:sz w:val="19"/>
              </w:rPr>
              <w:t>Research Paper</w:t>
              <w:br/>
              <w:t>(Dr. Vinay Raj R, 2026)</w:t>
            </w:r>
          </w:p>
        </w:tc>
        <w:tc>
          <w:tcPr>
            <w:tcW w:type="dxa" w:w="2351"/>
            <w:shd w:val="clear" w:color="auto" w:fill="154360"/>
          </w:tcPr>
          <w:p>
            <w:pPr>
              <w:jc w:val="center"/>
            </w:pPr>
            <w:r/>
            <w:r>
              <w:rPr>
                <w:b/>
                <w:i w:val="0"/>
                <w:color w:val="FFFFFF"/>
                <w:sz w:val="19"/>
              </w:rPr>
              <w:t>Our Logistic Regression</w:t>
              <w:br/>
              <w:t>(Scenario A)</w:t>
            </w:r>
          </w:p>
        </w:tc>
        <w:tc>
          <w:tcPr>
            <w:tcW w:type="dxa" w:w="2351"/>
            <w:shd w:val="clear" w:color="auto" w:fill="145A32"/>
          </w:tcPr>
          <w:p>
            <w:pPr>
              <w:jc w:val="center"/>
            </w:pPr>
            <w:r/>
            <w:r>
              <w:rPr>
                <w:b/>
                <w:i w:val="0"/>
                <w:color w:val="FFFFFF"/>
                <w:sz w:val="19"/>
              </w:rPr>
              <w:t>Our Random Forest</w:t>
              <w:br/>
              <w:t>(Ensemble Benchmark)</w:t>
            </w:r>
          </w:p>
        </w:tc>
      </w:tr>
      <w:tr>
        <w:tc>
          <w:tcPr>
            <w:tcW w:type="dxa" w:w="2351"/>
            <w:shd w:val="clear" w:color="auto" w:fill="FDFDFD"/>
          </w:tcPr>
          <w:p>
            <w:pPr>
              <w:jc w:val="center"/>
            </w:pPr>
            <w:r/>
            <w:r>
              <w:rPr>
                <w:b/>
                <w:i w:val="0"/>
                <w:sz w:val="20"/>
              </w:rPr>
              <w:t>Accuracy</w:t>
            </w:r>
          </w:p>
        </w:tc>
        <w:tc>
          <w:tcPr>
            <w:tcW w:type="dxa" w:w="2351"/>
            <w:shd w:val="clear" w:color="auto" w:fill="FDFDFD"/>
          </w:tcPr>
          <w:p>
            <w:pPr>
              <w:jc w:val="center"/>
            </w:pPr>
            <w:r/>
            <w:r>
              <w:rPr>
                <w:b w:val="0"/>
                <w:i w:val="0"/>
                <w:sz w:val="20"/>
              </w:rPr>
              <w:t>81.62 %</w:t>
            </w:r>
          </w:p>
        </w:tc>
        <w:tc>
          <w:tcPr>
            <w:tcW w:type="dxa" w:w="2351"/>
            <w:shd w:val="clear" w:color="auto" w:fill="FDFDFD"/>
          </w:tcPr>
          <w:p>
            <w:pPr>
              <w:jc w:val="center"/>
            </w:pPr>
            <w:r/>
            <w:r>
              <w:rPr>
                <w:b w:val="0"/>
                <w:i w:val="0"/>
                <w:sz w:val="20"/>
              </w:rPr>
              <w:t>81.59 %</w:t>
            </w:r>
          </w:p>
        </w:tc>
        <w:tc>
          <w:tcPr>
            <w:tcW w:type="dxa" w:w="2351"/>
            <w:shd w:val="clear" w:color="auto" w:fill="FDFDFD"/>
          </w:tcPr>
          <w:p>
            <w:pPr>
              <w:jc w:val="center"/>
            </w:pPr>
            <w:r/>
            <w:r>
              <w:rPr>
                <w:b w:val="0"/>
                <w:i w:val="0"/>
                <w:sz w:val="20"/>
              </w:rPr>
              <w:t>87.13 %</w:t>
            </w:r>
          </w:p>
        </w:tc>
      </w:tr>
      <w:tr>
        <w:tc>
          <w:tcPr>
            <w:tcW w:type="dxa" w:w="2351"/>
            <w:shd w:val="clear" w:color="auto" w:fill="EBF5FB"/>
          </w:tcPr>
          <w:p>
            <w:pPr>
              <w:jc w:val="center"/>
            </w:pPr>
            <w:r/>
            <w:r>
              <w:rPr>
                <w:b/>
                <w:i w:val="0"/>
                <w:sz w:val="20"/>
              </w:rPr>
              <w:t>Precision</w:t>
            </w:r>
          </w:p>
        </w:tc>
        <w:tc>
          <w:tcPr>
            <w:tcW w:type="dxa" w:w="2351"/>
            <w:shd w:val="clear" w:color="auto" w:fill="EBF5FB"/>
          </w:tcPr>
          <w:p>
            <w:pPr>
              <w:jc w:val="center"/>
            </w:pPr>
            <w:r/>
            <w:r>
              <w:rPr>
                <w:b w:val="0"/>
                <w:i w:val="0"/>
                <w:sz w:val="20"/>
              </w:rPr>
              <w:t>83.73 %</w:t>
            </w:r>
          </w:p>
        </w:tc>
        <w:tc>
          <w:tcPr>
            <w:tcW w:type="dxa" w:w="2351"/>
            <w:shd w:val="clear" w:color="auto" w:fill="EBF5FB"/>
          </w:tcPr>
          <w:p>
            <w:pPr>
              <w:jc w:val="center"/>
            </w:pPr>
            <w:r/>
            <w:r>
              <w:rPr>
                <w:b w:val="0"/>
                <w:i w:val="0"/>
                <w:sz w:val="20"/>
              </w:rPr>
              <w:t>81.19 %</w:t>
            </w:r>
          </w:p>
        </w:tc>
        <w:tc>
          <w:tcPr>
            <w:tcW w:type="dxa" w:w="2351"/>
            <w:shd w:val="clear" w:color="auto" w:fill="EBF5FB"/>
          </w:tcPr>
          <w:p>
            <w:pPr>
              <w:jc w:val="center"/>
            </w:pPr>
            <w:r/>
            <w:r>
              <w:rPr>
                <w:b w:val="0"/>
                <w:i w:val="0"/>
                <w:sz w:val="20"/>
              </w:rPr>
              <w:t>88.13 %</w:t>
            </w:r>
          </w:p>
        </w:tc>
      </w:tr>
      <w:tr>
        <w:tc>
          <w:tcPr>
            <w:tcW w:type="dxa" w:w="2351"/>
            <w:shd w:val="clear" w:color="auto" w:fill="FDFDFD"/>
          </w:tcPr>
          <w:p>
            <w:pPr>
              <w:jc w:val="center"/>
            </w:pPr>
            <w:r/>
            <w:r>
              <w:rPr>
                <w:b/>
                <w:i w:val="0"/>
                <w:sz w:val="20"/>
              </w:rPr>
              <w:t>Sensitivity (Recall)</w:t>
            </w:r>
          </w:p>
        </w:tc>
        <w:tc>
          <w:tcPr>
            <w:tcW w:type="dxa" w:w="2351"/>
            <w:shd w:val="clear" w:color="auto" w:fill="FDFDFD"/>
          </w:tcPr>
          <w:p>
            <w:pPr>
              <w:jc w:val="center"/>
            </w:pPr>
            <w:r/>
            <w:r>
              <w:rPr>
                <w:b w:val="0"/>
                <w:i w:val="0"/>
                <w:sz w:val="20"/>
              </w:rPr>
              <w:t>62.89 %</w:t>
            </w:r>
          </w:p>
        </w:tc>
        <w:tc>
          <w:tcPr>
            <w:tcW w:type="dxa" w:w="2351"/>
            <w:shd w:val="clear" w:color="auto" w:fill="FDFDFD"/>
          </w:tcPr>
          <w:p>
            <w:pPr>
              <w:jc w:val="center"/>
            </w:pPr>
            <w:r/>
            <w:r>
              <w:rPr>
                <w:b w:val="0"/>
                <w:i w:val="0"/>
                <w:sz w:val="20"/>
              </w:rPr>
              <w:t>65.46 %</w:t>
            </w:r>
          </w:p>
        </w:tc>
        <w:tc>
          <w:tcPr>
            <w:tcW w:type="dxa" w:w="2351"/>
            <w:shd w:val="clear" w:color="auto" w:fill="FDFDFD"/>
          </w:tcPr>
          <w:p>
            <w:pPr>
              <w:jc w:val="center"/>
            </w:pPr>
            <w:r/>
            <w:r>
              <w:rPr>
                <w:b w:val="0"/>
                <w:i w:val="0"/>
                <w:sz w:val="20"/>
              </w:rPr>
              <w:t>75.40 %</w:t>
            </w:r>
          </w:p>
        </w:tc>
      </w:tr>
      <w:tr>
        <w:tc>
          <w:tcPr>
            <w:tcW w:type="dxa" w:w="2351"/>
            <w:shd w:val="clear" w:color="auto" w:fill="EBF5FB"/>
          </w:tcPr>
          <w:p>
            <w:pPr>
              <w:jc w:val="center"/>
            </w:pPr>
            <w:r/>
            <w:r>
              <w:rPr>
                <w:b/>
                <w:i w:val="0"/>
                <w:sz w:val="20"/>
              </w:rPr>
              <w:t>Specificity</w:t>
            </w:r>
          </w:p>
        </w:tc>
        <w:tc>
          <w:tcPr>
            <w:tcW w:type="dxa" w:w="2351"/>
            <w:shd w:val="clear" w:color="auto" w:fill="EBF5FB"/>
          </w:tcPr>
          <w:p>
            <w:pPr>
              <w:jc w:val="center"/>
            </w:pPr>
            <w:r/>
            <w:r>
              <w:rPr>
                <w:b w:val="0"/>
                <w:i w:val="0"/>
                <w:sz w:val="20"/>
              </w:rPr>
              <w:t>92.74 %</w:t>
            </w:r>
          </w:p>
        </w:tc>
        <w:tc>
          <w:tcPr>
            <w:tcW w:type="dxa" w:w="2351"/>
            <w:shd w:val="clear" w:color="auto" w:fill="EBF5FB"/>
          </w:tcPr>
          <w:p>
            <w:pPr>
              <w:jc w:val="center"/>
            </w:pPr>
            <w:r/>
            <w:r>
              <w:rPr>
                <w:b w:val="0"/>
                <w:i w:val="0"/>
                <w:sz w:val="20"/>
              </w:rPr>
              <w:t>91.08 %</w:t>
            </w:r>
          </w:p>
        </w:tc>
        <w:tc>
          <w:tcPr>
            <w:tcW w:type="dxa" w:w="2351"/>
            <w:shd w:val="clear" w:color="auto" w:fill="EBF5FB"/>
          </w:tcPr>
          <w:p>
            <w:pPr>
              <w:jc w:val="center"/>
            </w:pPr>
            <w:r/>
            <w:r>
              <w:rPr>
                <w:b w:val="0"/>
                <w:i w:val="0"/>
                <w:sz w:val="20"/>
              </w:rPr>
              <w:t>94.03 %</w:t>
            </w:r>
          </w:p>
        </w:tc>
      </w:tr>
      <w:tr>
        <w:tc>
          <w:tcPr>
            <w:tcW w:type="dxa" w:w="2351"/>
            <w:shd w:val="clear" w:color="auto" w:fill="FDFDFD"/>
          </w:tcPr>
          <w:p>
            <w:pPr>
              <w:jc w:val="center"/>
            </w:pPr>
            <w:r/>
            <w:r>
              <w:rPr>
                <w:b/>
                <w:i w:val="0"/>
                <w:sz w:val="20"/>
              </w:rPr>
              <w:t>F1-Score</w:t>
            </w:r>
          </w:p>
        </w:tc>
        <w:tc>
          <w:tcPr>
            <w:tcW w:type="dxa" w:w="2351"/>
            <w:shd w:val="clear" w:color="auto" w:fill="FDFDFD"/>
          </w:tcPr>
          <w:p>
            <w:pPr>
              <w:jc w:val="center"/>
            </w:pPr>
            <w:r/>
            <w:r>
              <w:rPr>
                <w:b w:val="0"/>
                <w:i w:val="0"/>
                <w:sz w:val="20"/>
              </w:rPr>
              <w:t>71.82 %</w:t>
            </w:r>
          </w:p>
        </w:tc>
        <w:tc>
          <w:tcPr>
            <w:tcW w:type="dxa" w:w="2351"/>
            <w:shd w:val="clear" w:color="auto" w:fill="FDFDFD"/>
          </w:tcPr>
          <w:p>
            <w:pPr>
              <w:jc w:val="center"/>
            </w:pPr>
            <w:r/>
            <w:r>
              <w:rPr>
                <w:b w:val="0"/>
                <w:i w:val="0"/>
                <w:sz w:val="20"/>
              </w:rPr>
              <w:t>72.48 %</w:t>
            </w:r>
          </w:p>
        </w:tc>
        <w:tc>
          <w:tcPr>
            <w:tcW w:type="dxa" w:w="2351"/>
            <w:shd w:val="clear" w:color="auto" w:fill="FDFDFD"/>
          </w:tcPr>
          <w:p>
            <w:pPr>
              <w:jc w:val="center"/>
            </w:pPr>
            <w:r/>
            <w:r>
              <w:rPr>
                <w:b w:val="0"/>
                <w:i w:val="0"/>
                <w:sz w:val="20"/>
              </w:rPr>
              <w:t>81.27 %</w:t>
            </w:r>
          </w:p>
        </w:tc>
      </w:tr>
      <w:tr>
        <w:tc>
          <w:tcPr>
            <w:tcW w:type="dxa" w:w="2351"/>
            <w:shd w:val="clear" w:color="auto" w:fill="EBF5FB"/>
          </w:tcPr>
          <w:p>
            <w:pPr>
              <w:jc w:val="center"/>
            </w:pPr>
            <w:r/>
            <w:r>
              <w:rPr>
                <w:b/>
                <w:i w:val="0"/>
                <w:sz w:val="20"/>
              </w:rPr>
              <w:t>ROC-AUC Score</w:t>
            </w:r>
          </w:p>
        </w:tc>
        <w:tc>
          <w:tcPr>
            <w:tcW w:type="dxa" w:w="2351"/>
            <w:shd w:val="clear" w:color="auto" w:fill="EBF5FB"/>
          </w:tcPr>
          <w:p>
            <w:pPr>
              <w:jc w:val="center"/>
            </w:pPr>
            <w:r/>
            <w:r>
              <w:rPr>
                <w:b w:val="0"/>
                <w:i w:val="0"/>
                <w:sz w:val="20"/>
              </w:rPr>
              <w:t>0.866</w:t>
            </w:r>
          </w:p>
        </w:tc>
        <w:tc>
          <w:tcPr>
            <w:tcW w:type="dxa" w:w="2351"/>
            <w:shd w:val="clear" w:color="auto" w:fill="EBF5FB"/>
          </w:tcPr>
          <w:p>
            <w:pPr>
              <w:jc w:val="center"/>
            </w:pPr>
            <w:r/>
            <w:r>
              <w:rPr>
                <w:b w:val="0"/>
                <w:i w:val="0"/>
                <w:sz w:val="20"/>
              </w:rPr>
              <w:t>0.894</w:t>
            </w:r>
          </w:p>
        </w:tc>
        <w:tc>
          <w:tcPr>
            <w:tcW w:type="dxa" w:w="2351"/>
            <w:shd w:val="clear" w:color="auto" w:fill="EBF5FB"/>
          </w:tcPr>
          <w:p>
            <w:pPr>
              <w:jc w:val="center"/>
            </w:pPr>
            <w:r/>
            <w:r>
              <w:rPr>
                <w:b w:val="0"/>
                <w:i w:val="0"/>
                <w:sz w:val="20"/>
              </w:rPr>
              <w:t>0.945</w:t>
            </w:r>
          </w:p>
        </w:tc>
      </w:tr>
      <w:tr>
        <w:tc>
          <w:tcPr>
            <w:tcW w:type="dxa" w:w="2351"/>
            <w:shd w:val="clear" w:color="auto" w:fill="FDFDFD"/>
          </w:tcPr>
          <w:p>
            <w:pPr>
              <w:jc w:val="center"/>
            </w:pPr>
            <w:r/>
            <w:r>
              <w:rPr>
                <w:b/>
                <w:i w:val="0"/>
                <w:sz w:val="20"/>
              </w:rPr>
              <w:t>True Negatives (TN)</w:t>
            </w:r>
          </w:p>
        </w:tc>
        <w:tc>
          <w:tcPr>
            <w:tcW w:type="dxa" w:w="2351"/>
            <w:shd w:val="clear" w:color="auto" w:fill="FDFDFD"/>
          </w:tcPr>
          <w:p>
            <w:pPr>
              <w:jc w:val="center"/>
            </w:pPr>
            <w:r/>
            <w:r>
              <w:rPr>
                <w:b w:val="0"/>
                <w:i w:val="0"/>
                <w:sz w:val="20"/>
              </w:rPr>
              <w:t>13,798</w:t>
            </w:r>
          </w:p>
        </w:tc>
        <w:tc>
          <w:tcPr>
            <w:tcW w:type="dxa" w:w="2351"/>
            <w:shd w:val="clear" w:color="auto" w:fill="FDFDFD"/>
          </w:tcPr>
          <w:p>
            <w:pPr>
              <w:jc w:val="center"/>
            </w:pPr>
            <w:r/>
            <w:r>
              <w:rPr>
                <w:b w:val="0"/>
                <w:i w:val="0"/>
                <w:sz w:val="20"/>
              </w:rPr>
              <w:t>13,692</w:t>
            </w:r>
          </w:p>
        </w:tc>
        <w:tc>
          <w:tcPr>
            <w:tcW w:type="dxa" w:w="2351"/>
            <w:shd w:val="clear" w:color="auto" w:fill="FDFDFD"/>
          </w:tcPr>
          <w:p>
            <w:pPr>
              <w:jc w:val="center"/>
            </w:pPr>
            <w:r/>
            <w:r>
              <w:rPr>
                <w:b w:val="0"/>
                <w:i w:val="0"/>
                <w:sz w:val="20"/>
              </w:rPr>
              <w:t>14,135</w:t>
            </w:r>
          </w:p>
        </w:tc>
      </w:tr>
      <w:tr>
        <w:tc>
          <w:tcPr>
            <w:tcW w:type="dxa" w:w="2351"/>
            <w:shd w:val="clear" w:color="auto" w:fill="EBF5FB"/>
          </w:tcPr>
          <w:p>
            <w:pPr>
              <w:jc w:val="center"/>
            </w:pPr>
            <w:r/>
            <w:r>
              <w:rPr>
                <w:b/>
                <w:i w:val="0"/>
                <w:sz w:val="20"/>
              </w:rPr>
              <w:t>False Positives (FP)</w:t>
            </w:r>
          </w:p>
        </w:tc>
        <w:tc>
          <w:tcPr>
            <w:tcW w:type="dxa" w:w="2351"/>
            <w:shd w:val="clear" w:color="auto" w:fill="EBF5FB"/>
          </w:tcPr>
          <w:p>
            <w:pPr>
              <w:jc w:val="center"/>
            </w:pPr>
            <w:r/>
            <w:r>
              <w:rPr>
                <w:b w:val="0"/>
                <w:i w:val="0"/>
                <w:sz w:val="20"/>
              </w:rPr>
              <w:t>1,080</w:t>
            </w:r>
          </w:p>
        </w:tc>
        <w:tc>
          <w:tcPr>
            <w:tcW w:type="dxa" w:w="2351"/>
            <w:shd w:val="clear" w:color="auto" w:fill="EBF5FB"/>
          </w:tcPr>
          <w:p>
            <w:pPr>
              <w:jc w:val="center"/>
            </w:pPr>
            <w:r/>
            <w:r>
              <w:rPr>
                <w:b w:val="0"/>
                <w:i w:val="0"/>
                <w:sz w:val="20"/>
              </w:rPr>
              <w:t>1,341</w:t>
            </w:r>
          </w:p>
        </w:tc>
        <w:tc>
          <w:tcPr>
            <w:tcW w:type="dxa" w:w="2351"/>
            <w:shd w:val="clear" w:color="auto" w:fill="EBF5FB"/>
          </w:tcPr>
          <w:p>
            <w:pPr>
              <w:jc w:val="center"/>
            </w:pPr>
            <w:r/>
            <w:r>
              <w:rPr>
                <w:b w:val="0"/>
                <w:i w:val="0"/>
                <w:sz w:val="20"/>
              </w:rPr>
              <w:t>898</w:t>
            </w:r>
          </w:p>
        </w:tc>
      </w:tr>
      <w:tr>
        <w:tc>
          <w:tcPr>
            <w:tcW w:type="dxa" w:w="2351"/>
            <w:shd w:val="clear" w:color="auto" w:fill="FDFDFD"/>
          </w:tcPr>
          <w:p>
            <w:pPr>
              <w:jc w:val="center"/>
            </w:pPr>
            <w:r/>
            <w:r>
              <w:rPr>
                <w:b/>
                <w:i w:val="0"/>
                <w:sz w:val="20"/>
              </w:rPr>
              <w:t>False Negatives (FN)</w:t>
            </w:r>
          </w:p>
        </w:tc>
        <w:tc>
          <w:tcPr>
            <w:tcW w:type="dxa" w:w="2351"/>
            <w:shd w:val="clear" w:color="auto" w:fill="FDFDFD"/>
          </w:tcPr>
          <w:p>
            <w:pPr>
              <w:jc w:val="center"/>
            </w:pPr>
            <w:r/>
            <w:r>
              <w:rPr>
                <w:b w:val="0"/>
                <w:i w:val="0"/>
                <w:sz w:val="20"/>
              </w:rPr>
              <w:t>3,279</w:t>
            </w:r>
          </w:p>
        </w:tc>
        <w:tc>
          <w:tcPr>
            <w:tcW w:type="dxa" w:w="2351"/>
            <w:shd w:val="clear" w:color="auto" w:fill="FDFDFD"/>
          </w:tcPr>
          <w:p>
            <w:pPr>
              <w:jc w:val="center"/>
            </w:pPr>
            <w:r/>
            <w:r>
              <w:rPr>
                <w:b w:val="0"/>
                <w:i w:val="0"/>
                <w:sz w:val="20"/>
              </w:rPr>
              <w:t>3,055</w:t>
            </w:r>
          </w:p>
        </w:tc>
        <w:tc>
          <w:tcPr>
            <w:tcW w:type="dxa" w:w="2351"/>
            <w:shd w:val="clear" w:color="auto" w:fill="FDFDFD"/>
          </w:tcPr>
          <w:p>
            <w:pPr>
              <w:jc w:val="center"/>
            </w:pPr>
            <w:r/>
            <w:r>
              <w:rPr>
                <w:b w:val="0"/>
                <w:i w:val="0"/>
                <w:sz w:val="20"/>
              </w:rPr>
              <w:t>2,176</w:t>
            </w:r>
          </w:p>
        </w:tc>
      </w:tr>
      <w:tr>
        <w:tc>
          <w:tcPr>
            <w:tcW w:type="dxa" w:w="2351"/>
            <w:shd w:val="clear" w:color="auto" w:fill="EBF5FB"/>
          </w:tcPr>
          <w:p>
            <w:pPr>
              <w:jc w:val="center"/>
            </w:pPr>
            <w:r/>
            <w:r>
              <w:rPr>
                <w:b/>
                <w:i w:val="0"/>
                <w:sz w:val="20"/>
              </w:rPr>
              <w:t>True Positives (TP)</w:t>
            </w:r>
          </w:p>
        </w:tc>
        <w:tc>
          <w:tcPr>
            <w:tcW w:type="dxa" w:w="2351"/>
            <w:shd w:val="clear" w:color="auto" w:fill="EBF5FB"/>
          </w:tcPr>
          <w:p>
            <w:pPr>
              <w:jc w:val="center"/>
            </w:pPr>
            <w:r/>
            <w:r>
              <w:rPr>
                <w:b w:val="0"/>
                <w:i w:val="0"/>
                <w:sz w:val="20"/>
              </w:rPr>
              <w:t>5,556</w:t>
            </w:r>
          </w:p>
        </w:tc>
        <w:tc>
          <w:tcPr>
            <w:tcW w:type="dxa" w:w="2351"/>
            <w:shd w:val="clear" w:color="auto" w:fill="EBF5FB"/>
          </w:tcPr>
          <w:p>
            <w:pPr>
              <w:jc w:val="center"/>
            </w:pPr>
            <w:r/>
            <w:r>
              <w:rPr>
                <w:b w:val="0"/>
                <w:i w:val="0"/>
                <w:sz w:val="20"/>
              </w:rPr>
              <w:t>5,790</w:t>
            </w:r>
          </w:p>
        </w:tc>
        <w:tc>
          <w:tcPr>
            <w:tcW w:type="dxa" w:w="2351"/>
            <w:shd w:val="clear" w:color="auto" w:fill="EBF5FB"/>
          </w:tcPr>
          <w:p>
            <w:pPr>
              <w:jc w:val="center"/>
            </w:pPr>
            <w:r/>
            <w:r>
              <w:rPr>
                <w:b w:val="0"/>
                <w:i w:val="0"/>
                <w:sz w:val="20"/>
              </w:rPr>
              <w:t>6,669</w:t>
            </w:r>
          </w:p>
        </w:tc>
      </w:tr>
    </w:tbl>
    <w:p/>
    <w:p>
      <w:pPr>
        <w:pStyle w:val="Heading1"/>
      </w:pPr>
      <w:r>
        <w:rPr>
          <w:b/>
          <w:color w:val="1B3A5C"/>
          <w:sz w:val="32"/>
        </w:rPr>
        <w:t>6.  Visualizations</w:t>
      </w:r>
    </w:p>
    <w:p>
      <w:pPr>
        <w:pStyle w:val="Heading2"/>
      </w:pPr>
      <w:r>
        <w:rPr>
          <w:b/>
          <w:color w:val="1B3A5C"/>
          <w:sz w:val="26"/>
        </w:rPr>
        <w:t>6.1  Model Performance Comparison — Bar Chart</w:t>
      </w:r>
    </w:p>
    <w:p>
      <w:pPr>
        <w:jc w:val="center"/>
      </w:pPr>
      <w:r>
        <w:drawing>
          <wp:inline xmlns:a="http://schemas.openxmlformats.org/drawingml/2006/main" xmlns:pic="http://schemas.openxmlformats.org/drawingml/2006/picture">
            <wp:extent cx="5669280" cy="2579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579608"/>
                    </a:xfrm>
                    <a:prstGeom prst="rect"/>
                  </pic:spPr>
                </pic:pic>
              </a:graphicData>
            </a:graphic>
          </wp:inline>
        </w:drawing>
      </w:r>
    </w:p>
    <w:p>
      <w:pPr>
        <w:jc w:val="center"/>
      </w:pPr>
      <w:r>
        <w:rPr>
          <w:i/>
          <w:color w:val="555555"/>
          <w:sz w:val="18"/>
        </w:rPr>
        <w:t>Figure 1: Side-by-side metric comparison — Research Paper vs Logistic Regression vs Random Forest</w:t>
      </w:r>
    </w:p>
    <w:p>
      <w:r>
        <w:br w:type="page"/>
      </w:r>
    </w:p>
    <w:p>
      <w:pPr>
        <w:pStyle w:val="Heading2"/>
      </w:pPr>
      <w:r>
        <w:rPr>
          <w:b/>
          <w:color w:val="1B3A5C"/>
          <w:sz w:val="26"/>
        </w:rPr>
        <w:t>6.2  Confusion Matrices</w:t>
      </w:r>
    </w:p>
    <w:p>
      <w:r>
        <w:rPr>
          <w:b w:val="0"/>
          <w:i w:val="0"/>
          <w:sz w:val="21"/>
        </w:rPr>
        <w:t>A confusion matrix shows the counts of True Positives (TP), True Negatives (TN), False Positives (FP), and False Negatives (FN). Higher TP and TN values and lower FP and FN values indicate a better model.</w:t>
      </w:r>
    </w:p>
    <w:p>
      <w:pPr>
        <w:jc w:val="center"/>
      </w:pPr>
      <w:r>
        <w:drawing>
          <wp:inline xmlns:a="http://schemas.openxmlformats.org/drawingml/2006/main" xmlns:pic="http://schemas.openxmlformats.org/drawingml/2006/picture">
            <wp:extent cx="5486400" cy="236889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368894"/>
                    </a:xfrm>
                    <a:prstGeom prst="rect"/>
                  </pic:spPr>
                </pic:pic>
              </a:graphicData>
            </a:graphic>
          </wp:inline>
        </w:drawing>
      </w:r>
    </w:p>
    <w:p>
      <w:pPr>
        <w:jc w:val="center"/>
      </w:pPr>
      <w:r>
        <w:rPr>
          <w:i/>
          <w:color w:val="555555"/>
          <w:sz w:val="18"/>
        </w:rPr>
        <w:t>Figure 2: Confusion matrices for Logistic Regression (left) and Random Forest (right)</w:t>
      </w:r>
    </w:p>
    <w:p>
      <w:r>
        <w:br w:type="page"/>
      </w:r>
    </w:p>
    <w:p>
      <w:pPr>
        <w:pStyle w:val="Heading2"/>
      </w:pPr>
      <w:r>
        <w:rPr>
          <w:b/>
          <w:color w:val="1B3A5C"/>
          <w:sz w:val="26"/>
        </w:rPr>
        <w:t>6.3  ROC Curves</w:t>
      </w:r>
    </w:p>
    <w:p>
      <w:r>
        <w:rPr>
          <w:b w:val="0"/>
          <w:i w:val="0"/>
          <w:sz w:val="21"/>
        </w:rPr>
        <w:t>The Receiver Operating Characteristic (ROC) curve plots Sensitivity (True Positive Rate) against 1 − Specificity (False Positive Rate) at all classification thresholds. The Area Under the Curve (AUC) summarises overall discriminatory performance; a perfect classifier achieves AUC = 1.0.</w:t>
      </w:r>
    </w:p>
    <w:p>
      <w:pPr>
        <w:jc w:val="center"/>
      </w:pPr>
      <w:r>
        <w:drawing>
          <wp:inline xmlns:a="http://schemas.openxmlformats.org/drawingml/2006/main" xmlns:pic="http://schemas.openxmlformats.org/drawingml/2006/picture">
            <wp:extent cx="5029200" cy="375334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753345"/>
                    </a:xfrm>
                    <a:prstGeom prst="rect"/>
                  </pic:spPr>
                </pic:pic>
              </a:graphicData>
            </a:graphic>
          </wp:inline>
        </w:drawing>
      </w:r>
    </w:p>
    <w:p>
      <w:pPr>
        <w:jc w:val="center"/>
      </w:pPr>
      <w:r>
        <w:rPr>
          <w:i/>
          <w:color w:val="555555"/>
          <w:sz w:val="18"/>
        </w:rPr>
        <w:t>Figure 3: ROC Curves — Logistic Regression AUC=0.894  |  Random Forest AUC=0.945</w:t>
      </w:r>
    </w:p>
    <w:p>
      <w:r>
        <w:br w:type="page"/>
      </w:r>
    </w:p>
    <w:p>
      <w:pPr>
        <w:pStyle w:val="Heading2"/>
      </w:pPr>
      <w:r>
        <w:rPr>
          <w:b/>
          <w:color w:val="1B3A5C"/>
          <w:sz w:val="26"/>
        </w:rPr>
        <w:t>6.4  Logistic Regression — Top 20 Feature Coefficients</w:t>
      </w:r>
    </w:p>
    <w:p>
      <w:r>
        <w:rPr>
          <w:b w:val="0"/>
          <w:i w:val="0"/>
          <w:sz w:val="21"/>
        </w:rPr>
        <w:t>Standardised log-odds coefficients (β) represent the change in log-odds of cancellation per one-standard-deviation change in each feature. Positive β (red) are risk factors; negative β (blue) are protective factors. The Odds Ratio for each feature is calculated as OR = e^β.</w:t>
      </w:r>
    </w:p>
    <w:p>
      <w:pPr>
        <w:jc w:val="center"/>
      </w:pPr>
      <w:r>
        <w:drawing>
          <wp:inline xmlns:a="http://schemas.openxmlformats.org/drawingml/2006/main" xmlns:pic="http://schemas.openxmlformats.org/drawingml/2006/picture">
            <wp:extent cx="5303520" cy="423745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4237456"/>
                    </a:xfrm>
                    <a:prstGeom prst="rect"/>
                  </pic:spPr>
                </pic:pic>
              </a:graphicData>
            </a:graphic>
          </wp:inline>
        </w:drawing>
      </w:r>
    </w:p>
    <w:p>
      <w:pPr>
        <w:jc w:val="center"/>
      </w:pPr>
      <w:r>
        <w:rPr>
          <w:i/>
          <w:color w:val="555555"/>
          <w:sz w:val="18"/>
        </w:rPr>
        <w:t>Figure 4: Top 20 Logistic Regression coefficients (log-odds). Red = Risk; Blue = Protective.</w:t>
      </w:r>
    </w:p>
    <w:p>
      <w:r>
        <w:br w:type="page"/>
      </w:r>
    </w:p>
    <w:p>
      <w:pPr>
        <w:pStyle w:val="Heading2"/>
      </w:pPr>
      <w:r>
        <w:rPr>
          <w:b/>
          <w:color w:val="1B3A5C"/>
          <w:sz w:val="26"/>
        </w:rPr>
        <w:t>6.5  Random Forest — Top 20 Feature Importances</w:t>
      </w:r>
    </w:p>
    <w:p>
      <w:r>
        <w:rPr>
          <w:b w:val="0"/>
          <w:i w:val="0"/>
          <w:sz w:val="21"/>
        </w:rPr>
        <w:t>Gini impurity-based feature importances measure the average reduction in node impurity achieved by splitting on each feature across all 200 decision trees. Higher values indicate a more decisive contribution to the classification.</w:t>
      </w:r>
    </w:p>
    <w:p>
      <w:pPr>
        <w:jc w:val="center"/>
      </w:pPr>
      <w:r>
        <w:drawing>
          <wp:inline xmlns:a="http://schemas.openxmlformats.org/drawingml/2006/main" xmlns:pic="http://schemas.openxmlformats.org/drawingml/2006/picture">
            <wp:extent cx="5303520" cy="422317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4223173"/>
                    </a:xfrm>
                    <a:prstGeom prst="rect"/>
                  </pic:spPr>
                </pic:pic>
              </a:graphicData>
            </a:graphic>
          </wp:inline>
        </w:drawing>
      </w:r>
    </w:p>
    <w:p>
      <w:pPr>
        <w:jc w:val="center"/>
      </w:pPr>
      <w:r>
        <w:rPr>
          <w:i/>
          <w:color w:val="555555"/>
          <w:sz w:val="18"/>
        </w:rPr>
        <w:t>Figure 5: Top 20 Random Forest feature importances (Gini impurity reduction).</w:t>
      </w:r>
    </w:p>
    <w:p>
      <w:r>
        <w:br w:type="page"/>
      </w:r>
    </w:p>
    <w:p>
      <w:pPr>
        <w:pStyle w:val="Heading1"/>
      </w:pPr>
      <w:r>
        <w:rPr>
          <w:b/>
          <w:color w:val="1B3A5C"/>
          <w:sz w:val="32"/>
        </w:rPr>
        <w:t>7.  Lab Defense Guide — Key Questions &amp; Answers</w:t>
      </w:r>
    </w:p>
    <w:p>
      <w:r>
        <w:rPr>
          <w:b/>
          <w:color w:val="1B3A5C"/>
          <w:sz w:val="21"/>
        </w:rPr>
        <w:t>Q1: Why were reservation_status and reservation_status_date dropped?</w:t>
      </w:r>
    </w:p>
    <w:p>
      <w:pPr>
        <w:ind w:left="340"/>
      </w:pPr>
      <w:r>
        <w:rPr>
          <w:sz w:val="20"/>
        </w:rPr>
        <w:t>These columns constitute direct target leakage. reservation_status contains the string "Canceled" which directly encodes y=1, and reservation_status_date records when the booking status changed (i.e., it does not exist until after the cancellation decision is made). Including them would inflate all metrics to near-perfect scores but produce a model useless in production.</w:t>
      </w:r>
    </w:p>
    <w:p/>
    <w:p>
      <w:r>
        <w:rPr>
          <w:b/>
          <w:color w:val="1B3A5C"/>
          <w:sz w:val="21"/>
        </w:rPr>
        <w:t>Q2: What is the mathematical basis of Logistic Regression?</w:t>
      </w:r>
    </w:p>
    <w:p>
      <w:pPr>
        <w:ind w:left="340"/>
      </w:pPr>
      <w:r>
        <w:rPr>
          <w:sz w:val="20"/>
        </w:rPr>
        <w:t>The logit (log-odds) function: ln(p / (1-p)) = β₀ + β₁X₁ + … + βₖXₖ. The predicted probability is obtained via the sigmoid: p = 1 / (1 + e^(−wᵀX)). Coefficients are estimated by Maximum Likelihood Estimation (MLE). The Odds Ratio for predictor Xⱼ is OR = e^βⱼ.</w:t>
      </w:r>
    </w:p>
    <w:p/>
    <w:p>
      <w:r>
        <w:rPr>
          <w:b/>
          <w:color w:val="1B3A5C"/>
          <w:sz w:val="21"/>
        </w:rPr>
        <w:t>Q3: What is the difference between Precision and Recall? Which matters more here?</w:t>
      </w:r>
    </w:p>
    <w:p>
      <w:pPr>
        <w:ind w:left="340"/>
      </w:pPr>
      <w:r>
        <w:rPr>
          <w:sz w:val="20"/>
        </w:rPr>
        <w:t>Precision = TP / (TP + FP): of all predicted cancellations, how many were actual cancellations. Recall (Sensitivity) = TP / (TP + FN): of all actual cancellations, how many did we catch. In a hotel context, missing a cancellation (FN) is costly — revenue loss from an empty room. Hence Recall/Sensitivity is the priority metric. The F1-Score balances both.</w:t>
      </w:r>
    </w:p>
    <w:p/>
    <w:p>
      <w:r>
        <w:rPr>
          <w:b/>
          <w:color w:val="1B3A5C"/>
          <w:sz w:val="21"/>
        </w:rPr>
        <w:t>Q4: Why does Random Forest outperform Logistic Regression?</w:t>
      </w:r>
    </w:p>
    <w:p>
      <w:pPr>
        <w:ind w:left="340"/>
      </w:pPr>
      <w:r>
        <w:rPr>
          <w:sz w:val="20"/>
        </w:rPr>
        <w:t>Logistic Regression assumes linear decision boundaries in log-odds space and additive feature relationships. Random Forest uses 200 decorrelated decision trees that naturally capture non-linear feature splits and high-order interaction effects (e.g., combined interactions between lead_time, market_segment, and adr) without any manual feature engineering. This leads to gains across all metrics (Accuracy +5.5%, AUC +0.051).</w:t>
      </w:r>
    </w:p>
    <w:p/>
    <w:p>
      <w:r>
        <w:rPr>
          <w:b/>
          <w:color w:val="1B3A5C"/>
          <w:sz w:val="21"/>
        </w:rPr>
        <w:t>Q5: What is ROC-AUC and how is it interpreted?</w:t>
      </w:r>
    </w:p>
    <w:p>
      <w:pPr>
        <w:ind w:left="340"/>
      </w:pPr>
      <w:r>
        <w:rPr>
          <w:sz w:val="20"/>
        </w:rPr>
        <w:t>AUC (Area Under the ROC Curve) measures the probability that the model ranks a randomly chosen positive (canceled) example higher than a randomly chosen negative example. AUC = 0.50 → random classifier. AUC = 1.00 → perfect. Our LR model (AUC = 0.894) exceeds the paper's reported value of 0.866, while our RF (0.945) provides even stronger discriminatory power.</w:t>
      </w:r>
    </w:p>
    <w:p/>
    <w:p>
      <w:r>
        <w:rPr>
          <w:b/>
          <w:color w:val="1B3A5C"/>
          <w:sz w:val="21"/>
        </w:rPr>
        <w:t>Q6: Why was stratify=y used in the train/test split?</w:t>
      </w:r>
    </w:p>
    <w:p>
      <w:pPr>
        <w:ind w:left="340"/>
      </w:pPr>
      <w:r>
        <w:rPr>
          <w:sz w:val="20"/>
        </w:rPr>
        <w:t>stratify=y ensures that the proportion of canceled vs non-canceled bookings (≈37% : 63%) is preserved in both the training and test subsets. Without stratification, random splits can produce imbalanced evaluation sets that distort metrics, especially for minority class recall.</w:t>
      </w:r>
    </w:p>
    <w:p/>
    <w:p>
      <w:r>
        <w:rPr>
          <w:b/>
          <w:color w:val="1B3A5C"/>
          <w:sz w:val="21"/>
        </w:rPr>
        <w:t>Q7: What is the role of StandardScaler in the Logistic Regression pipeline?</w:t>
      </w:r>
    </w:p>
    <w:p>
      <w:pPr>
        <w:ind w:left="340"/>
      </w:pPr>
      <w:r>
        <w:rPr>
          <w:sz w:val="20"/>
        </w:rPr>
        <w:t>StandardScaler transforms each continuous feature to zero mean (μ=0) and unit variance (σ=1): z = (x − μ) / σ. This is required for Logistic Regression because (a) gradient descent converges faster with scaled features, and (b) standardised coefficients are directly comparable in magnitude — enabling valid odds ratio comparisons as in the paper.</w:t>
      </w:r>
    </w:p>
    <w:p/>
    <w:p>
      <w:r>
        <w:br w:type="page"/>
      </w:r>
    </w:p>
    <w:p>
      <w:pPr>
        <w:pStyle w:val="Heading1"/>
      </w:pPr>
      <w:r>
        <w:rPr>
          <w:b/>
          <w:color w:val="1B3A5C"/>
          <w:sz w:val="32"/>
        </w:rPr>
        <w:t>8.  Conclusion</w:t>
      </w:r>
    </w:p>
    <w:p>
      <w:r>
        <w:rPr>
          <w:b w:val="0"/>
          <w:i w:val="0"/>
          <w:sz w:val="21"/>
        </w:rPr>
        <w:t>This lab successfully identified a post-2020 research paper (Dr. Vinay Raj R, 2026) that used the exact hotel_bookings_updated_2024.csv dataset. The paper's Binary Logistic Regression model was reproduced and benchmarked under Scenario A.</w:t>
      </w:r>
    </w:p>
    <w:p/>
    <w:p>
      <w:r>
        <w:rPr>
          <w:b w:val="0"/>
          <w:i w:val="0"/>
          <w:sz w:val="21"/>
        </w:rPr>
        <w:t>Our Logistic Regression model achieved performance highly consistent with the published paper — Accuracy within 0.03 %, F1-Score within 0.7 % — confirming successful methodology reproduction. Our extended Random Forest model demonstrated the performance ceiling achievable through ensemble non-linear modelling: +5.5 % Accuracy, +8.8 % F1-Score, and AUC = 0.945 vs the paper's 0.866.</w:t>
      </w:r>
    </w:p>
    <w:p/>
    <w:p>
      <w:r>
        <w:rPr>
          <w:b w:val="0"/>
          <w:i w:val="0"/>
          <w:sz w:val="21"/>
        </w:rPr>
        <w:t>Key findings from both models align with the literature: lead time, non-refundable deposits, and previous cancellations are the strongest risk factors, while special requests, repeated guest status, and booking changes reduce cancellation probability.</w:t>
      </w:r>
    </w:p>
    <w:p/>
    <w:p>
      <w:pPr>
        <w:pStyle w:val="Heading1"/>
      </w:pPr>
      <w:r>
        <w:rPr>
          <w:b/>
          <w:color w:val="1B3A5C"/>
          <w:sz w:val="32"/>
        </w:rPr>
        <w:t>9.  References</w:t>
      </w:r>
    </w:p>
    <w:p>
      <w:pPr>
        <w:ind w:left="340"/>
      </w:pPr>
      <w:r>
        <w:rPr>
          <w:sz w:val="20"/>
        </w:rPr>
        <w:t>[1]  Vinay Raj R (2026). Determinants of Hotel Booking Cancellations: Evidence from Reservation Analytics. International Journal for Research in Tourism and Hospitality, Vol. 01, Issue 02, pp. 32–49. DOI: 10.53555/th.v1i2.2575</w:t>
      </w:r>
    </w:p>
    <w:p>
      <w:pPr>
        <w:ind w:left="340"/>
      </w:pPr>
      <w:r>
        <w:rPr>
          <w:sz w:val="20"/>
        </w:rPr>
        <w:t>[2]  Bedmutha, K. S. (2025). Hotel booking reservation: An updated 2024 dataset for hotel booking demand and cancellation analysis. Kaggle. https://www.kaggle.com/datasets/krutarth-bedmutha/hotel-booking-reservation</w:t>
      </w:r>
    </w:p>
    <w:p>
      <w:pPr>
        <w:ind w:left="340"/>
      </w:pPr>
      <w:r>
        <w:rPr>
          <w:sz w:val="20"/>
        </w:rPr>
        <w:t>[3]  Pedregosa, F. et al. (2011). Scikit-learn: Machine Learning in Python. JMLR 12, 2825–2830.</w:t>
      </w:r>
    </w:p>
    <w:p>
      <w:pPr>
        <w:ind w:left="340"/>
      </w:pPr>
      <w:r>
        <w:rPr>
          <w:sz w:val="20"/>
        </w:rPr>
        <w:t>[4]  Chen, T. &amp; Guestrin, C. (2016). XGBoost: A Scalable Tree Boosting System. KDD 2016.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