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00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0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F172A"/>
          <w:sz w:val="32"/>
        </w:rPr>
        <w:t>Section 4: Technical &amp; Operational Security Controls</w:t>
      </w:r>
    </w:p>
    <w:p>
      <w:r>
        <w:rPr>
          <w:i/>
          <w:sz w:val="19"/>
        </w:rPr>
        <w:t>Instructions: All shortlisted vendors must provide formal written assertions in the designated 'Vendor Response' cells. Do not modify the question wording. Responses are contractually binding warranties.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  <w:t>Security Control Requirement</w:t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  <w:t>Vendor Response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Does the vendor enforce Multi-Factor Authentication (MFA) across all administrative access points?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</w:r>
            <w:r>
              <w:rPr>
                <w:rFonts w:ascii="Calibri" w:hAnsi="Calibri"/>
                <w:color w:val="0F172A"/>
                <w:sz w:val="19"/>
              </w:rPr>
              <w:t>Yes. Our company enforces mandatory FIDO2/WebAuthn and TOTP-based Multi-Factor Authentication across all internal single sign-on (SSO), administrative portals, and cloud infrastructure access.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What cryptographic algorithms and minimum key lengths are enforced for sensitive data at rest?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</w:r>
            <w:r>
              <w:rPr>
                <w:rFonts w:ascii="Calibri" w:hAnsi="Calibri"/>
                <w:color w:val="0F172A"/>
                <w:sz w:val="19"/>
              </w:rPr>
              <w:t>All sensitive customer data at rest is encrypted using AES-256 with automated annual key rotation managed via AWS KMS (FIPS 140-2 Level 3 HSM). Data in transit is strictly enforced with TLS 1.3.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How are tenant databases segregated in your multi-tenant production environment?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</w:r>
            <w:r>
              <w:rPr>
                <w:rFonts w:ascii="Calibri" w:hAnsi="Calibri"/>
                <w:color w:val="0F172A"/>
                <w:sz w:val="19"/>
              </w:rPr>
              <w:t>Production tenant workloads are logically isolated at both the application and database layers. Every database query enforces tenant-scoped foreign key partitioning and row-level security (RLS).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Describe your vulnerability management program, including critical patch deployment SLAs.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</w:r>
            <w:r>
              <w:rPr>
                <w:rFonts w:ascii="Calibri" w:hAnsi="Calibri"/>
                <w:color w:val="0F172A"/>
                <w:sz w:val="19"/>
              </w:rPr>
              <w:t>We maintain continuous automated container and host vulnerability scanning. SLAs mandate remediation of Critical (CVSS &gt;= 9.0) vulnerabilities within 7 calendar days and High vulnerabilities within 14 days.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What is the maximum Recovery Point Objective (RPO) and Recovery Time Objective (RTO) for Tier-1 services?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</w:r>
            <w:r>
              <w:rPr>
                <w:rFonts w:ascii="Calibri" w:hAnsi="Calibri"/>
                <w:color w:val="0F172A"/>
                <w:sz w:val="19"/>
              </w:rPr>
              <w:t>Our documented Disaster Recovery SLA commits to a maximum Recovery Point Objective (RPO) of &lt;= 1 hour and a maximum Recovery Time Objective (RTO) of &lt;= 4 hours for all Tier-1 critical production services.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Are third-party independent SOC 2 Type II audits performed at least annually?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</w:r>
            <w:r>
              <w:rPr>
                <w:rFonts w:ascii="Calibri" w:hAnsi="Calibri"/>
                <w:color w:val="0F172A"/>
                <w:sz w:val="19"/>
              </w:rPr>
              <w:t>Yes. An independent AICPA-accredited auditing firm conducts our SOC 2 Type II examination annually, covering the Security, Confidentiality, and Availability trust services criteria.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Describe your employee background check policy prior to granting infrastructure access.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</w:r>
            <w:r>
              <w:rPr>
                <w:rFonts w:ascii="Calibri" w:hAnsi="Calibri"/>
                <w:color w:val="0F172A"/>
                <w:sz w:val="19"/>
              </w:rPr>
              <w:t>All employees and contractors undergo comprehensive 7-year background screenings (including criminal history, identity verification, and credential validation) prior to receiving infrastructure credentials.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What procedures are in place for notifying customers in the event of a confirmed security incident?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</w:r>
            <w:r>
              <w:rPr>
                <w:rFonts w:ascii="Calibri" w:hAnsi="Calibri"/>
                <w:color w:val="0F172A"/>
                <w:sz w:val="19"/>
              </w:rPr>
              <w:t>In accordance with our Incident Response Plan, we notify affected customer security contacts in writing without undue delay and no later than 48 hours following confirmation of any security incident.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Are customer data backups encrypted and stored off-site in an air-gapped or immutable storage tier?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</w:r>
            <w:r>
              <w:rPr>
                <w:rFonts w:ascii="Calibri" w:hAnsi="Calibri"/>
                <w:color w:val="0F172A"/>
                <w:sz w:val="19"/>
              </w:rPr>
              <w:t>Yes. Automated daily snapshots are encrypted with AES-256 and replicated to an isolated, immutable S3 Glacier Vault located in a secondary geographic region with Object Lock enabled.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What is the formal procedure and timeframe for complete customer data deletion upon contract termination?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</w:r>
            <w:r>
              <w:rPr>
                <w:rFonts w:ascii="Calibri" w:hAnsi="Calibri"/>
                <w:color w:val="0F172A"/>
                <w:sz w:val="19"/>
              </w:rPr>
              <w:t>Upon contractual termination, customer data is purged from all active database clusters within 30 days. Cryptographic erasure across all secondary backup tiers completes fully within 60 calendar days.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7"/>
      </w:rPr>
      <w:t>Page 1 of 3 — Return signed response to vendor-assurance@apexassurance.org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CONFIDENTIAL | Enterprise Vendor Security Assessment (v4.2)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