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jc w:val="center"/>
      </w:pPr>
      <w:r>
        <w:rPr>
          <w:rFonts w:ascii="Calibri" w:hAnsi="Calibri"/>
          <w:b/>
          <w:color w:val="0E7C7B"/>
          <w:sz w:val="20"/>
        </w:rPr>
        <w:t>SMART INDIA HACKATHON 2026  ·  PROBLEM SIH26139</w:t>
      </w:r>
    </w:p>
    <w:p>
      <w:pPr>
        <w:spacing w:before="0" w:after="160"/>
        <w:jc w:val="center"/>
      </w:pPr>
      <w:r>
        <w:rPr>
          <w:rFonts w:ascii="Calibri" w:hAnsi="Calibri"/>
          <w:b/>
          <w:color w:val="4A3F8C"/>
          <w:sz w:val="68"/>
        </w:rPr>
        <w:t>Q-TRACE</w:t>
      </w:r>
    </w:p>
    <w:p>
      <w:pPr>
        <w:spacing w:after="480"/>
        <w:jc w:val="center"/>
      </w:pPr>
      <w:r>
        <w:rPr>
          <w:rFonts w:ascii="Calibri" w:hAnsi="Calibri"/>
          <w:color w:val="1F4D78"/>
          <w:sz w:val="32"/>
        </w:rPr>
        <w:t>Hybrid quantum-classical machine learning</w:t>
        <w:br/>
        <w:t>for early disease signal analysis</w:t>
      </w:r>
    </w:p>
    <w:p>
      <w:pPr>
        <w:spacing w:after="1440"/>
        <w:jc w:val="center"/>
      </w:pPr>
      <w:r>
        <w:rPr>
          <w:rFonts w:ascii="Calibri" w:hAnsi="Calibri"/>
          <w:i/>
          <w:color w:val="647078"/>
          <w:sz w:val="22"/>
        </w:rPr>
        <w:t>A project explanation, verified evidence record, demo guide, and judge-facing pitch</w:t>
      </w:r>
    </w:p>
    <w:p>
      <w:pPr>
        <w:keepLines/>
        <w:spacing w:before="80" w:after="200" w:line="276" w:lineRule="auto"/>
        <w:ind w:left="173" w:right="115"/>
        <w:shd w:fill="EBF5F4"/>
        <w:pBdr>
          <w:left w:val="single" w:sz="18" w:space="10" w:color="0E7C7B"/>
        </w:pBdr>
      </w:pPr>
      <w:r>
        <w:rPr>
          <w:rFonts w:ascii="Calibri" w:hAnsi="Calibri"/>
          <w:b/>
          <w:color w:val="0E7C7B"/>
          <w:sz w:val="18"/>
        </w:rPr>
        <w:t xml:space="preserve">POSITIONING  </w:t>
      </w:r>
      <w:r>
        <w:rPr>
          <w:rFonts w:ascii="Calibri" w:hAnsi="Calibri"/>
          <w:color w:val="12181C"/>
          <w:sz w:val="21"/>
        </w:rPr>
        <w:t>A simulator-based research prototype that compares quantum and classical models transparently. It does not claim quantum advantage or clinical readiness.</w:t>
      </w:r>
    </w:p>
    <w:p>
      <w:pPr>
        <w:spacing w:before="520"/>
        <w:jc w:val="center"/>
      </w:pPr>
      <w:r>
        <w:rPr>
          <w:rFonts w:ascii="Calibri" w:hAnsi="Calibri"/>
          <w:b/>
          <w:color w:val="647078"/>
          <w:sz w:val="19"/>
        </w:rPr>
        <w:t>Prepared 3 September 2026  |  Hackathon date: 8 September 2026</w:t>
      </w:r>
    </w:p>
    <w:p>
      <w:r>
        <w:br w:type="page"/>
      </w:r>
    </w:p>
    <w:p>
      <w:pPr>
        <w:pStyle w:val="Heading1"/>
        <w:keepNext/>
      </w:pPr>
      <w:r>
        <w:t>1. The idea in one minute</w:t>
      </w:r>
    </w:p>
    <w:p>
      <w:r>
        <w:rPr>
          <w:rFonts w:ascii="Calibri" w:hAnsi="Calibri"/>
          <w:i w:val="0"/>
          <w:color w:val="12181C"/>
        </w:rPr>
        <w:t>Breast-cancer records contain many measurements. Q-TRACE first cleans those measurements, selects four informative features without destroying their clinical names, then asks two different quantum model families and four classical model families to classify the same case. The website always shows quantum and classical results side by side, exposes disagreement, and explains which real measurements influenced each model.</w:t>
      </w:r>
    </w:p>
    <w:p>
      <w:pPr>
        <w:keepLines/>
        <w:spacing w:before="80" w:after="200" w:line="276" w:lineRule="auto"/>
        <w:ind w:left="173" w:right="115"/>
        <w:shd w:fill="F2F0F8"/>
        <w:pBdr>
          <w:left w:val="single" w:sz="18" w:space="10" w:color="4A3F8C"/>
        </w:pBdr>
      </w:pPr>
      <w:r>
        <w:rPr>
          <w:rFonts w:ascii="Calibri" w:hAnsi="Calibri"/>
          <w:b/>
          <w:color w:val="4A3F8C"/>
          <w:sz w:val="18"/>
        </w:rPr>
        <w:t xml:space="preserve">SIMPLE ANALOGY  </w:t>
      </w:r>
      <w:r>
        <w:rPr>
          <w:rFonts w:ascii="Calibri" w:hAnsi="Calibri"/>
          <w:color w:val="12181C"/>
          <w:sz w:val="21"/>
        </w:rPr>
        <w:t>Think of it as two specialist panels examining the same evidence: one quantum panel with six members, and one classical panel tested under both a powerful 30-feature view and a fair matched 4-feature view.</w:t>
      </w:r>
    </w:p>
    <w:p>
      <w:pPr>
        <w:pStyle w:val="Heading2"/>
        <w:keepNext/>
      </w:pPr>
      <w:r>
        <w:t>What makes the project credible</w:t>
      </w:r>
    </w:p>
    <w:p>
      <w:pPr>
        <w:spacing w:after="40" w:line="288" w:lineRule="auto"/>
        <w:numPr>
          <w:ilvl w:val="0"/>
          <w:numId w:val="10"/>
        </w:numPr>
      </w:pPr>
      <w:r>
        <w:rPr>
          <w:rFonts w:ascii="Calibri" w:hAnsi="Calibri"/>
          <w:color w:val="12181C"/>
        </w:rPr>
        <w:t>Two quantum paradigms: trainable variational circuits and quantum-kernel SVMs.</w:t>
      </w:r>
    </w:p>
    <w:p>
      <w:pPr>
        <w:spacing w:after="40" w:line="288" w:lineRule="auto"/>
        <w:numPr>
          <w:ilvl w:val="0"/>
          <w:numId w:val="10"/>
        </w:numPr>
      </w:pPr>
      <w:r>
        <w:rPr>
          <w:rFonts w:ascii="Calibri" w:hAnsi="Calibri"/>
          <w:color w:val="12181C"/>
        </w:rPr>
        <w:t>Four classical algorithms evaluated on all 30 features and the same selected four.</w:t>
      </w:r>
    </w:p>
    <w:p>
      <w:pPr>
        <w:spacing w:after="40" w:line="288" w:lineRule="auto"/>
        <w:numPr>
          <w:ilvl w:val="0"/>
          <w:numId w:val="10"/>
        </w:numPr>
      </w:pPr>
      <w:r>
        <w:rPr>
          <w:rFonts w:ascii="Calibri" w:hAnsi="Calibri"/>
          <w:color w:val="12181C"/>
        </w:rPr>
        <w:t>Malignant-positive clinical metrics plus fold-isolated preprocessing.</w:t>
      </w:r>
    </w:p>
    <w:p>
      <w:pPr>
        <w:spacing w:after="40" w:line="288" w:lineRule="auto"/>
        <w:numPr>
          <w:ilvl w:val="0"/>
          <w:numId w:val="10"/>
        </w:numPr>
      </w:pPr>
      <w:r>
        <w:rPr>
          <w:rFonts w:ascii="Calibri" w:hAnsi="Calibri"/>
          <w:color w:val="12181C"/>
        </w:rPr>
        <w:t>Real-name SHAP/LIME and saved, configuration-linked evidence.</w:t>
      </w:r>
    </w:p>
    <w:p>
      <w:pPr>
        <w:pStyle w:val="Heading1"/>
        <w:keepNext/>
      </w:pPr>
      <w:r>
        <w:t>2. What SIH26139 asks for</w:t>
      </w:r>
    </w:p>
    <w:p>
      <w:r>
        <w:rPr>
          <w:rFonts w:ascii="Calibri" w:hAnsi="Calibri"/>
          <w:i w:val="0"/>
          <w:color w:val="12181C"/>
        </w:rPr>
        <w:t>The problem asks for a hybrid quantum-classical machine-learning platform for early disease detection. It calls for classical preprocessing and feature engineering, quantum-enhanced classifiers such as QSVM/QNN/VQC, biomedical data ingestion, training, prediction, explainability, classical benchmarking, computational-efficiency evidence, generalization evidence, simulator compatibility, and a path toward near-term hardware.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000"/>
        <w:gridCol w:w="5660"/>
        <w:gridCol w:w="1700"/>
      </w:tblGrid>
      <w:tr>
        <w:trPr>
          <w:tblHeader w:val="true"/>
        </w:trPr>
        <w:tc>
          <w:tcPr>
            <w:tcW w:type="dxa" w:w="2000"/>
            <w:vAlign w:val="center"/>
            <w:shd w:fill="F2F0F8"/>
          </w:tcPr>
          <w:p>
            <w:pPr>
              <w:spacing w:before="0" w:after="0" w:line="240" w:lineRule="auto"/>
            </w:pPr>
            <w:r>
              <w:rPr>
                <w:rFonts w:ascii="Calibri" w:hAnsi="Calibri"/>
                <w:b/>
                <w:color w:val="12181C"/>
                <w:sz w:val="16"/>
              </w:rPr>
              <w:t>Objective</w:t>
            </w:r>
          </w:p>
        </w:tc>
        <w:tc>
          <w:tcPr>
            <w:tcW w:type="dxa" w:w="5660"/>
            <w:vAlign w:val="center"/>
            <w:shd w:fill="F2F0F8"/>
          </w:tcPr>
          <w:p>
            <w:pPr>
              <w:spacing w:before="0" w:after="0" w:line="240" w:lineRule="auto"/>
            </w:pPr>
            <w:r>
              <w:rPr>
                <w:rFonts w:ascii="Calibri" w:hAnsi="Calibri"/>
                <w:b/>
                <w:color w:val="12181C"/>
                <w:sz w:val="16"/>
              </w:rPr>
              <w:t>Q-TRACE implementation</w:t>
            </w:r>
          </w:p>
        </w:tc>
        <w:tc>
          <w:tcPr>
            <w:tcW w:type="dxa" w:w="1700"/>
            <w:vAlign w:val="center"/>
            <w:shd w:fill="F2F0F8"/>
          </w:tcPr>
          <w:p>
            <w:pPr>
              <w:spacing w:before="0" w:after="0" w:line="240" w:lineRule="auto"/>
            </w:pPr>
            <w:r>
              <w:rPr>
                <w:rFonts w:ascii="Calibri" w:hAnsi="Calibri"/>
                <w:b/>
                <w:color w:val="12181C"/>
                <w:sz w:val="16"/>
              </w:rPr>
              <w:t>Status</w:t>
            </w:r>
          </w:p>
        </w:tc>
      </w:tr>
      <w:tr>
        <w:tc>
          <w:tcPr>
            <w:tcW w:type="dxa" w:w="2000"/>
            <w:vAlign w:val="center"/>
          </w:tcPr>
          <w:p>
            <w:pPr>
              <w:spacing w:before="0" w:after="0" w:line="240" w:lineRule="auto"/>
            </w:pPr>
            <w:r>
              <w:rPr>
                <w:rFonts w:ascii="Calibri" w:hAnsi="Calibri"/>
                <w:b w:val="0"/>
                <w:color w:val="12181C"/>
                <w:sz w:val="16"/>
              </w:rPr>
              <w:t>Hybrid architecture</w:t>
            </w:r>
          </w:p>
        </w:tc>
        <w:tc>
          <w:tcPr>
            <w:tcW w:type="dxa" w:w="5660"/>
            <w:vAlign w:val="center"/>
          </w:tcPr>
          <w:p>
            <w:pPr>
              <w:spacing w:before="0" w:after="0" w:line="240" w:lineRule="auto"/>
            </w:pPr>
            <w:r>
              <w:rPr>
                <w:rFonts w:ascii="Calibri" w:hAnsi="Calibri"/>
                <w:b w:val="0"/>
                <w:color w:val="12181C"/>
                <w:sz w:val="16"/>
              </w:rPr>
              <w:t>Train-only classical preprocessing feeds VQC and QSVM quantum paths; classical baselines run beside them.</w:t>
            </w:r>
          </w:p>
        </w:tc>
        <w:tc>
          <w:tcPr>
            <w:tcW w:type="dxa" w:w="1700"/>
            <w:vAlign w:val="center"/>
          </w:tcPr>
          <w:p>
            <w:pPr>
              <w:spacing w:before="0" w:after="0" w:line="240" w:lineRule="auto"/>
            </w:pPr>
            <w:r>
              <w:rPr>
                <w:rFonts w:ascii="Calibri" w:hAnsi="Calibri"/>
                <w:b w:val="0"/>
                <w:color w:val="12181C"/>
                <w:sz w:val="16"/>
              </w:rPr>
              <w:t>Complete</w:t>
            </w:r>
          </w:p>
        </w:tc>
      </w:tr>
      <w:tr>
        <w:tc>
          <w:tcPr>
            <w:tcW w:type="dxa" w:w="2000"/>
            <w:vAlign w:val="center"/>
          </w:tcPr>
          <w:p>
            <w:pPr>
              <w:spacing w:before="0" w:after="0" w:line="240" w:lineRule="auto"/>
            </w:pPr>
            <w:r>
              <w:rPr>
                <w:rFonts w:ascii="Calibri" w:hAnsi="Calibri"/>
                <w:b w:val="0"/>
                <w:color w:val="12181C"/>
                <w:sz w:val="16"/>
              </w:rPr>
              <w:t>Quantum classification</w:t>
            </w:r>
          </w:p>
        </w:tc>
        <w:tc>
          <w:tcPr>
            <w:tcW w:type="dxa" w:w="5660"/>
            <w:vAlign w:val="center"/>
          </w:tcPr>
          <w:p>
            <w:pPr>
              <w:spacing w:before="0" w:after="0" w:line="240" w:lineRule="auto"/>
            </w:pPr>
            <w:r>
              <w:rPr>
                <w:rFonts w:ascii="Calibri" w:hAnsi="Calibri"/>
                <w:b w:val="0"/>
                <w:color w:val="12181C"/>
                <w:sz w:val="16"/>
              </w:rPr>
              <w:t>4 VQCs + angle/4q QSVM + amplitude/2q QSVM; OOB soft-vote ensemble.</w:t>
            </w:r>
          </w:p>
        </w:tc>
        <w:tc>
          <w:tcPr>
            <w:tcW w:type="dxa" w:w="1700"/>
            <w:vAlign w:val="center"/>
          </w:tcPr>
          <w:p>
            <w:pPr>
              <w:spacing w:before="0" w:after="0" w:line="240" w:lineRule="auto"/>
            </w:pPr>
            <w:r>
              <w:rPr>
                <w:rFonts w:ascii="Calibri" w:hAnsi="Calibri"/>
                <w:b w:val="0"/>
                <w:color w:val="12181C"/>
                <w:sz w:val="16"/>
              </w:rPr>
              <w:t>Complete</w:t>
            </w:r>
          </w:p>
        </w:tc>
      </w:tr>
      <w:tr>
        <w:tc>
          <w:tcPr>
            <w:tcW w:type="dxa" w:w="2000"/>
            <w:vAlign w:val="center"/>
          </w:tcPr>
          <w:p>
            <w:pPr>
              <w:spacing w:before="0" w:after="0" w:line="240" w:lineRule="auto"/>
            </w:pPr>
            <w:r>
              <w:rPr>
                <w:rFonts w:ascii="Calibri" w:hAnsi="Calibri"/>
                <w:b w:val="0"/>
                <w:color w:val="12181C"/>
                <w:sz w:val="16"/>
              </w:rPr>
              <w:t>Clinical metrics</w:t>
            </w:r>
          </w:p>
        </w:tc>
        <w:tc>
          <w:tcPr>
            <w:tcW w:type="dxa" w:w="5660"/>
            <w:vAlign w:val="center"/>
          </w:tcPr>
          <w:p>
            <w:pPr>
              <w:spacing w:before="0" w:after="0" w:line="240" w:lineRule="auto"/>
            </w:pPr>
            <w:r>
              <w:rPr>
                <w:rFonts w:ascii="Calibri" w:hAnsi="Calibri"/>
                <w:b w:val="0"/>
                <w:color w:val="12181C"/>
                <w:sz w:val="16"/>
              </w:rPr>
              <w:t>Accuracy, malignant sensitivity/specificity, precision/F1, confusion counts, ROC-AUC.</w:t>
            </w:r>
          </w:p>
        </w:tc>
        <w:tc>
          <w:tcPr>
            <w:tcW w:type="dxa" w:w="1700"/>
            <w:vAlign w:val="center"/>
          </w:tcPr>
          <w:p>
            <w:pPr>
              <w:spacing w:before="0" w:after="0" w:line="240" w:lineRule="auto"/>
            </w:pPr>
            <w:r>
              <w:rPr>
                <w:rFonts w:ascii="Calibri" w:hAnsi="Calibri"/>
                <w:b w:val="0"/>
                <w:color w:val="12181C"/>
                <w:sz w:val="16"/>
              </w:rPr>
              <w:t>Complete</w:t>
            </w:r>
          </w:p>
        </w:tc>
      </w:tr>
      <w:tr>
        <w:tc>
          <w:tcPr>
            <w:tcW w:type="dxa" w:w="2000"/>
            <w:vAlign w:val="center"/>
          </w:tcPr>
          <w:p>
            <w:pPr>
              <w:spacing w:before="0" w:after="0" w:line="240" w:lineRule="auto"/>
            </w:pPr>
            <w:r>
              <w:rPr>
                <w:rFonts w:ascii="Calibri" w:hAnsi="Calibri"/>
                <w:b w:val="0"/>
                <w:color w:val="12181C"/>
                <w:sz w:val="16"/>
              </w:rPr>
              <w:t>Interpretability</w:t>
            </w:r>
          </w:p>
        </w:tc>
        <w:tc>
          <w:tcPr>
            <w:tcW w:type="dxa" w:w="5660"/>
            <w:vAlign w:val="center"/>
          </w:tcPr>
          <w:p>
            <w:pPr>
              <w:spacing w:before="0" w:after="0" w:line="240" w:lineRule="auto"/>
            </w:pPr>
            <w:r>
              <w:rPr>
                <w:rFonts w:ascii="Calibri" w:hAnsi="Calibri"/>
                <w:b w:val="0"/>
                <w:color w:val="12181C"/>
                <w:sz w:val="16"/>
              </w:rPr>
              <w:t>Quantum and classical SHAP + LIME with original feature names.</w:t>
            </w:r>
          </w:p>
        </w:tc>
        <w:tc>
          <w:tcPr>
            <w:tcW w:type="dxa" w:w="1700"/>
            <w:vAlign w:val="center"/>
          </w:tcPr>
          <w:p>
            <w:pPr>
              <w:spacing w:before="0" w:after="0" w:line="240" w:lineRule="auto"/>
            </w:pPr>
            <w:r>
              <w:rPr>
                <w:rFonts w:ascii="Calibri" w:hAnsi="Calibri"/>
                <w:b w:val="0"/>
                <w:color w:val="12181C"/>
                <w:sz w:val="16"/>
              </w:rPr>
              <w:t>Complete</w:t>
            </w:r>
          </w:p>
        </w:tc>
      </w:tr>
      <w:tr>
        <w:tc>
          <w:tcPr>
            <w:tcW w:type="dxa" w:w="2000"/>
            <w:vAlign w:val="center"/>
          </w:tcPr>
          <w:p>
            <w:pPr>
              <w:spacing w:before="0" w:after="0" w:line="240" w:lineRule="auto"/>
            </w:pPr>
            <w:r>
              <w:rPr>
                <w:rFonts w:ascii="Calibri" w:hAnsi="Calibri"/>
                <w:b w:val="0"/>
                <w:color w:val="12181C"/>
                <w:sz w:val="16"/>
              </w:rPr>
              <w:t>Generalization / efficiency</w:t>
            </w:r>
          </w:p>
        </w:tc>
        <w:tc>
          <w:tcPr>
            <w:tcW w:type="dxa" w:w="5660"/>
            <w:vAlign w:val="center"/>
          </w:tcPr>
          <w:p>
            <w:pPr>
              <w:spacing w:before="0" w:after="0" w:line="240" w:lineRule="auto"/>
            </w:pPr>
            <w:r>
              <w:rPr>
                <w:rFonts w:ascii="Calibri" w:hAnsi="Calibri"/>
                <w:b w:val="0"/>
                <w:color w:val="12181C"/>
                <w:sz w:val="16"/>
              </w:rPr>
              <w:t>3-seed reports, 5 isolated folds, measured fit/predict and quantum pipeline time.</w:t>
            </w:r>
          </w:p>
        </w:tc>
        <w:tc>
          <w:tcPr>
            <w:tcW w:type="dxa" w:w="1700"/>
            <w:vAlign w:val="center"/>
          </w:tcPr>
          <w:p>
            <w:pPr>
              <w:spacing w:before="0" w:after="0" w:line="240" w:lineRule="auto"/>
            </w:pPr>
            <w:r>
              <w:rPr>
                <w:rFonts w:ascii="Calibri" w:hAnsi="Calibri"/>
                <w:b w:val="0"/>
                <w:color w:val="12181C"/>
                <w:sz w:val="16"/>
              </w:rPr>
              <w:t>Complete</w:t>
            </w:r>
          </w:p>
        </w:tc>
      </w:tr>
      <w:tr>
        <w:tc>
          <w:tcPr>
            <w:tcW w:type="dxa" w:w="2000"/>
            <w:vAlign w:val="center"/>
          </w:tcPr>
          <w:p>
            <w:pPr>
              <w:spacing w:before="0" w:after="0" w:line="240" w:lineRule="auto"/>
            </w:pPr>
            <w:r>
              <w:rPr>
                <w:rFonts w:ascii="Calibri" w:hAnsi="Calibri"/>
                <w:b w:val="0"/>
                <w:color w:val="12181C"/>
                <w:sz w:val="16"/>
              </w:rPr>
              <w:t>Simulator / hardware path</w:t>
            </w:r>
          </w:p>
        </w:tc>
        <w:tc>
          <w:tcPr>
            <w:tcW w:type="dxa" w:w="5660"/>
            <w:vAlign w:val="center"/>
          </w:tcPr>
          <w:p>
            <w:pPr>
              <w:spacing w:before="0" w:after="0" w:line="240" w:lineRule="auto"/>
            </w:pPr>
            <w:r>
              <w:rPr>
                <w:rFonts w:ascii="Calibri" w:hAnsi="Calibri"/>
                <w:b w:val="0"/>
                <w:color w:val="12181C"/>
                <w:sz w:val="16"/>
              </w:rPr>
              <w:t>Configurable PennyLane device; two simulator paths tested. Real QPU remains future validation.</w:t>
            </w:r>
          </w:p>
        </w:tc>
        <w:tc>
          <w:tcPr>
            <w:tcW w:type="dxa" w:w="1700"/>
            <w:vAlign w:val="center"/>
          </w:tcPr>
          <w:p>
            <w:pPr>
              <w:spacing w:before="0" w:after="0" w:line="240" w:lineRule="auto"/>
            </w:pPr>
            <w:r>
              <w:rPr>
                <w:rFonts w:ascii="Calibri" w:hAnsi="Calibri"/>
                <w:b w:val="0"/>
                <w:color w:val="12181C"/>
                <w:sz w:val="16"/>
              </w:rPr>
              <w:t>Engineering path</w:t>
            </w:r>
          </w:p>
        </w:tc>
      </w:tr>
    </w:tbl>
    <w:p>
      <w:pPr>
        <w:spacing w:after="0"/>
      </w:pPr>
    </w:p>
    <w:p>
      <w:pPr>
        <w:keepLines/>
        <w:spacing w:before="80" w:after="200" w:line="276" w:lineRule="auto"/>
        <w:ind w:left="173" w:right="115"/>
        <w:shd w:fill="FBF5EA"/>
        <w:pBdr>
          <w:left w:val="single" w:sz="18" w:space="10" w:color="7A5A00"/>
        </w:pBdr>
      </w:pPr>
      <w:r>
        <w:rPr>
          <w:rFonts w:ascii="Calibri" w:hAnsi="Calibri"/>
          <w:b/>
          <w:color w:val="7A5A00"/>
          <w:sz w:val="18"/>
        </w:rPr>
        <w:t xml:space="preserve">IMPORTANT BOUNDARY  </w:t>
      </w:r>
      <w:r>
        <w:rPr>
          <w:rFonts w:ascii="Calibri" w:hAnsi="Calibri"/>
          <w:color w:val="12181C"/>
          <w:sz w:val="21"/>
        </w:rPr>
        <w:t>The platform satisfies the software and research-demo scope on WBCD. It does not establish prospective early detection, hospital deployment, regulatory compliance, or real-hardware performance.</w:t>
      </w:r>
    </w:p>
    <w:p>
      <w:pPr>
        <w:pStyle w:val="Heading1"/>
        <w:keepNext/>
      </w:pPr>
      <w:r>
        <w:t>3. Definitions without jargon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900"/>
        <w:gridCol w:w="7460"/>
      </w:tblGrid>
      <w:tr>
        <w:trPr>
          <w:tblHeader w:val="true"/>
        </w:trPr>
        <w:tc>
          <w:tcPr>
            <w:tcW w:type="dxa" w:w="1900"/>
            <w:vAlign w:val="center"/>
            <w:shd w:fill="EBF5F4"/>
          </w:tcPr>
          <w:p>
            <w:pPr>
              <w:spacing w:before="0" w:after="0" w:line="240" w:lineRule="auto"/>
            </w:pPr>
            <w:r>
              <w:rPr>
                <w:rFonts w:ascii="Calibri" w:hAnsi="Calibri"/>
                <w:b/>
                <w:color w:val="12181C"/>
                <w:sz w:val="17"/>
              </w:rPr>
              <w:t>Term</w:t>
            </w:r>
          </w:p>
        </w:tc>
        <w:tc>
          <w:tcPr>
            <w:tcW w:type="dxa" w:w="7460"/>
            <w:vAlign w:val="center"/>
            <w:shd w:fill="EBF5F4"/>
          </w:tcPr>
          <w:p>
            <w:pPr>
              <w:spacing w:before="0" w:after="0" w:line="240" w:lineRule="auto"/>
            </w:pPr>
            <w:r>
              <w:rPr>
                <w:rFonts w:ascii="Calibri" w:hAnsi="Calibri"/>
                <w:b/>
                <w:color w:val="12181C"/>
                <w:sz w:val="17"/>
              </w:rPr>
              <w:t>Meaning in this project</w:t>
            </w:r>
          </w:p>
        </w:tc>
      </w:tr>
      <w:tr>
        <w:tc>
          <w:tcPr>
            <w:tcW w:type="dxa" w:w="1900"/>
            <w:vAlign w:val="center"/>
          </w:tcPr>
          <w:p>
            <w:pPr>
              <w:spacing w:before="0" w:after="0" w:line="240" w:lineRule="auto"/>
            </w:pPr>
            <w:r>
              <w:rPr>
                <w:rFonts w:ascii="Calibri" w:hAnsi="Calibri"/>
                <w:b w:val="0"/>
                <w:color w:val="12181C"/>
                <w:sz w:val="17"/>
              </w:rPr>
              <w:t>Biomedical dataset</w:t>
            </w:r>
          </w:p>
        </w:tc>
        <w:tc>
          <w:tcPr>
            <w:tcW w:type="dxa" w:w="7460"/>
            <w:vAlign w:val="center"/>
          </w:tcPr>
          <w:p>
            <w:pPr>
              <w:spacing w:before="0" w:after="0" w:line="240" w:lineRule="auto"/>
            </w:pPr>
            <w:r>
              <w:rPr>
                <w:rFonts w:ascii="Calibri" w:hAnsi="Calibri"/>
                <w:b w:val="0"/>
                <w:color w:val="12181C"/>
                <w:sz w:val="17"/>
              </w:rPr>
              <w:t>A structured collection of measurements and known outcomes. This prototype uses the public Wisconsin Breast Cancer Diagnostic dataset.</w:t>
            </w:r>
          </w:p>
        </w:tc>
      </w:tr>
      <w:tr>
        <w:tc>
          <w:tcPr>
            <w:tcW w:type="dxa" w:w="1900"/>
            <w:vAlign w:val="center"/>
          </w:tcPr>
          <w:p>
            <w:pPr>
              <w:spacing w:before="0" w:after="0" w:line="240" w:lineRule="auto"/>
            </w:pPr>
            <w:r>
              <w:rPr>
                <w:rFonts w:ascii="Calibri" w:hAnsi="Calibri"/>
                <w:b w:val="0"/>
                <w:color w:val="12181C"/>
                <w:sz w:val="17"/>
              </w:rPr>
              <w:t>Feature</w:t>
            </w:r>
          </w:p>
        </w:tc>
        <w:tc>
          <w:tcPr>
            <w:tcW w:type="dxa" w:w="7460"/>
            <w:vAlign w:val="center"/>
          </w:tcPr>
          <w:p>
            <w:pPr>
              <w:spacing w:before="0" w:after="0" w:line="240" w:lineRule="auto"/>
            </w:pPr>
            <w:r>
              <w:rPr>
                <w:rFonts w:ascii="Calibri" w:hAnsi="Calibri"/>
                <w:b w:val="0"/>
                <w:color w:val="12181C"/>
                <w:sz w:val="17"/>
              </w:rPr>
              <w:t>One measured property, such as worst radius or mean concave points.</w:t>
            </w:r>
          </w:p>
        </w:tc>
      </w:tr>
      <w:tr>
        <w:tc>
          <w:tcPr>
            <w:tcW w:type="dxa" w:w="1900"/>
            <w:vAlign w:val="center"/>
          </w:tcPr>
          <w:p>
            <w:pPr>
              <w:spacing w:before="0" w:after="0" w:line="240" w:lineRule="auto"/>
            </w:pPr>
            <w:r>
              <w:rPr>
                <w:rFonts w:ascii="Calibri" w:hAnsi="Calibri"/>
                <w:b w:val="0"/>
                <w:color w:val="12181C"/>
                <w:sz w:val="17"/>
              </w:rPr>
              <w:t>Label</w:t>
            </w:r>
          </w:p>
        </w:tc>
        <w:tc>
          <w:tcPr>
            <w:tcW w:type="dxa" w:w="7460"/>
            <w:vAlign w:val="center"/>
          </w:tcPr>
          <w:p>
            <w:pPr>
              <w:spacing w:before="0" w:after="0" w:line="240" w:lineRule="auto"/>
            </w:pPr>
            <w:r>
              <w:rPr>
                <w:rFonts w:ascii="Calibri" w:hAnsi="Calibri"/>
                <w:b w:val="0"/>
                <w:color w:val="12181C"/>
                <w:sz w:val="17"/>
              </w:rPr>
              <w:t>The outcome the model learns. In sklearn WBCD, 0 means malignant and 1 means benign.</w:t>
            </w:r>
          </w:p>
        </w:tc>
      </w:tr>
      <w:tr>
        <w:tc>
          <w:tcPr>
            <w:tcW w:type="dxa" w:w="1900"/>
            <w:vAlign w:val="center"/>
          </w:tcPr>
          <w:p>
            <w:pPr>
              <w:spacing w:before="0" w:after="0" w:line="240" w:lineRule="auto"/>
            </w:pPr>
            <w:r>
              <w:rPr>
                <w:rFonts w:ascii="Calibri" w:hAnsi="Calibri"/>
                <w:b w:val="0"/>
                <w:color w:val="12181C"/>
                <w:sz w:val="17"/>
              </w:rPr>
              <w:t>Qubit</w:t>
            </w:r>
          </w:p>
        </w:tc>
        <w:tc>
          <w:tcPr>
            <w:tcW w:type="dxa" w:w="7460"/>
            <w:vAlign w:val="center"/>
          </w:tcPr>
          <w:p>
            <w:pPr>
              <w:spacing w:before="0" w:after="0" w:line="240" w:lineRule="auto"/>
            </w:pPr>
            <w:r>
              <w:rPr>
                <w:rFonts w:ascii="Calibri" w:hAnsi="Calibri"/>
                <w:b w:val="0"/>
                <w:color w:val="12181C"/>
                <w:sz w:val="17"/>
              </w:rPr>
              <w:t>The basic information unit of a quantum circuit. A simulator calculates its quantum state on a normal CPU.</w:t>
            </w:r>
          </w:p>
        </w:tc>
      </w:tr>
      <w:tr>
        <w:tc>
          <w:tcPr>
            <w:tcW w:type="dxa" w:w="1900"/>
            <w:vAlign w:val="center"/>
          </w:tcPr>
          <w:p>
            <w:pPr>
              <w:spacing w:before="0" w:after="0" w:line="240" w:lineRule="auto"/>
            </w:pPr>
            <w:r>
              <w:rPr>
                <w:rFonts w:ascii="Calibri" w:hAnsi="Calibri"/>
                <w:b w:val="0"/>
                <w:color w:val="12181C"/>
                <w:sz w:val="17"/>
              </w:rPr>
              <w:t>Embedding</w:t>
            </w:r>
          </w:p>
        </w:tc>
        <w:tc>
          <w:tcPr>
            <w:tcW w:type="dxa" w:w="7460"/>
            <w:vAlign w:val="center"/>
          </w:tcPr>
          <w:p>
            <w:pPr>
              <w:spacing w:before="0" w:after="0" w:line="240" w:lineRule="auto"/>
            </w:pPr>
            <w:r>
              <w:rPr>
                <w:rFonts w:ascii="Calibri" w:hAnsi="Calibri"/>
                <w:b w:val="0"/>
                <w:color w:val="12181C"/>
                <w:sz w:val="17"/>
              </w:rPr>
              <w:t>The rule that turns classical feature values into quantum-circuit states.</w:t>
            </w:r>
          </w:p>
        </w:tc>
      </w:tr>
      <w:tr>
        <w:tc>
          <w:tcPr>
            <w:tcW w:type="dxa" w:w="1900"/>
            <w:vAlign w:val="center"/>
          </w:tcPr>
          <w:p>
            <w:pPr>
              <w:spacing w:before="0" w:after="0" w:line="240" w:lineRule="auto"/>
            </w:pPr>
            <w:r>
              <w:rPr>
                <w:rFonts w:ascii="Calibri" w:hAnsi="Calibri"/>
                <w:b w:val="0"/>
                <w:color w:val="12181C"/>
                <w:sz w:val="17"/>
              </w:rPr>
              <w:t>VQC / QNN</w:t>
            </w:r>
          </w:p>
        </w:tc>
        <w:tc>
          <w:tcPr>
            <w:tcW w:type="dxa" w:w="7460"/>
            <w:vAlign w:val="center"/>
          </w:tcPr>
          <w:p>
            <w:pPr>
              <w:spacing w:before="0" w:after="0" w:line="240" w:lineRule="auto"/>
            </w:pPr>
            <w:r>
              <w:rPr>
                <w:rFonts w:ascii="Calibri" w:hAnsi="Calibri"/>
                <w:b w:val="0"/>
                <w:color w:val="12181C"/>
                <w:sz w:val="17"/>
              </w:rPr>
              <w:t>A trainable quantum circuit. Classical optimization changes rotation weights to reduce prediction loss.</w:t>
            </w:r>
          </w:p>
        </w:tc>
      </w:tr>
      <w:tr>
        <w:tc>
          <w:tcPr>
            <w:tcW w:type="dxa" w:w="1900"/>
            <w:vAlign w:val="center"/>
          </w:tcPr>
          <w:p>
            <w:pPr>
              <w:spacing w:before="0" w:after="0" w:line="240" w:lineRule="auto"/>
            </w:pPr>
            <w:r>
              <w:rPr>
                <w:rFonts w:ascii="Calibri" w:hAnsi="Calibri"/>
                <w:b w:val="0"/>
                <w:color w:val="12181C"/>
                <w:sz w:val="17"/>
              </w:rPr>
              <w:t>QSVM</w:t>
            </w:r>
          </w:p>
        </w:tc>
        <w:tc>
          <w:tcPr>
            <w:tcW w:type="dxa" w:w="7460"/>
            <w:vAlign w:val="center"/>
          </w:tcPr>
          <w:p>
            <w:pPr>
              <w:spacing w:before="0" w:after="0" w:line="240" w:lineRule="auto"/>
            </w:pPr>
            <w:r>
              <w:rPr>
                <w:rFonts w:ascii="Calibri" w:hAnsi="Calibri"/>
                <w:b w:val="0"/>
                <w:color w:val="12181C"/>
                <w:sz w:val="17"/>
              </w:rPr>
              <w:t>A support-vector machine using similarities computed by a quantum feature map. The SVM itself is classical.</w:t>
            </w:r>
          </w:p>
        </w:tc>
      </w:tr>
      <w:tr>
        <w:tc>
          <w:tcPr>
            <w:tcW w:type="dxa" w:w="1900"/>
            <w:vAlign w:val="center"/>
          </w:tcPr>
          <w:p>
            <w:pPr>
              <w:spacing w:before="0" w:after="0" w:line="240" w:lineRule="auto"/>
            </w:pPr>
            <w:r>
              <w:rPr>
                <w:rFonts w:ascii="Calibri" w:hAnsi="Calibri"/>
                <w:b w:val="0"/>
                <w:color w:val="12181C"/>
                <w:sz w:val="17"/>
              </w:rPr>
              <w:t>Kernel</w:t>
            </w:r>
          </w:p>
        </w:tc>
        <w:tc>
          <w:tcPr>
            <w:tcW w:type="dxa" w:w="7460"/>
            <w:vAlign w:val="center"/>
          </w:tcPr>
          <w:p>
            <w:pPr>
              <w:spacing w:before="0" w:after="0" w:line="240" w:lineRule="auto"/>
            </w:pPr>
            <w:r>
              <w:rPr>
                <w:rFonts w:ascii="Calibri" w:hAnsi="Calibri"/>
                <w:b w:val="0"/>
                <w:color w:val="12181C"/>
                <w:sz w:val="17"/>
              </w:rPr>
              <w:t>A similarity function. Here it is quantum-state fidelity between two embedded records.</w:t>
            </w:r>
          </w:p>
        </w:tc>
      </w:tr>
      <w:tr>
        <w:tc>
          <w:tcPr>
            <w:tcW w:type="dxa" w:w="1900"/>
            <w:vAlign w:val="center"/>
          </w:tcPr>
          <w:p>
            <w:pPr>
              <w:spacing w:before="0" w:after="0" w:line="240" w:lineRule="auto"/>
            </w:pPr>
            <w:r>
              <w:rPr>
                <w:rFonts w:ascii="Calibri" w:hAnsi="Calibri"/>
                <w:b w:val="0"/>
                <w:color w:val="12181C"/>
                <w:sz w:val="17"/>
              </w:rPr>
              <w:t>OOB weighting</w:t>
            </w:r>
          </w:p>
        </w:tc>
        <w:tc>
          <w:tcPr>
            <w:tcW w:type="dxa" w:w="7460"/>
            <w:vAlign w:val="center"/>
          </w:tcPr>
          <w:p>
            <w:pPr>
              <w:spacing w:before="0" w:after="0" w:line="240" w:lineRule="auto"/>
            </w:pPr>
            <w:r>
              <w:rPr>
                <w:rFonts w:ascii="Calibri" w:hAnsi="Calibri"/>
                <w:b w:val="0"/>
                <w:color w:val="12181C"/>
                <w:sz w:val="17"/>
              </w:rPr>
              <w:t>Each ensemble member is scored on rows omitted from its bootstrap sample; lower probability error earns more voting weight.</w:t>
            </w:r>
          </w:p>
        </w:tc>
      </w:tr>
      <w:tr>
        <w:tc>
          <w:tcPr>
            <w:tcW w:type="dxa" w:w="1900"/>
            <w:vAlign w:val="center"/>
          </w:tcPr>
          <w:p>
            <w:pPr>
              <w:spacing w:before="0" w:after="0" w:line="240" w:lineRule="auto"/>
            </w:pPr>
            <w:r>
              <w:rPr>
                <w:rFonts w:ascii="Calibri" w:hAnsi="Calibri"/>
                <w:b w:val="0"/>
                <w:color w:val="12181C"/>
                <w:sz w:val="17"/>
              </w:rPr>
              <w:t>Sensitivity</w:t>
            </w:r>
          </w:p>
        </w:tc>
        <w:tc>
          <w:tcPr>
            <w:tcW w:type="dxa" w:w="7460"/>
            <w:vAlign w:val="center"/>
          </w:tcPr>
          <w:p>
            <w:pPr>
              <w:spacing w:before="0" w:after="0" w:line="240" w:lineRule="auto"/>
            </w:pPr>
            <w:r>
              <w:rPr>
                <w:rFonts w:ascii="Calibri" w:hAnsi="Calibri"/>
                <w:b w:val="0"/>
                <w:color w:val="12181C"/>
                <w:sz w:val="17"/>
              </w:rPr>
              <w:t>Of all malignant cases, the fraction correctly flagged malignant. Missing one is a false negative.</w:t>
            </w:r>
          </w:p>
        </w:tc>
      </w:tr>
      <w:tr>
        <w:tc>
          <w:tcPr>
            <w:tcW w:type="dxa" w:w="1900"/>
            <w:vAlign w:val="center"/>
          </w:tcPr>
          <w:p>
            <w:pPr>
              <w:spacing w:before="0" w:after="0" w:line="240" w:lineRule="auto"/>
            </w:pPr>
            <w:r>
              <w:rPr>
                <w:rFonts w:ascii="Calibri" w:hAnsi="Calibri"/>
                <w:b w:val="0"/>
                <w:color w:val="12181C"/>
                <w:sz w:val="17"/>
              </w:rPr>
              <w:t>Specificity</w:t>
            </w:r>
          </w:p>
        </w:tc>
        <w:tc>
          <w:tcPr>
            <w:tcW w:type="dxa" w:w="7460"/>
            <w:vAlign w:val="center"/>
          </w:tcPr>
          <w:p>
            <w:pPr>
              <w:spacing w:before="0" w:after="0" w:line="240" w:lineRule="auto"/>
            </w:pPr>
            <w:r>
              <w:rPr>
                <w:rFonts w:ascii="Calibri" w:hAnsi="Calibri"/>
                <w:b w:val="0"/>
                <w:color w:val="12181C"/>
                <w:sz w:val="17"/>
              </w:rPr>
              <w:t>Of all benign cases, the fraction correctly identified benign.</w:t>
            </w:r>
          </w:p>
        </w:tc>
      </w:tr>
      <w:tr>
        <w:tc>
          <w:tcPr>
            <w:tcW w:type="dxa" w:w="1900"/>
            <w:vAlign w:val="center"/>
          </w:tcPr>
          <w:p>
            <w:pPr>
              <w:spacing w:before="0" w:after="0" w:line="240" w:lineRule="auto"/>
            </w:pPr>
            <w:r>
              <w:rPr>
                <w:rFonts w:ascii="Calibri" w:hAnsi="Calibri"/>
                <w:b w:val="0"/>
                <w:color w:val="12181C"/>
                <w:sz w:val="17"/>
              </w:rPr>
              <w:t>SHAP / LIME</w:t>
            </w:r>
          </w:p>
        </w:tc>
        <w:tc>
          <w:tcPr>
            <w:tcW w:type="dxa" w:w="7460"/>
            <w:vAlign w:val="center"/>
          </w:tcPr>
          <w:p>
            <w:pPr>
              <w:spacing w:before="0" w:after="0" w:line="240" w:lineRule="auto"/>
            </w:pPr>
            <w:r>
              <w:rPr>
                <w:rFonts w:ascii="Calibri" w:hAnsi="Calibri"/>
                <w:b w:val="0"/>
                <w:color w:val="12181C"/>
                <w:sz w:val="17"/>
              </w:rPr>
              <w:t>Two model-agnostic attribution methods used to cross-check which inputs pushed a prediction toward benign or malignant.</w:t>
            </w:r>
          </w:p>
        </w:tc>
      </w:tr>
    </w:tbl>
    <w:p>
      <w:pPr>
        <w:spacing w:after="0"/>
      </w:pPr>
    </w:p>
    <w:p>
      <w:pPr>
        <w:pStyle w:val="Heading1"/>
        <w:keepNext/>
      </w:pPr>
      <w:r>
        <w:t>4. End-to-end flow</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337"/>
        <w:gridCol w:w="1337"/>
        <w:gridCol w:w="1337"/>
        <w:gridCol w:w="1337"/>
        <w:gridCol w:w="1337"/>
        <w:gridCol w:w="1337"/>
        <w:gridCol w:w="1338"/>
      </w:tblGrid>
      <w:tr>
        <w:trPr>
          <w:tblHeader w:val="true"/>
        </w:trPr>
        <w:tc>
          <w:tcPr>
            <w:tcW w:type="dxa" w:w="1337"/>
            <w:vAlign w:val="center"/>
            <w:shd w:fill="F2F0F8"/>
          </w:tcPr>
          <w:p>
            <w:pPr>
              <w:spacing w:before="0" w:after="0" w:line="240" w:lineRule="auto"/>
            </w:pPr>
            <w:r>
              <w:rPr>
                <w:rFonts w:ascii="Calibri" w:hAnsi="Calibri"/>
                <w:b/>
                <w:color w:val="12181C"/>
                <w:sz w:val="14"/>
              </w:rPr>
              <w:t>1  INGEST</w:t>
            </w:r>
          </w:p>
        </w:tc>
        <w:tc>
          <w:tcPr>
            <w:tcW w:type="dxa" w:w="1337"/>
            <w:vAlign w:val="center"/>
            <w:shd w:fill="F2F0F8"/>
          </w:tcPr>
          <w:p>
            <w:pPr>
              <w:spacing w:before="0" w:after="0" w:line="240" w:lineRule="auto"/>
            </w:pPr>
            <w:r>
              <w:rPr>
                <w:rFonts w:ascii="Calibri" w:hAnsi="Calibri"/>
                <w:b/>
                <w:color w:val="12181C"/>
                <w:sz w:val="14"/>
              </w:rPr>
              <w:t>2  SPLIT</w:t>
            </w:r>
          </w:p>
        </w:tc>
        <w:tc>
          <w:tcPr>
            <w:tcW w:type="dxa" w:w="1337"/>
            <w:vAlign w:val="center"/>
            <w:shd w:fill="F2F0F8"/>
          </w:tcPr>
          <w:p>
            <w:pPr>
              <w:spacing w:before="0" w:after="0" w:line="240" w:lineRule="auto"/>
            </w:pPr>
            <w:r>
              <w:rPr>
                <w:rFonts w:ascii="Calibri" w:hAnsi="Calibri"/>
                <w:b/>
                <w:color w:val="12181C"/>
                <w:sz w:val="14"/>
              </w:rPr>
              <w:t>3  PREPROCESS</w:t>
            </w:r>
          </w:p>
        </w:tc>
        <w:tc>
          <w:tcPr>
            <w:tcW w:type="dxa" w:w="1337"/>
            <w:vAlign w:val="center"/>
            <w:shd w:fill="F2F0F8"/>
          </w:tcPr>
          <w:p>
            <w:pPr>
              <w:spacing w:before="0" w:after="0" w:line="240" w:lineRule="auto"/>
            </w:pPr>
            <w:r>
              <w:rPr>
                <w:rFonts w:ascii="Calibri" w:hAnsi="Calibri"/>
                <w:b/>
                <w:color w:val="12181C"/>
                <w:sz w:val="14"/>
              </w:rPr>
              <w:t>4  SELECT</w:t>
            </w:r>
          </w:p>
        </w:tc>
        <w:tc>
          <w:tcPr>
            <w:tcW w:type="dxa" w:w="1337"/>
            <w:vAlign w:val="center"/>
            <w:shd w:fill="F2F0F8"/>
          </w:tcPr>
          <w:p>
            <w:pPr>
              <w:spacing w:before="0" w:after="0" w:line="240" w:lineRule="auto"/>
            </w:pPr>
            <w:r>
              <w:rPr>
                <w:rFonts w:ascii="Calibri" w:hAnsi="Calibri"/>
                <w:b/>
                <w:color w:val="12181C"/>
                <w:sz w:val="14"/>
              </w:rPr>
              <w:t>5  MODEL</w:t>
            </w:r>
          </w:p>
        </w:tc>
        <w:tc>
          <w:tcPr>
            <w:tcW w:type="dxa" w:w="1337"/>
            <w:vAlign w:val="center"/>
            <w:shd w:fill="F2F0F8"/>
          </w:tcPr>
          <w:p>
            <w:pPr>
              <w:spacing w:before="0" w:after="0" w:line="240" w:lineRule="auto"/>
            </w:pPr>
            <w:r>
              <w:rPr>
                <w:rFonts w:ascii="Calibri" w:hAnsi="Calibri"/>
                <w:b/>
                <w:color w:val="12181C"/>
                <w:sz w:val="14"/>
              </w:rPr>
              <w:t>6  COMPARE</w:t>
            </w:r>
          </w:p>
        </w:tc>
        <w:tc>
          <w:tcPr>
            <w:tcW w:type="dxa" w:w="1338"/>
            <w:vAlign w:val="center"/>
            <w:shd w:fill="F2F0F8"/>
          </w:tcPr>
          <w:p>
            <w:pPr>
              <w:spacing w:before="0" w:after="0" w:line="240" w:lineRule="auto"/>
            </w:pPr>
            <w:r>
              <w:rPr>
                <w:rFonts w:ascii="Calibri" w:hAnsi="Calibri"/>
                <w:b/>
                <w:color w:val="12181C"/>
                <w:sz w:val="14"/>
              </w:rPr>
              <w:t>7  EXPLAIN</w:t>
            </w:r>
          </w:p>
        </w:tc>
      </w:tr>
      <w:tr>
        <w:tc>
          <w:tcPr>
            <w:tcW w:type="dxa" w:w="1337"/>
            <w:vAlign w:val="center"/>
          </w:tcPr>
          <w:p>
            <w:pPr>
              <w:spacing w:before="0" w:after="0" w:line="240" w:lineRule="auto"/>
            </w:pPr>
            <w:r>
              <w:rPr>
                <w:rFonts w:ascii="Calibri" w:hAnsi="Calibri"/>
                <w:b w:val="0"/>
                <w:color w:val="12181C"/>
                <w:sz w:val="14"/>
              </w:rPr>
              <w:t>30 named values</w:t>
            </w:r>
          </w:p>
        </w:tc>
        <w:tc>
          <w:tcPr>
            <w:tcW w:type="dxa" w:w="1337"/>
            <w:vAlign w:val="center"/>
          </w:tcPr>
          <w:p>
            <w:pPr>
              <w:spacing w:before="0" w:after="0" w:line="240" w:lineRule="auto"/>
            </w:pPr>
            <w:r>
              <w:rPr>
                <w:rFonts w:ascii="Calibri" w:hAnsi="Calibri"/>
                <w:b w:val="0"/>
                <w:color w:val="12181C"/>
                <w:sz w:val="14"/>
              </w:rPr>
              <w:t>Stratified rows</w:t>
            </w:r>
          </w:p>
        </w:tc>
        <w:tc>
          <w:tcPr>
            <w:tcW w:type="dxa" w:w="1337"/>
            <w:vAlign w:val="center"/>
          </w:tcPr>
          <w:p>
            <w:pPr>
              <w:spacing w:before="0" w:after="0" w:line="240" w:lineRule="auto"/>
            </w:pPr>
            <w:r>
              <w:rPr>
                <w:rFonts w:ascii="Calibri" w:hAnsi="Calibri"/>
                <w:b w:val="0"/>
                <w:color w:val="12181C"/>
                <w:sz w:val="14"/>
              </w:rPr>
              <w:t>Impute + scale</w:t>
            </w:r>
          </w:p>
        </w:tc>
        <w:tc>
          <w:tcPr>
            <w:tcW w:type="dxa" w:w="1337"/>
            <w:vAlign w:val="center"/>
          </w:tcPr>
          <w:p>
            <w:pPr>
              <w:spacing w:before="0" w:after="0" w:line="240" w:lineRule="auto"/>
            </w:pPr>
            <w:r>
              <w:rPr>
                <w:rFonts w:ascii="Calibri" w:hAnsi="Calibri"/>
                <w:b w:val="0"/>
                <w:color w:val="12181C"/>
                <w:sz w:val="14"/>
              </w:rPr>
              <w:t>ANOVA top 4</w:t>
            </w:r>
          </w:p>
        </w:tc>
        <w:tc>
          <w:tcPr>
            <w:tcW w:type="dxa" w:w="1337"/>
            <w:vAlign w:val="center"/>
          </w:tcPr>
          <w:p>
            <w:pPr>
              <w:spacing w:before="0" w:after="0" w:line="240" w:lineRule="auto"/>
            </w:pPr>
            <w:r>
              <w:rPr>
                <w:rFonts w:ascii="Calibri" w:hAnsi="Calibri"/>
                <w:b w:val="0"/>
                <w:color w:val="12181C"/>
                <w:sz w:val="14"/>
              </w:rPr>
              <w:t>Quantum + classical</w:t>
            </w:r>
          </w:p>
        </w:tc>
        <w:tc>
          <w:tcPr>
            <w:tcW w:type="dxa" w:w="1337"/>
            <w:vAlign w:val="center"/>
          </w:tcPr>
          <w:p>
            <w:pPr>
              <w:spacing w:before="0" w:after="0" w:line="240" w:lineRule="auto"/>
            </w:pPr>
            <w:r>
              <w:rPr>
                <w:rFonts w:ascii="Calibri" w:hAnsi="Calibri"/>
                <w:b w:val="0"/>
                <w:color w:val="12181C"/>
                <w:sz w:val="14"/>
              </w:rPr>
              <w:t>Equal results</w:t>
            </w:r>
          </w:p>
        </w:tc>
        <w:tc>
          <w:tcPr>
            <w:tcW w:type="dxa" w:w="1338"/>
            <w:vAlign w:val="center"/>
          </w:tcPr>
          <w:p>
            <w:pPr>
              <w:spacing w:before="0" w:after="0" w:line="240" w:lineRule="auto"/>
            </w:pPr>
            <w:r>
              <w:rPr>
                <w:rFonts w:ascii="Calibri" w:hAnsi="Calibri"/>
                <w:b w:val="0"/>
                <w:color w:val="12181C"/>
                <w:sz w:val="14"/>
              </w:rPr>
              <w:t>SHAP + LIME</w:t>
            </w:r>
          </w:p>
        </w:tc>
      </w:tr>
    </w:tbl>
    <w:p>
      <w:pPr>
        <w:spacing w:after="0"/>
      </w:pPr>
    </w:p>
    <w:p>
      <w:pPr>
        <w:spacing w:after="40" w:line="288" w:lineRule="auto"/>
        <w:numPr>
          <w:ilvl w:val="0"/>
          <w:numId w:val="11"/>
        </w:numPr>
      </w:pPr>
      <w:r>
        <w:rPr>
          <w:rFonts w:ascii="Calibri" w:hAnsi="Calibri"/>
          <w:color w:val="12181C"/>
        </w:rPr>
        <w:t>Ingest a held-out record or an exact named 30-feature CSV row.</w:t>
      </w:r>
    </w:p>
    <w:p>
      <w:pPr>
        <w:spacing w:after="40" w:line="288" w:lineRule="auto"/>
        <w:numPr>
          <w:ilvl w:val="0"/>
          <w:numId w:val="11"/>
        </w:numPr>
      </w:pPr>
      <w:r>
        <w:rPr>
          <w:rFonts w:ascii="Calibri" w:hAnsi="Calibri"/>
          <w:color w:val="12181C"/>
        </w:rPr>
        <w:t>Split first, preserving untouched test or validation rows.</w:t>
      </w:r>
    </w:p>
    <w:p>
      <w:pPr>
        <w:spacing w:after="40" w:line="288" w:lineRule="auto"/>
        <w:numPr>
          <w:ilvl w:val="0"/>
          <w:numId w:val="11"/>
        </w:numPr>
      </w:pPr>
      <w:r>
        <w:rPr>
          <w:rFonts w:ascii="Calibri" w:hAnsi="Calibri"/>
          <w:color w:val="12181C"/>
        </w:rPr>
        <w:t>Fit median imputation and standard scaling only on training rows.</w:t>
      </w:r>
    </w:p>
    <w:p>
      <w:pPr>
        <w:spacing w:after="40" w:line="288" w:lineRule="auto"/>
        <w:numPr>
          <w:ilvl w:val="0"/>
          <w:numId w:val="11"/>
        </w:numPr>
      </w:pPr>
      <w:r>
        <w:rPr>
          <w:rFonts w:ascii="Calibri" w:hAnsi="Calibri"/>
          <w:color w:val="12181C"/>
        </w:rPr>
        <w:t>Select four real columns with SelectKBest(f_classif), never PCA.</w:t>
      </w:r>
    </w:p>
    <w:p>
      <w:pPr>
        <w:spacing w:after="40" w:line="288" w:lineRule="auto"/>
        <w:numPr>
          <w:ilvl w:val="0"/>
          <w:numId w:val="11"/>
        </w:numPr>
      </w:pPr>
      <w:r>
        <w:rPr>
          <w:rFonts w:ascii="Calibri" w:hAnsi="Calibri"/>
          <w:color w:val="12181C"/>
        </w:rPr>
        <w:t>Scale quantum inputs inside (0, pi) and preserve three label representations.</w:t>
      </w:r>
    </w:p>
    <w:p>
      <w:pPr>
        <w:spacing w:after="40" w:line="288" w:lineRule="auto"/>
        <w:numPr>
          <w:ilvl w:val="0"/>
          <w:numId w:val="11"/>
        </w:numPr>
      </w:pPr>
      <w:r>
        <w:rPr>
          <w:rFonts w:ascii="Calibri" w:hAnsi="Calibri"/>
          <w:color w:val="12181C"/>
        </w:rPr>
        <w:t>Run six quantum members plus both classical views; apply frozen OOB weights.</w:t>
      </w:r>
    </w:p>
    <w:p>
      <w:pPr>
        <w:spacing w:after="40" w:line="288" w:lineRule="auto"/>
        <w:numPr>
          <w:ilvl w:val="0"/>
          <w:numId w:val="11"/>
        </w:numPr>
      </w:pPr>
      <w:r>
        <w:rPr>
          <w:rFonts w:ascii="Calibri" w:hAnsi="Calibri"/>
          <w:color w:val="12181C"/>
        </w:rPr>
        <w:t>Show both verdicts equally, then compute attribution on request.</w:t>
      </w:r>
    </w:p>
    <w:p>
      <w:pPr>
        <w:pStyle w:val="Heading1"/>
        <w:keepNext/>
      </w:pPr>
      <w:r>
        <w:t>5. Data pipeline and leakage control</w:t>
      </w:r>
    </w:p>
    <w:p>
      <w:r>
        <w:rPr>
          <w:rFonts w:ascii="Calibri" w:hAnsi="Calibri"/>
          <w:i w:val="0"/>
          <w:color w:val="12181C"/>
        </w:rPr>
        <w:t>WBCD contains 569 records and 30 numeric features derived from digitized fine-needle-aspirate images of breast masses. Q-TRACE uses the sklearn copy of this benchmark. It is useful for a reproducible hackathon prototype, but it is neither a screening population nor a prospective hospital cohort.</w:t>
      </w:r>
    </w:p>
    <w:p>
      <w:pPr>
        <w:pStyle w:val="Heading2"/>
        <w:keepNext/>
      </w:pPr>
      <w:r>
        <w:t>Selected clinical signals</w:t>
      </w:r>
    </w:p>
    <w:p>
      <w:pPr>
        <w:spacing w:after="40" w:line="288" w:lineRule="auto"/>
        <w:numPr>
          <w:ilvl w:val="0"/>
          <w:numId w:val="10"/>
        </w:numPr>
      </w:pPr>
      <w:r>
        <w:rPr>
          <w:rFonts w:ascii="Calibri" w:hAnsi="Calibri"/>
          <w:color w:val="12181C"/>
        </w:rPr>
        <w:t>mean concave points</w:t>
      </w:r>
    </w:p>
    <w:p>
      <w:pPr>
        <w:spacing w:after="40" w:line="288" w:lineRule="auto"/>
        <w:numPr>
          <w:ilvl w:val="0"/>
          <w:numId w:val="10"/>
        </w:numPr>
      </w:pPr>
      <w:r>
        <w:rPr>
          <w:rFonts w:ascii="Calibri" w:hAnsi="Calibri"/>
          <w:color w:val="12181C"/>
        </w:rPr>
        <w:t>worst radius</w:t>
      </w:r>
    </w:p>
    <w:p>
      <w:pPr>
        <w:spacing w:after="40" w:line="288" w:lineRule="auto"/>
        <w:numPr>
          <w:ilvl w:val="0"/>
          <w:numId w:val="10"/>
        </w:numPr>
      </w:pPr>
      <w:r>
        <w:rPr>
          <w:rFonts w:ascii="Calibri" w:hAnsi="Calibri"/>
          <w:color w:val="12181C"/>
        </w:rPr>
        <w:t>worst perimeter</w:t>
      </w:r>
    </w:p>
    <w:p>
      <w:pPr>
        <w:spacing w:after="40" w:line="288" w:lineRule="auto"/>
        <w:numPr>
          <w:ilvl w:val="0"/>
          <w:numId w:val="10"/>
        </w:numPr>
      </w:pPr>
      <w:r>
        <w:rPr>
          <w:rFonts w:ascii="Calibri" w:hAnsi="Calibri"/>
          <w:color w:val="12181C"/>
        </w:rPr>
        <w:t>worst concave points</w:t>
      </w:r>
    </w:p>
    <w:p>
      <w:r>
        <w:rPr>
          <w:rFonts w:ascii="Calibri" w:hAnsi="Calibri"/>
          <w:i w:val="0"/>
          <w:color w:val="12181C"/>
        </w:rPr>
        <w:t>All five cross-validation folds selected the same four names in the retained run. That consistency is informative but not proof they will remain optimal in another cohort.</w:t>
      </w:r>
    </w:p>
    <w:p>
      <w:pPr>
        <w:pStyle w:val="Heading2"/>
        <w:keepNext/>
      </w:pPr>
      <w:r>
        <w:t>Leakage-safe rule</w:t>
      </w:r>
    </w:p>
    <w:p>
      <w:pPr>
        <w:keepLines/>
        <w:spacing w:before="80" w:after="200" w:line="276" w:lineRule="auto"/>
        <w:ind w:left="173" w:right="115"/>
        <w:shd w:fill="EBF5F4"/>
        <w:pBdr>
          <w:left w:val="single" w:sz="18" w:space="10" w:color="0E7C7B"/>
        </w:pBdr>
      </w:pPr>
      <w:r>
        <w:rPr>
          <w:rFonts w:ascii="Calibri" w:hAnsi="Calibri"/>
          <w:b/>
          <w:color w:val="0E7C7B"/>
          <w:sz w:val="18"/>
        </w:rPr>
        <w:t xml:space="preserve">FOLD ISOLATION  </w:t>
      </w:r>
      <w:r>
        <w:rPr>
          <w:rFonts w:ascii="Calibri" w:hAnsi="Calibri"/>
          <w:color w:val="12181C"/>
          <w:sz w:val="21"/>
        </w:rPr>
        <w:t>For each fold, imputer statistics, standard-scaler parameters, ANOVA scores, selected columns, and quantum min/max scaling are learned only from that fold's training rows. Validation rows are transformed afterward.</w:t>
      </w:r>
    </w:p>
    <w:p>
      <w:pPr>
        <w:pStyle w:val="Heading1"/>
        <w:keepNext/>
      </w:pPr>
      <w:r>
        <w:t>6. The model system</w:t>
      </w:r>
    </w:p>
    <w:p>
      <w:pPr>
        <w:pStyle w:val="Heading2"/>
        <w:keepNext/>
      </w:pPr>
      <w:r>
        <w:t>Quantum panel: six members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450"/>
        <w:gridCol w:w="3300"/>
        <w:gridCol w:w="4610"/>
      </w:tblGrid>
      <w:tr>
        <w:trPr>
          <w:tblHeader w:val="true"/>
        </w:trPr>
        <w:tc>
          <w:tcPr>
            <w:tcW w:type="dxa" w:w="1450"/>
            <w:vAlign w:val="center"/>
            <w:shd w:fill="F2F0F8"/>
          </w:tcPr>
          <w:p>
            <w:pPr>
              <w:spacing w:before="0" w:after="0" w:line="240" w:lineRule="auto"/>
            </w:pPr>
            <w:r>
              <w:rPr>
                <w:rFonts w:ascii="Calibri" w:hAnsi="Calibri"/>
                <w:b/>
                <w:color w:val="12181C"/>
                <w:sz w:val="17"/>
              </w:rPr>
              <w:t>Family</w:t>
            </w:r>
          </w:p>
        </w:tc>
        <w:tc>
          <w:tcPr>
            <w:tcW w:type="dxa" w:w="3300"/>
            <w:vAlign w:val="center"/>
            <w:shd w:fill="F2F0F8"/>
          </w:tcPr>
          <w:p>
            <w:pPr>
              <w:spacing w:before="0" w:after="0" w:line="240" w:lineRule="auto"/>
            </w:pPr>
            <w:r>
              <w:rPr>
                <w:rFonts w:ascii="Calibri" w:hAnsi="Calibri"/>
                <w:b/>
                <w:color w:val="12181C"/>
                <w:sz w:val="17"/>
              </w:rPr>
              <w:t>Configuration</w:t>
            </w:r>
          </w:p>
        </w:tc>
        <w:tc>
          <w:tcPr>
            <w:tcW w:type="dxa" w:w="4610"/>
            <w:vAlign w:val="center"/>
            <w:shd w:fill="F2F0F8"/>
          </w:tcPr>
          <w:p>
            <w:pPr>
              <w:spacing w:before="0" w:after="0" w:line="240" w:lineRule="auto"/>
            </w:pPr>
            <w:r>
              <w:rPr>
                <w:rFonts w:ascii="Calibri" w:hAnsi="Calibri"/>
                <w:b/>
                <w:color w:val="12181C"/>
                <w:sz w:val="17"/>
              </w:rPr>
              <w:t>Role</w:t>
            </w:r>
          </w:p>
        </w:tc>
      </w:tr>
      <w:tr>
        <w:tc>
          <w:tcPr>
            <w:tcW w:type="dxa" w:w="1450"/>
            <w:vAlign w:val="center"/>
          </w:tcPr>
          <w:p>
            <w:pPr>
              <w:spacing w:before="0" w:after="0" w:line="240" w:lineRule="auto"/>
            </w:pPr>
            <w:r>
              <w:rPr>
                <w:rFonts w:ascii="Calibri" w:hAnsi="Calibri"/>
                <w:b w:val="0"/>
                <w:color w:val="12181C"/>
                <w:sz w:val="17"/>
              </w:rPr>
              <w:t>VQC</w:t>
            </w:r>
          </w:p>
        </w:tc>
        <w:tc>
          <w:tcPr>
            <w:tcW w:type="dxa" w:w="3300"/>
            <w:vAlign w:val="center"/>
          </w:tcPr>
          <w:p>
            <w:pPr>
              <w:spacing w:before="0" w:after="0" w:line="240" w:lineRule="auto"/>
            </w:pPr>
            <w:r>
              <w:rPr>
                <w:rFonts w:ascii="Calibri" w:hAnsi="Calibri"/>
                <w:b w:val="0"/>
                <w:color w:val="12181C"/>
                <w:sz w:val="17"/>
              </w:rPr>
              <w:t>4 qubits / 3 layers / CNOT</w:t>
            </w:r>
          </w:p>
        </w:tc>
        <w:tc>
          <w:tcPr>
            <w:tcW w:type="dxa" w:w="4610"/>
            <w:vAlign w:val="center"/>
          </w:tcPr>
          <w:p>
            <w:pPr>
              <w:spacing w:before="0" w:after="0" w:line="240" w:lineRule="auto"/>
            </w:pPr>
            <w:r>
              <w:rPr>
                <w:rFonts w:ascii="Calibri" w:hAnsi="Calibri"/>
                <w:b w:val="0"/>
                <w:color w:val="12181C"/>
                <w:sz w:val="17"/>
              </w:rPr>
              <w:t>Primary variational circuit; data re-uploaded each layer</w:t>
            </w:r>
          </w:p>
        </w:tc>
      </w:tr>
      <w:tr>
        <w:tc>
          <w:tcPr>
            <w:tcW w:type="dxa" w:w="1450"/>
            <w:vAlign w:val="center"/>
          </w:tcPr>
          <w:p>
            <w:pPr>
              <w:spacing w:before="0" w:after="0" w:line="240" w:lineRule="auto"/>
            </w:pPr>
            <w:r>
              <w:rPr>
                <w:rFonts w:ascii="Calibri" w:hAnsi="Calibri"/>
                <w:b w:val="0"/>
                <w:color w:val="12181C"/>
                <w:sz w:val="17"/>
              </w:rPr>
              <w:t>VQC</w:t>
            </w:r>
          </w:p>
        </w:tc>
        <w:tc>
          <w:tcPr>
            <w:tcW w:type="dxa" w:w="3300"/>
            <w:vAlign w:val="center"/>
          </w:tcPr>
          <w:p>
            <w:pPr>
              <w:spacing w:before="0" w:after="0" w:line="240" w:lineRule="auto"/>
            </w:pPr>
            <w:r>
              <w:rPr>
                <w:rFonts w:ascii="Calibri" w:hAnsi="Calibri"/>
                <w:b w:val="0"/>
                <w:color w:val="12181C"/>
                <w:sz w:val="17"/>
              </w:rPr>
              <w:t>3 qubits / 2 layers / CNOT</w:t>
            </w:r>
          </w:p>
        </w:tc>
        <w:tc>
          <w:tcPr>
            <w:tcW w:type="dxa" w:w="4610"/>
            <w:vAlign w:val="center"/>
          </w:tcPr>
          <w:p>
            <w:pPr>
              <w:spacing w:before="0" w:after="0" w:line="240" w:lineRule="auto"/>
            </w:pPr>
            <w:r>
              <w:rPr>
                <w:rFonts w:ascii="Calibri" w:hAnsi="Calibri"/>
                <w:b w:val="0"/>
                <w:color w:val="12181C"/>
                <w:sz w:val="17"/>
              </w:rPr>
              <w:t>Shallower top-three-feature diversity</w:t>
            </w:r>
          </w:p>
        </w:tc>
      </w:tr>
      <w:tr>
        <w:tc>
          <w:tcPr>
            <w:tcW w:type="dxa" w:w="1450"/>
            <w:vAlign w:val="center"/>
          </w:tcPr>
          <w:p>
            <w:pPr>
              <w:spacing w:before="0" w:after="0" w:line="240" w:lineRule="auto"/>
            </w:pPr>
            <w:r>
              <w:rPr>
                <w:rFonts w:ascii="Calibri" w:hAnsi="Calibri"/>
                <w:b w:val="0"/>
                <w:color w:val="12181C"/>
                <w:sz w:val="17"/>
              </w:rPr>
              <w:t>VQC</w:t>
            </w:r>
          </w:p>
        </w:tc>
        <w:tc>
          <w:tcPr>
            <w:tcW w:type="dxa" w:w="3300"/>
            <w:vAlign w:val="center"/>
          </w:tcPr>
          <w:p>
            <w:pPr>
              <w:spacing w:before="0" w:after="0" w:line="240" w:lineRule="auto"/>
            </w:pPr>
            <w:r>
              <w:rPr>
                <w:rFonts w:ascii="Calibri" w:hAnsi="Calibri"/>
                <w:b w:val="0"/>
                <w:color w:val="12181C"/>
                <w:sz w:val="17"/>
              </w:rPr>
              <w:t>4 qubits / 2 layers / CZ</w:t>
            </w:r>
          </w:p>
        </w:tc>
        <w:tc>
          <w:tcPr>
            <w:tcW w:type="dxa" w:w="4610"/>
            <w:vAlign w:val="center"/>
          </w:tcPr>
          <w:p>
            <w:pPr>
              <w:spacing w:before="0" w:after="0" w:line="240" w:lineRule="auto"/>
            </w:pPr>
            <w:r>
              <w:rPr>
                <w:rFonts w:ascii="Calibri" w:hAnsi="Calibri"/>
                <w:b w:val="0"/>
                <w:color w:val="12181C"/>
                <w:sz w:val="17"/>
              </w:rPr>
              <w:t>Different entangler</w:t>
            </w:r>
          </w:p>
        </w:tc>
      </w:tr>
      <w:tr>
        <w:tc>
          <w:tcPr>
            <w:tcW w:type="dxa" w:w="1450"/>
            <w:vAlign w:val="center"/>
          </w:tcPr>
          <w:p>
            <w:pPr>
              <w:spacing w:before="0" w:after="0" w:line="240" w:lineRule="auto"/>
            </w:pPr>
            <w:r>
              <w:rPr>
                <w:rFonts w:ascii="Calibri" w:hAnsi="Calibri"/>
                <w:b w:val="0"/>
                <w:color w:val="12181C"/>
                <w:sz w:val="17"/>
              </w:rPr>
              <w:t>VQC</w:t>
            </w:r>
          </w:p>
        </w:tc>
        <w:tc>
          <w:tcPr>
            <w:tcW w:type="dxa" w:w="3300"/>
            <w:vAlign w:val="center"/>
          </w:tcPr>
          <w:p>
            <w:pPr>
              <w:spacing w:before="0" w:after="0" w:line="240" w:lineRule="auto"/>
            </w:pPr>
            <w:r>
              <w:rPr>
                <w:rFonts w:ascii="Calibri" w:hAnsi="Calibri"/>
                <w:b w:val="0"/>
                <w:color w:val="12181C"/>
                <w:sz w:val="17"/>
              </w:rPr>
              <w:t>4 qubits / 3 layers / CZ reversed</w:t>
            </w:r>
          </w:p>
        </w:tc>
        <w:tc>
          <w:tcPr>
            <w:tcW w:type="dxa" w:w="4610"/>
            <w:vAlign w:val="center"/>
          </w:tcPr>
          <w:p>
            <w:pPr>
              <w:spacing w:before="0" w:after="0" w:line="240" w:lineRule="auto"/>
            </w:pPr>
            <w:r>
              <w:rPr>
                <w:rFonts w:ascii="Calibri" w:hAnsi="Calibri"/>
                <w:b w:val="0"/>
                <w:color w:val="12181C"/>
                <w:sz w:val="17"/>
              </w:rPr>
              <w:t>Different encoding order</w:t>
            </w:r>
          </w:p>
        </w:tc>
      </w:tr>
      <w:tr>
        <w:tc>
          <w:tcPr>
            <w:tcW w:type="dxa" w:w="1450"/>
            <w:vAlign w:val="center"/>
          </w:tcPr>
          <w:p>
            <w:pPr>
              <w:spacing w:before="0" w:after="0" w:line="240" w:lineRule="auto"/>
            </w:pPr>
            <w:r>
              <w:rPr>
                <w:rFonts w:ascii="Calibri" w:hAnsi="Calibri"/>
                <w:b w:val="0"/>
                <w:color w:val="12181C"/>
                <w:sz w:val="17"/>
              </w:rPr>
              <w:t>QSVM</w:t>
            </w:r>
          </w:p>
        </w:tc>
        <w:tc>
          <w:tcPr>
            <w:tcW w:type="dxa" w:w="3300"/>
            <w:vAlign w:val="center"/>
          </w:tcPr>
          <w:p>
            <w:pPr>
              <w:spacing w:before="0" w:after="0" w:line="240" w:lineRule="auto"/>
            </w:pPr>
            <w:r>
              <w:rPr>
                <w:rFonts w:ascii="Calibri" w:hAnsi="Calibri"/>
                <w:b w:val="0"/>
                <w:color w:val="12181C"/>
                <w:sz w:val="17"/>
              </w:rPr>
              <w:t>Angle embedding / 4 qubits</w:t>
            </w:r>
          </w:p>
        </w:tc>
        <w:tc>
          <w:tcPr>
            <w:tcW w:type="dxa" w:w="4610"/>
            <w:vAlign w:val="center"/>
          </w:tcPr>
          <w:p>
            <w:pPr>
              <w:spacing w:before="0" w:after="0" w:line="240" w:lineRule="auto"/>
            </w:pPr>
            <w:r>
              <w:rPr>
                <w:rFonts w:ascii="Calibri" w:hAnsi="Calibri"/>
                <w:b w:val="0"/>
                <w:color w:val="12181C"/>
                <w:sz w:val="17"/>
              </w:rPr>
              <w:t>Primary quantum-kernel model</w:t>
            </w:r>
          </w:p>
        </w:tc>
      </w:tr>
      <w:tr>
        <w:tc>
          <w:tcPr>
            <w:tcW w:type="dxa" w:w="1450"/>
            <w:vAlign w:val="center"/>
          </w:tcPr>
          <w:p>
            <w:pPr>
              <w:spacing w:before="0" w:after="0" w:line="240" w:lineRule="auto"/>
            </w:pPr>
            <w:r>
              <w:rPr>
                <w:rFonts w:ascii="Calibri" w:hAnsi="Calibri"/>
                <w:b w:val="0"/>
                <w:color w:val="12181C"/>
                <w:sz w:val="17"/>
              </w:rPr>
              <w:t>QSVM</w:t>
            </w:r>
          </w:p>
        </w:tc>
        <w:tc>
          <w:tcPr>
            <w:tcW w:type="dxa" w:w="3300"/>
            <w:vAlign w:val="center"/>
          </w:tcPr>
          <w:p>
            <w:pPr>
              <w:spacing w:before="0" w:after="0" w:line="240" w:lineRule="auto"/>
            </w:pPr>
            <w:r>
              <w:rPr>
                <w:rFonts w:ascii="Calibri" w:hAnsi="Calibri"/>
                <w:b w:val="0"/>
                <w:color w:val="12181C"/>
                <w:sz w:val="17"/>
              </w:rPr>
              <w:t>Amplitude embedding / 2 qubits</w:t>
            </w:r>
          </w:p>
        </w:tc>
        <w:tc>
          <w:tcPr>
            <w:tcW w:type="dxa" w:w="4610"/>
            <w:vAlign w:val="center"/>
          </w:tcPr>
          <w:p>
            <w:pPr>
              <w:spacing w:before="0" w:after="0" w:line="240" w:lineRule="auto"/>
            </w:pPr>
            <w:r>
              <w:rPr>
                <w:rFonts w:ascii="Calibri" w:hAnsi="Calibri"/>
                <w:b w:val="0"/>
                <w:color w:val="12181C"/>
                <w:sz w:val="17"/>
              </w:rPr>
              <w:t>Four values fit exactly into 2^2 amplitudes; zero-vector safe</w:t>
            </w:r>
          </w:p>
        </w:tc>
      </w:tr>
    </w:tbl>
    <w:p>
      <w:pPr>
        <w:spacing w:after="0"/>
      </w:pPr>
    </w:p>
    <w:p>
      <w:r>
        <w:rPr>
          <w:rFonts w:ascii="Calibri" w:hAnsi="Calibri"/>
          <w:i w:val="0"/>
          <w:color w:val="12181C"/>
        </w:rPr>
        <w:t>Every VQC uses data re-uploading and sigmoid weight remapping, and trains for at least 100 epochs outside the 20-epoch regression test. The loss converts {-1,+1} labels to {0,1} only inside binary cross-entropy math. PennyLane optimization uses its supported autograd path, avoiding the verified torch/Adam silent-training bug.</w:t>
      </w:r>
    </w:p>
    <w:p>
      <w:pPr>
        <w:pStyle w:val="Heading2"/>
        <w:keepNext/>
      </w:pPr>
      <w:r>
        <w:t>Classical panel: eight fits</w:t>
      </w:r>
    </w:p>
    <w:p>
      <w:r>
        <w:rPr>
          <w:rFonts w:ascii="Calibri" w:hAnsi="Calibri"/>
          <w:i w:val="0"/>
          <w:color w:val="12181C"/>
        </w:rPr>
        <w:t>Logistic Regression, Random Forest, XGBoost, and RBF SVM each run twice: once with all 30 standardized features and once with exactly the four selected features seen by the quantum models. This separates a practical full-information benchmark from a fair input-matched comparison.</w:t>
      </w:r>
    </w:p>
    <w:p>
      <w:pPr>
        <w:pStyle w:val="Heading2"/>
        <w:keepNext/>
      </w:pPr>
      <w:r>
        <w:t>Voting</w:t>
      </w:r>
    </w:p>
    <w:p>
      <w:r>
        <w:rPr>
          <w:rFonts w:ascii="Calibri" w:hAnsi="Calibri"/>
          <w:i w:val="0"/>
          <w:color w:val="12181C"/>
        </w:rPr>
        <w:t>Each quantum member trains on a bootstrap of the quantum training pool. Its probability mean-squared error on out-of-bag rows becomes an inverse-error weight. The six benign probabilities are combined by normalized weighted soft voting; the untouched held-out labels never choose those weights.</w:t>
      </w:r>
    </w:p>
    <w:p>
      <w:pPr>
        <w:pStyle w:val="Heading1"/>
        <w:keepNext/>
      </w:pPr>
      <w:r>
        <w:t>7. Verified results: classical three-seed report</w:t>
      </w:r>
    </w:p>
    <w:p>
      <w:r>
        <w:rPr>
          <w:rFonts w:ascii="Calibri" w:hAnsi="Calibri"/>
          <w:i w:val="0"/>
          <w:color w:val="12181C"/>
        </w:rPr>
        <w:t>All values below are means across seeds 42, 123, and 2026. Malignant is the positive condition. Sensitivity equals malignant recall; the retained JSON also contains per-seed confusion matrices and measured timing.</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700"/>
        <w:gridCol w:w="1110"/>
        <w:gridCol w:w="1110"/>
        <w:gridCol w:w="1110"/>
        <w:gridCol w:w="1110"/>
        <w:gridCol w:w="1110"/>
        <w:gridCol w:w="1110"/>
      </w:tblGrid>
      <w:tr>
        <w:trPr>
          <w:tblHeader w:val="true"/>
        </w:trPr>
        <w:tc>
          <w:tcPr>
            <w:tcW w:type="dxa" w:w="2700"/>
            <w:vAlign w:val="center"/>
            <w:shd w:fill="EBF5F4"/>
          </w:tcPr>
          <w:p>
            <w:pPr>
              <w:spacing w:before="0" w:after="0" w:line="240" w:lineRule="auto"/>
            </w:pPr>
            <w:r>
              <w:rPr>
                <w:rFonts w:ascii="Calibri" w:hAnsi="Calibri"/>
                <w:b/>
                <w:color w:val="12181C"/>
                <w:sz w:val="15"/>
              </w:rPr>
              <w:t>View / model</w:t>
            </w:r>
          </w:p>
        </w:tc>
        <w:tc>
          <w:tcPr>
            <w:tcW w:type="dxa" w:w="1110"/>
            <w:vAlign w:val="center"/>
            <w:shd w:fill="EBF5F4"/>
          </w:tcPr>
          <w:p>
            <w:pPr>
              <w:spacing w:before="0" w:after="0" w:line="240" w:lineRule="auto"/>
            </w:pPr>
            <w:r>
              <w:rPr>
                <w:rFonts w:ascii="Calibri" w:hAnsi="Calibri"/>
                <w:b/>
                <w:color w:val="12181C"/>
                <w:sz w:val="15"/>
              </w:rPr>
              <w:t>Acc</w:t>
            </w:r>
          </w:p>
        </w:tc>
        <w:tc>
          <w:tcPr>
            <w:tcW w:type="dxa" w:w="1110"/>
            <w:vAlign w:val="center"/>
            <w:shd w:fill="EBF5F4"/>
          </w:tcPr>
          <w:p>
            <w:pPr>
              <w:spacing w:before="0" w:after="0" w:line="240" w:lineRule="auto"/>
            </w:pPr>
            <w:r>
              <w:rPr>
                <w:rFonts w:ascii="Calibri" w:hAnsi="Calibri"/>
                <w:b/>
                <w:color w:val="12181C"/>
                <w:sz w:val="15"/>
              </w:rPr>
              <w:t>M-Prec</w:t>
            </w:r>
          </w:p>
        </w:tc>
        <w:tc>
          <w:tcPr>
            <w:tcW w:type="dxa" w:w="1110"/>
            <w:vAlign w:val="center"/>
            <w:shd w:fill="EBF5F4"/>
          </w:tcPr>
          <w:p>
            <w:pPr>
              <w:spacing w:before="0" w:after="0" w:line="240" w:lineRule="auto"/>
            </w:pPr>
            <w:r>
              <w:rPr>
                <w:rFonts w:ascii="Calibri" w:hAnsi="Calibri"/>
                <w:b/>
                <w:color w:val="12181C"/>
                <w:sz w:val="15"/>
              </w:rPr>
              <w:t>Sens</w:t>
            </w:r>
          </w:p>
        </w:tc>
        <w:tc>
          <w:tcPr>
            <w:tcW w:type="dxa" w:w="1110"/>
            <w:vAlign w:val="center"/>
            <w:shd w:fill="EBF5F4"/>
          </w:tcPr>
          <w:p>
            <w:pPr>
              <w:spacing w:before="0" w:after="0" w:line="240" w:lineRule="auto"/>
            </w:pPr>
            <w:r>
              <w:rPr>
                <w:rFonts w:ascii="Calibri" w:hAnsi="Calibri"/>
                <w:b/>
                <w:color w:val="12181C"/>
                <w:sz w:val="15"/>
              </w:rPr>
              <w:t>Spec</w:t>
            </w:r>
          </w:p>
        </w:tc>
        <w:tc>
          <w:tcPr>
            <w:tcW w:type="dxa" w:w="1110"/>
            <w:vAlign w:val="center"/>
            <w:shd w:fill="EBF5F4"/>
          </w:tcPr>
          <w:p>
            <w:pPr>
              <w:spacing w:before="0" w:after="0" w:line="240" w:lineRule="auto"/>
            </w:pPr>
            <w:r>
              <w:rPr>
                <w:rFonts w:ascii="Calibri" w:hAnsi="Calibri"/>
                <w:b/>
                <w:color w:val="12181C"/>
                <w:sz w:val="15"/>
              </w:rPr>
              <w:t>M-F1</w:t>
            </w:r>
          </w:p>
        </w:tc>
        <w:tc>
          <w:tcPr>
            <w:tcW w:type="dxa" w:w="1110"/>
            <w:vAlign w:val="center"/>
            <w:shd w:fill="EBF5F4"/>
          </w:tcPr>
          <w:p>
            <w:pPr>
              <w:spacing w:before="0" w:after="0" w:line="240" w:lineRule="auto"/>
            </w:pPr>
            <w:r>
              <w:rPr>
                <w:rFonts w:ascii="Calibri" w:hAnsi="Calibri"/>
                <w:b/>
                <w:color w:val="12181C"/>
                <w:sz w:val="15"/>
              </w:rPr>
              <w:t>AUC</w:t>
            </w:r>
          </w:p>
        </w:tc>
      </w:tr>
      <w:tr>
        <w:tc>
          <w:tcPr>
            <w:tcW w:type="dxa" w:w="2700"/>
            <w:vAlign w:val="center"/>
          </w:tcPr>
          <w:p>
            <w:pPr>
              <w:spacing w:before="0" w:after="0" w:line="240" w:lineRule="auto"/>
            </w:pPr>
            <w:r>
              <w:rPr>
                <w:rFonts w:ascii="Calibri" w:hAnsi="Calibri"/>
                <w:b w:val="0"/>
                <w:color w:val="12181C"/>
                <w:sz w:val="15"/>
              </w:rPr>
              <w:t>30 / logistic regression</w:t>
            </w:r>
          </w:p>
        </w:tc>
        <w:tc>
          <w:tcPr>
            <w:tcW w:type="dxa" w:w="1110"/>
            <w:vAlign w:val="center"/>
          </w:tcPr>
          <w:p>
            <w:pPr>
              <w:spacing w:before="0" w:after="0" w:line="240" w:lineRule="auto"/>
            </w:pPr>
            <w:r>
              <w:rPr>
                <w:rFonts w:ascii="Calibri" w:hAnsi="Calibri"/>
                <w:b w:val="0"/>
                <w:color w:val="12181C"/>
                <w:sz w:val="15"/>
              </w:rPr>
              <w:t>97.66%</w:t>
            </w:r>
          </w:p>
        </w:tc>
        <w:tc>
          <w:tcPr>
            <w:tcW w:type="dxa" w:w="1110"/>
            <w:vAlign w:val="center"/>
          </w:tcPr>
          <w:p>
            <w:pPr>
              <w:spacing w:before="0" w:after="0" w:line="240" w:lineRule="auto"/>
            </w:pPr>
            <w:r>
              <w:rPr>
                <w:rFonts w:ascii="Calibri" w:hAnsi="Calibri"/>
                <w:b w:val="0"/>
                <w:color w:val="12181C"/>
                <w:sz w:val="15"/>
              </w:rPr>
              <w:t>97.58%</w:t>
            </w:r>
          </w:p>
        </w:tc>
        <w:tc>
          <w:tcPr>
            <w:tcW w:type="dxa" w:w="1110"/>
            <w:vAlign w:val="center"/>
          </w:tcPr>
          <w:p>
            <w:pPr>
              <w:spacing w:before="0" w:after="0" w:line="240" w:lineRule="auto"/>
            </w:pPr>
            <w:r>
              <w:rPr>
                <w:rFonts w:ascii="Calibri" w:hAnsi="Calibri"/>
                <w:b w:val="0"/>
                <w:color w:val="12181C"/>
                <w:sz w:val="15"/>
              </w:rPr>
              <w:t>96.03%</w:t>
            </w:r>
          </w:p>
        </w:tc>
        <w:tc>
          <w:tcPr>
            <w:tcW w:type="dxa" w:w="1110"/>
            <w:vAlign w:val="center"/>
          </w:tcPr>
          <w:p>
            <w:pPr>
              <w:spacing w:before="0" w:after="0" w:line="240" w:lineRule="auto"/>
            </w:pPr>
            <w:r>
              <w:rPr>
                <w:rFonts w:ascii="Calibri" w:hAnsi="Calibri"/>
                <w:b w:val="0"/>
                <w:color w:val="12181C"/>
                <w:sz w:val="15"/>
              </w:rPr>
              <w:t>98.61%</w:t>
            </w:r>
          </w:p>
        </w:tc>
        <w:tc>
          <w:tcPr>
            <w:tcW w:type="dxa" w:w="1110"/>
            <w:vAlign w:val="center"/>
          </w:tcPr>
          <w:p>
            <w:pPr>
              <w:spacing w:before="0" w:after="0" w:line="240" w:lineRule="auto"/>
            </w:pPr>
            <w:r>
              <w:rPr>
                <w:rFonts w:ascii="Calibri" w:hAnsi="Calibri"/>
                <w:b w:val="0"/>
                <w:color w:val="12181C"/>
                <w:sz w:val="15"/>
              </w:rPr>
              <w:t>96.80%</w:t>
            </w:r>
          </w:p>
        </w:tc>
        <w:tc>
          <w:tcPr>
            <w:tcW w:type="dxa" w:w="1110"/>
            <w:vAlign w:val="center"/>
          </w:tcPr>
          <w:p>
            <w:pPr>
              <w:spacing w:before="0" w:after="0" w:line="240" w:lineRule="auto"/>
            </w:pPr>
            <w:r>
              <w:rPr>
                <w:rFonts w:ascii="Calibri" w:hAnsi="Calibri"/>
                <w:b w:val="0"/>
                <w:color w:val="12181C"/>
                <w:sz w:val="15"/>
              </w:rPr>
              <w:t>0.994</w:t>
            </w:r>
          </w:p>
        </w:tc>
      </w:tr>
      <w:tr>
        <w:tc>
          <w:tcPr>
            <w:tcW w:type="dxa" w:w="2700"/>
            <w:vAlign w:val="center"/>
          </w:tcPr>
          <w:p>
            <w:pPr>
              <w:spacing w:before="0" w:after="0" w:line="240" w:lineRule="auto"/>
            </w:pPr>
            <w:r>
              <w:rPr>
                <w:rFonts w:ascii="Calibri" w:hAnsi="Calibri"/>
                <w:b w:val="0"/>
                <w:color w:val="12181C"/>
                <w:sz w:val="15"/>
              </w:rPr>
              <w:t>30 / random forest</w:t>
            </w:r>
          </w:p>
        </w:tc>
        <w:tc>
          <w:tcPr>
            <w:tcW w:type="dxa" w:w="1110"/>
            <w:vAlign w:val="center"/>
          </w:tcPr>
          <w:p>
            <w:pPr>
              <w:spacing w:before="0" w:after="0" w:line="240" w:lineRule="auto"/>
            </w:pPr>
            <w:r>
              <w:rPr>
                <w:rFonts w:ascii="Calibri" w:hAnsi="Calibri"/>
                <w:b w:val="0"/>
                <w:color w:val="12181C"/>
                <w:sz w:val="15"/>
              </w:rPr>
              <w:t>95.91%</w:t>
            </w:r>
          </w:p>
        </w:tc>
        <w:tc>
          <w:tcPr>
            <w:tcW w:type="dxa" w:w="1110"/>
            <w:vAlign w:val="center"/>
          </w:tcPr>
          <w:p>
            <w:pPr>
              <w:spacing w:before="0" w:after="0" w:line="240" w:lineRule="auto"/>
            </w:pPr>
            <w:r>
              <w:rPr>
                <w:rFonts w:ascii="Calibri" w:hAnsi="Calibri"/>
                <w:b w:val="0"/>
                <w:color w:val="12181C"/>
                <w:sz w:val="15"/>
              </w:rPr>
              <w:t>93.82%</w:t>
            </w:r>
          </w:p>
        </w:tc>
        <w:tc>
          <w:tcPr>
            <w:tcW w:type="dxa" w:w="1110"/>
            <w:vAlign w:val="center"/>
          </w:tcPr>
          <w:p>
            <w:pPr>
              <w:spacing w:before="0" w:after="0" w:line="240" w:lineRule="auto"/>
            </w:pPr>
            <w:r>
              <w:rPr>
                <w:rFonts w:ascii="Calibri" w:hAnsi="Calibri"/>
                <w:b w:val="0"/>
                <w:color w:val="12181C"/>
                <w:sz w:val="15"/>
              </w:rPr>
              <w:t>95.24%</w:t>
            </w:r>
          </w:p>
        </w:tc>
        <w:tc>
          <w:tcPr>
            <w:tcW w:type="dxa" w:w="1110"/>
            <w:vAlign w:val="center"/>
          </w:tcPr>
          <w:p>
            <w:pPr>
              <w:spacing w:before="0" w:after="0" w:line="240" w:lineRule="auto"/>
            </w:pPr>
            <w:r>
              <w:rPr>
                <w:rFonts w:ascii="Calibri" w:hAnsi="Calibri"/>
                <w:b w:val="0"/>
                <w:color w:val="12181C"/>
                <w:sz w:val="15"/>
              </w:rPr>
              <w:t>96.30%</w:t>
            </w:r>
          </w:p>
        </w:tc>
        <w:tc>
          <w:tcPr>
            <w:tcW w:type="dxa" w:w="1110"/>
            <w:vAlign w:val="center"/>
          </w:tcPr>
          <w:p>
            <w:pPr>
              <w:spacing w:before="0" w:after="0" w:line="240" w:lineRule="auto"/>
            </w:pPr>
            <w:r>
              <w:rPr>
                <w:rFonts w:ascii="Calibri" w:hAnsi="Calibri"/>
                <w:b w:val="0"/>
                <w:color w:val="12181C"/>
                <w:sz w:val="15"/>
              </w:rPr>
              <w:t>94.49%</w:t>
            </w:r>
          </w:p>
        </w:tc>
        <w:tc>
          <w:tcPr>
            <w:tcW w:type="dxa" w:w="1110"/>
            <w:vAlign w:val="center"/>
          </w:tcPr>
          <w:p>
            <w:pPr>
              <w:spacing w:before="0" w:after="0" w:line="240" w:lineRule="auto"/>
            </w:pPr>
            <w:r>
              <w:rPr>
                <w:rFonts w:ascii="Calibri" w:hAnsi="Calibri"/>
                <w:b w:val="0"/>
                <w:color w:val="12181C"/>
                <w:sz w:val="15"/>
              </w:rPr>
              <w:t>0.994</w:t>
            </w:r>
          </w:p>
        </w:tc>
      </w:tr>
      <w:tr>
        <w:tc>
          <w:tcPr>
            <w:tcW w:type="dxa" w:w="2700"/>
            <w:vAlign w:val="center"/>
          </w:tcPr>
          <w:p>
            <w:pPr>
              <w:spacing w:before="0" w:after="0" w:line="240" w:lineRule="auto"/>
            </w:pPr>
            <w:r>
              <w:rPr>
                <w:rFonts w:ascii="Calibri" w:hAnsi="Calibri"/>
                <w:b w:val="0"/>
                <w:color w:val="12181C"/>
                <w:sz w:val="15"/>
              </w:rPr>
              <w:t>30 / xgboost</w:t>
            </w:r>
          </w:p>
        </w:tc>
        <w:tc>
          <w:tcPr>
            <w:tcW w:type="dxa" w:w="1110"/>
            <w:vAlign w:val="center"/>
          </w:tcPr>
          <w:p>
            <w:pPr>
              <w:spacing w:before="0" w:after="0" w:line="240" w:lineRule="auto"/>
            </w:pPr>
            <w:r>
              <w:rPr>
                <w:rFonts w:ascii="Calibri" w:hAnsi="Calibri"/>
                <w:b w:val="0"/>
                <w:color w:val="12181C"/>
                <w:sz w:val="15"/>
              </w:rPr>
              <w:t>97.08%</w:t>
            </w:r>
          </w:p>
        </w:tc>
        <w:tc>
          <w:tcPr>
            <w:tcW w:type="dxa" w:w="1110"/>
            <w:vAlign w:val="center"/>
          </w:tcPr>
          <w:p>
            <w:pPr>
              <w:spacing w:before="0" w:after="0" w:line="240" w:lineRule="auto"/>
            </w:pPr>
            <w:r>
              <w:rPr>
                <w:rFonts w:ascii="Calibri" w:hAnsi="Calibri"/>
                <w:b w:val="0"/>
                <w:color w:val="12181C"/>
                <w:sz w:val="15"/>
              </w:rPr>
              <w:t>96.08%</w:t>
            </w:r>
          </w:p>
        </w:tc>
        <w:tc>
          <w:tcPr>
            <w:tcW w:type="dxa" w:w="1110"/>
            <w:vAlign w:val="center"/>
          </w:tcPr>
          <w:p>
            <w:pPr>
              <w:spacing w:before="0" w:after="0" w:line="240" w:lineRule="auto"/>
            </w:pPr>
            <w:r>
              <w:rPr>
                <w:rFonts w:ascii="Calibri" w:hAnsi="Calibri"/>
                <w:b w:val="0"/>
                <w:color w:val="12181C"/>
                <w:sz w:val="15"/>
              </w:rPr>
              <w:t>96.03%</w:t>
            </w:r>
          </w:p>
        </w:tc>
        <w:tc>
          <w:tcPr>
            <w:tcW w:type="dxa" w:w="1110"/>
            <w:vAlign w:val="center"/>
          </w:tcPr>
          <w:p>
            <w:pPr>
              <w:spacing w:before="0" w:after="0" w:line="240" w:lineRule="auto"/>
            </w:pPr>
            <w:r>
              <w:rPr>
                <w:rFonts w:ascii="Calibri" w:hAnsi="Calibri"/>
                <w:b w:val="0"/>
                <w:color w:val="12181C"/>
                <w:sz w:val="15"/>
              </w:rPr>
              <w:t>97.69%</w:t>
            </w:r>
          </w:p>
        </w:tc>
        <w:tc>
          <w:tcPr>
            <w:tcW w:type="dxa" w:w="1110"/>
            <w:vAlign w:val="center"/>
          </w:tcPr>
          <w:p>
            <w:pPr>
              <w:spacing w:before="0" w:after="0" w:line="240" w:lineRule="auto"/>
            </w:pPr>
            <w:r>
              <w:rPr>
                <w:rFonts w:ascii="Calibri" w:hAnsi="Calibri"/>
                <w:b w:val="0"/>
                <w:color w:val="12181C"/>
                <w:sz w:val="15"/>
              </w:rPr>
              <w:t>95.99%</w:t>
            </w:r>
          </w:p>
        </w:tc>
        <w:tc>
          <w:tcPr>
            <w:tcW w:type="dxa" w:w="1110"/>
            <w:vAlign w:val="center"/>
          </w:tcPr>
          <w:p>
            <w:pPr>
              <w:spacing w:before="0" w:after="0" w:line="240" w:lineRule="auto"/>
            </w:pPr>
            <w:r>
              <w:rPr>
                <w:rFonts w:ascii="Calibri" w:hAnsi="Calibri"/>
                <w:b w:val="0"/>
                <w:color w:val="12181C"/>
                <w:sz w:val="15"/>
              </w:rPr>
              <w:t>0.996</w:t>
            </w:r>
          </w:p>
        </w:tc>
      </w:tr>
      <w:tr>
        <w:tc>
          <w:tcPr>
            <w:tcW w:type="dxa" w:w="2700"/>
            <w:vAlign w:val="center"/>
          </w:tcPr>
          <w:p>
            <w:pPr>
              <w:spacing w:before="0" w:after="0" w:line="240" w:lineRule="auto"/>
            </w:pPr>
            <w:r>
              <w:rPr>
                <w:rFonts w:ascii="Calibri" w:hAnsi="Calibri"/>
                <w:b w:val="0"/>
                <w:color w:val="12181C"/>
                <w:sz w:val="15"/>
              </w:rPr>
              <w:t>30 / svm</w:t>
            </w:r>
          </w:p>
        </w:tc>
        <w:tc>
          <w:tcPr>
            <w:tcW w:type="dxa" w:w="1110"/>
            <w:vAlign w:val="center"/>
          </w:tcPr>
          <w:p>
            <w:pPr>
              <w:spacing w:before="0" w:after="0" w:line="240" w:lineRule="auto"/>
            </w:pPr>
            <w:r>
              <w:rPr>
                <w:rFonts w:ascii="Calibri" w:hAnsi="Calibri"/>
                <w:b w:val="0"/>
                <w:color w:val="12181C"/>
                <w:sz w:val="15"/>
              </w:rPr>
              <w:t>97.95%</w:t>
            </w:r>
          </w:p>
        </w:tc>
        <w:tc>
          <w:tcPr>
            <w:tcW w:type="dxa" w:w="1110"/>
            <w:vAlign w:val="center"/>
          </w:tcPr>
          <w:p>
            <w:pPr>
              <w:spacing w:before="0" w:after="0" w:line="240" w:lineRule="auto"/>
            </w:pPr>
            <w:r>
              <w:rPr>
                <w:rFonts w:ascii="Calibri" w:hAnsi="Calibri"/>
                <w:b w:val="0"/>
                <w:color w:val="12181C"/>
                <w:sz w:val="15"/>
              </w:rPr>
              <w:t>96.93%</w:t>
            </w:r>
          </w:p>
        </w:tc>
        <w:tc>
          <w:tcPr>
            <w:tcW w:type="dxa" w:w="1110"/>
            <w:vAlign w:val="center"/>
          </w:tcPr>
          <w:p>
            <w:pPr>
              <w:spacing w:before="0" w:after="0" w:line="240" w:lineRule="auto"/>
            </w:pPr>
            <w:r>
              <w:rPr>
                <w:rFonts w:ascii="Calibri" w:hAnsi="Calibri"/>
                <w:b w:val="0"/>
                <w:color w:val="12181C"/>
                <w:sz w:val="15"/>
              </w:rPr>
              <w:t>97.62%</w:t>
            </w:r>
          </w:p>
        </w:tc>
        <w:tc>
          <w:tcPr>
            <w:tcW w:type="dxa" w:w="1110"/>
            <w:vAlign w:val="center"/>
          </w:tcPr>
          <w:p>
            <w:pPr>
              <w:spacing w:before="0" w:after="0" w:line="240" w:lineRule="auto"/>
            </w:pPr>
            <w:r>
              <w:rPr>
                <w:rFonts w:ascii="Calibri" w:hAnsi="Calibri"/>
                <w:b w:val="0"/>
                <w:color w:val="12181C"/>
                <w:sz w:val="15"/>
              </w:rPr>
              <w:t>98.15%</w:t>
            </w:r>
          </w:p>
        </w:tc>
        <w:tc>
          <w:tcPr>
            <w:tcW w:type="dxa" w:w="1110"/>
            <w:vAlign w:val="center"/>
          </w:tcPr>
          <w:p>
            <w:pPr>
              <w:spacing w:before="0" w:after="0" w:line="240" w:lineRule="auto"/>
            </w:pPr>
            <w:r>
              <w:rPr>
                <w:rFonts w:ascii="Calibri" w:hAnsi="Calibri"/>
                <w:b w:val="0"/>
                <w:color w:val="12181C"/>
                <w:sz w:val="15"/>
              </w:rPr>
              <w:t>97.25%</w:t>
            </w:r>
          </w:p>
        </w:tc>
        <w:tc>
          <w:tcPr>
            <w:tcW w:type="dxa" w:w="1110"/>
            <w:vAlign w:val="center"/>
          </w:tcPr>
          <w:p>
            <w:pPr>
              <w:spacing w:before="0" w:after="0" w:line="240" w:lineRule="auto"/>
            </w:pPr>
            <w:r>
              <w:rPr>
                <w:rFonts w:ascii="Calibri" w:hAnsi="Calibri"/>
                <w:b w:val="0"/>
                <w:color w:val="12181C"/>
                <w:sz w:val="15"/>
              </w:rPr>
              <w:t>0.997</w:t>
            </w:r>
          </w:p>
        </w:tc>
      </w:tr>
      <w:tr>
        <w:tc>
          <w:tcPr>
            <w:tcW w:type="dxa" w:w="2700"/>
            <w:vAlign w:val="center"/>
          </w:tcPr>
          <w:p>
            <w:pPr>
              <w:spacing w:before="0" w:after="0" w:line="240" w:lineRule="auto"/>
            </w:pPr>
            <w:r>
              <w:rPr>
                <w:rFonts w:ascii="Calibri" w:hAnsi="Calibri"/>
                <w:b w:val="0"/>
                <w:color w:val="12181C"/>
                <w:sz w:val="15"/>
              </w:rPr>
              <w:t>4 / logistic regression</w:t>
            </w:r>
          </w:p>
        </w:tc>
        <w:tc>
          <w:tcPr>
            <w:tcW w:type="dxa" w:w="1110"/>
            <w:vAlign w:val="center"/>
          </w:tcPr>
          <w:p>
            <w:pPr>
              <w:spacing w:before="0" w:after="0" w:line="240" w:lineRule="auto"/>
            </w:pPr>
            <w:r>
              <w:rPr>
                <w:rFonts w:ascii="Calibri" w:hAnsi="Calibri"/>
                <w:b w:val="0"/>
                <w:color w:val="12181C"/>
                <w:sz w:val="15"/>
              </w:rPr>
              <w:t>93.57%</w:t>
            </w:r>
          </w:p>
        </w:tc>
        <w:tc>
          <w:tcPr>
            <w:tcW w:type="dxa" w:w="1110"/>
            <w:vAlign w:val="center"/>
          </w:tcPr>
          <w:p>
            <w:pPr>
              <w:spacing w:before="0" w:after="0" w:line="240" w:lineRule="auto"/>
            </w:pPr>
            <w:r>
              <w:rPr>
                <w:rFonts w:ascii="Calibri" w:hAnsi="Calibri"/>
                <w:b w:val="0"/>
                <w:color w:val="12181C"/>
                <w:sz w:val="15"/>
              </w:rPr>
              <w:t>88.30%</w:t>
            </w:r>
          </w:p>
        </w:tc>
        <w:tc>
          <w:tcPr>
            <w:tcW w:type="dxa" w:w="1110"/>
            <w:vAlign w:val="center"/>
          </w:tcPr>
          <w:p>
            <w:pPr>
              <w:spacing w:before="0" w:after="0" w:line="240" w:lineRule="auto"/>
            </w:pPr>
            <w:r>
              <w:rPr>
                <w:rFonts w:ascii="Calibri" w:hAnsi="Calibri"/>
                <w:b w:val="0"/>
                <w:color w:val="12181C"/>
                <w:sz w:val="15"/>
              </w:rPr>
              <w:t>95.24%</w:t>
            </w:r>
          </w:p>
        </w:tc>
        <w:tc>
          <w:tcPr>
            <w:tcW w:type="dxa" w:w="1110"/>
            <w:vAlign w:val="center"/>
          </w:tcPr>
          <w:p>
            <w:pPr>
              <w:spacing w:before="0" w:after="0" w:line="240" w:lineRule="auto"/>
            </w:pPr>
            <w:r>
              <w:rPr>
                <w:rFonts w:ascii="Calibri" w:hAnsi="Calibri"/>
                <w:b w:val="0"/>
                <w:color w:val="12181C"/>
                <w:sz w:val="15"/>
              </w:rPr>
              <w:t>92.59%</w:t>
            </w:r>
          </w:p>
        </w:tc>
        <w:tc>
          <w:tcPr>
            <w:tcW w:type="dxa" w:w="1110"/>
            <w:vAlign w:val="center"/>
          </w:tcPr>
          <w:p>
            <w:pPr>
              <w:spacing w:before="0" w:after="0" w:line="240" w:lineRule="auto"/>
            </w:pPr>
            <w:r>
              <w:rPr>
                <w:rFonts w:ascii="Calibri" w:hAnsi="Calibri"/>
                <w:b w:val="0"/>
                <w:color w:val="12181C"/>
                <w:sz w:val="15"/>
              </w:rPr>
              <w:t>91.60%</w:t>
            </w:r>
          </w:p>
        </w:tc>
        <w:tc>
          <w:tcPr>
            <w:tcW w:type="dxa" w:w="1110"/>
            <w:vAlign w:val="center"/>
          </w:tcPr>
          <w:p>
            <w:pPr>
              <w:spacing w:before="0" w:after="0" w:line="240" w:lineRule="auto"/>
            </w:pPr>
            <w:r>
              <w:rPr>
                <w:rFonts w:ascii="Calibri" w:hAnsi="Calibri"/>
                <w:b w:val="0"/>
                <w:color w:val="12181C"/>
                <w:sz w:val="15"/>
              </w:rPr>
              <w:t>0.992</w:t>
            </w:r>
          </w:p>
        </w:tc>
      </w:tr>
      <w:tr>
        <w:tc>
          <w:tcPr>
            <w:tcW w:type="dxa" w:w="2700"/>
            <w:vAlign w:val="center"/>
          </w:tcPr>
          <w:p>
            <w:pPr>
              <w:spacing w:before="0" w:after="0" w:line="240" w:lineRule="auto"/>
            </w:pPr>
            <w:r>
              <w:rPr>
                <w:rFonts w:ascii="Calibri" w:hAnsi="Calibri"/>
                <w:b w:val="0"/>
                <w:color w:val="12181C"/>
                <w:sz w:val="15"/>
              </w:rPr>
              <w:t>4 / random forest</w:t>
            </w:r>
          </w:p>
        </w:tc>
        <w:tc>
          <w:tcPr>
            <w:tcW w:type="dxa" w:w="1110"/>
            <w:vAlign w:val="center"/>
          </w:tcPr>
          <w:p>
            <w:pPr>
              <w:spacing w:before="0" w:after="0" w:line="240" w:lineRule="auto"/>
            </w:pPr>
            <w:r>
              <w:rPr>
                <w:rFonts w:ascii="Calibri" w:hAnsi="Calibri"/>
                <w:b w:val="0"/>
                <w:color w:val="12181C"/>
                <w:sz w:val="15"/>
              </w:rPr>
              <w:t>93.27%</w:t>
            </w:r>
          </w:p>
        </w:tc>
        <w:tc>
          <w:tcPr>
            <w:tcW w:type="dxa" w:w="1110"/>
            <w:vAlign w:val="center"/>
          </w:tcPr>
          <w:p>
            <w:pPr>
              <w:spacing w:before="0" w:after="0" w:line="240" w:lineRule="auto"/>
            </w:pPr>
            <w:r>
              <w:rPr>
                <w:rFonts w:ascii="Calibri" w:hAnsi="Calibri"/>
                <w:b w:val="0"/>
                <w:color w:val="12181C"/>
                <w:sz w:val="15"/>
              </w:rPr>
              <w:t>89.32%</w:t>
            </w:r>
          </w:p>
        </w:tc>
        <w:tc>
          <w:tcPr>
            <w:tcW w:type="dxa" w:w="1110"/>
            <w:vAlign w:val="center"/>
          </w:tcPr>
          <w:p>
            <w:pPr>
              <w:spacing w:before="0" w:after="0" w:line="240" w:lineRule="auto"/>
            </w:pPr>
            <w:r>
              <w:rPr>
                <w:rFonts w:ascii="Calibri" w:hAnsi="Calibri"/>
                <w:b w:val="0"/>
                <w:color w:val="12181C"/>
                <w:sz w:val="15"/>
              </w:rPr>
              <w:t>92.86%</w:t>
            </w:r>
          </w:p>
        </w:tc>
        <w:tc>
          <w:tcPr>
            <w:tcW w:type="dxa" w:w="1110"/>
            <w:vAlign w:val="center"/>
          </w:tcPr>
          <w:p>
            <w:pPr>
              <w:spacing w:before="0" w:after="0" w:line="240" w:lineRule="auto"/>
            </w:pPr>
            <w:r>
              <w:rPr>
                <w:rFonts w:ascii="Calibri" w:hAnsi="Calibri"/>
                <w:b w:val="0"/>
                <w:color w:val="12181C"/>
                <w:sz w:val="15"/>
              </w:rPr>
              <w:t>93.52%</w:t>
            </w:r>
          </w:p>
        </w:tc>
        <w:tc>
          <w:tcPr>
            <w:tcW w:type="dxa" w:w="1110"/>
            <w:vAlign w:val="center"/>
          </w:tcPr>
          <w:p>
            <w:pPr>
              <w:spacing w:before="0" w:after="0" w:line="240" w:lineRule="auto"/>
            </w:pPr>
            <w:r>
              <w:rPr>
                <w:rFonts w:ascii="Calibri" w:hAnsi="Calibri"/>
                <w:b w:val="0"/>
                <w:color w:val="12181C"/>
                <w:sz w:val="15"/>
              </w:rPr>
              <w:t>91.04%</w:t>
            </w:r>
          </w:p>
        </w:tc>
        <w:tc>
          <w:tcPr>
            <w:tcW w:type="dxa" w:w="1110"/>
            <w:vAlign w:val="center"/>
          </w:tcPr>
          <w:p>
            <w:pPr>
              <w:spacing w:before="0" w:after="0" w:line="240" w:lineRule="auto"/>
            </w:pPr>
            <w:r>
              <w:rPr>
                <w:rFonts w:ascii="Calibri" w:hAnsi="Calibri"/>
                <w:b w:val="0"/>
                <w:color w:val="12181C"/>
                <w:sz w:val="15"/>
              </w:rPr>
              <w:t>0.985</w:t>
            </w:r>
          </w:p>
        </w:tc>
      </w:tr>
      <w:tr>
        <w:tc>
          <w:tcPr>
            <w:tcW w:type="dxa" w:w="2700"/>
            <w:vAlign w:val="center"/>
          </w:tcPr>
          <w:p>
            <w:pPr>
              <w:spacing w:before="0" w:after="0" w:line="240" w:lineRule="auto"/>
            </w:pPr>
            <w:r>
              <w:rPr>
                <w:rFonts w:ascii="Calibri" w:hAnsi="Calibri"/>
                <w:b w:val="0"/>
                <w:color w:val="12181C"/>
                <w:sz w:val="15"/>
              </w:rPr>
              <w:t>4 / xgboost</w:t>
            </w:r>
          </w:p>
        </w:tc>
        <w:tc>
          <w:tcPr>
            <w:tcW w:type="dxa" w:w="1110"/>
            <w:vAlign w:val="center"/>
          </w:tcPr>
          <w:p>
            <w:pPr>
              <w:spacing w:before="0" w:after="0" w:line="240" w:lineRule="auto"/>
            </w:pPr>
            <w:r>
              <w:rPr>
                <w:rFonts w:ascii="Calibri" w:hAnsi="Calibri"/>
                <w:b w:val="0"/>
                <w:color w:val="12181C"/>
                <w:sz w:val="15"/>
              </w:rPr>
              <w:t>93.27%</w:t>
            </w:r>
          </w:p>
        </w:tc>
        <w:tc>
          <w:tcPr>
            <w:tcW w:type="dxa" w:w="1110"/>
            <w:vAlign w:val="center"/>
          </w:tcPr>
          <w:p>
            <w:pPr>
              <w:spacing w:before="0" w:after="0" w:line="240" w:lineRule="auto"/>
            </w:pPr>
            <w:r>
              <w:rPr>
                <w:rFonts w:ascii="Calibri" w:hAnsi="Calibri"/>
                <w:b w:val="0"/>
                <w:color w:val="12181C"/>
                <w:sz w:val="15"/>
              </w:rPr>
              <w:t>88.76%</w:t>
            </w:r>
          </w:p>
        </w:tc>
        <w:tc>
          <w:tcPr>
            <w:tcW w:type="dxa" w:w="1110"/>
            <w:vAlign w:val="center"/>
          </w:tcPr>
          <w:p>
            <w:pPr>
              <w:spacing w:before="0" w:after="0" w:line="240" w:lineRule="auto"/>
            </w:pPr>
            <w:r>
              <w:rPr>
                <w:rFonts w:ascii="Calibri" w:hAnsi="Calibri"/>
                <w:b w:val="0"/>
                <w:color w:val="12181C"/>
                <w:sz w:val="15"/>
              </w:rPr>
              <w:t>93.65%</w:t>
            </w:r>
          </w:p>
        </w:tc>
        <w:tc>
          <w:tcPr>
            <w:tcW w:type="dxa" w:w="1110"/>
            <w:vAlign w:val="center"/>
          </w:tcPr>
          <w:p>
            <w:pPr>
              <w:spacing w:before="0" w:after="0" w:line="240" w:lineRule="auto"/>
            </w:pPr>
            <w:r>
              <w:rPr>
                <w:rFonts w:ascii="Calibri" w:hAnsi="Calibri"/>
                <w:b w:val="0"/>
                <w:color w:val="12181C"/>
                <w:sz w:val="15"/>
              </w:rPr>
              <w:t>93.06%</w:t>
            </w:r>
          </w:p>
        </w:tc>
        <w:tc>
          <w:tcPr>
            <w:tcW w:type="dxa" w:w="1110"/>
            <w:vAlign w:val="center"/>
          </w:tcPr>
          <w:p>
            <w:pPr>
              <w:spacing w:before="0" w:after="0" w:line="240" w:lineRule="auto"/>
            </w:pPr>
            <w:r>
              <w:rPr>
                <w:rFonts w:ascii="Calibri" w:hAnsi="Calibri"/>
                <w:b w:val="0"/>
                <w:color w:val="12181C"/>
                <w:sz w:val="15"/>
              </w:rPr>
              <w:t>91.12%</w:t>
            </w:r>
          </w:p>
        </w:tc>
        <w:tc>
          <w:tcPr>
            <w:tcW w:type="dxa" w:w="1110"/>
            <w:vAlign w:val="center"/>
          </w:tcPr>
          <w:p>
            <w:pPr>
              <w:spacing w:before="0" w:after="0" w:line="240" w:lineRule="auto"/>
            </w:pPr>
            <w:r>
              <w:rPr>
                <w:rFonts w:ascii="Calibri" w:hAnsi="Calibri"/>
                <w:b w:val="0"/>
                <w:color w:val="12181C"/>
                <w:sz w:val="15"/>
              </w:rPr>
              <w:t>0.985</w:t>
            </w:r>
          </w:p>
        </w:tc>
      </w:tr>
      <w:tr>
        <w:tc>
          <w:tcPr>
            <w:tcW w:type="dxa" w:w="2700"/>
            <w:vAlign w:val="center"/>
          </w:tcPr>
          <w:p>
            <w:pPr>
              <w:spacing w:before="0" w:after="0" w:line="240" w:lineRule="auto"/>
            </w:pPr>
            <w:r>
              <w:rPr>
                <w:rFonts w:ascii="Calibri" w:hAnsi="Calibri"/>
                <w:b w:val="0"/>
                <w:color w:val="12181C"/>
                <w:sz w:val="15"/>
              </w:rPr>
              <w:t>4 / svm</w:t>
            </w:r>
          </w:p>
        </w:tc>
        <w:tc>
          <w:tcPr>
            <w:tcW w:type="dxa" w:w="1110"/>
            <w:vAlign w:val="center"/>
          </w:tcPr>
          <w:p>
            <w:pPr>
              <w:spacing w:before="0" w:after="0" w:line="240" w:lineRule="auto"/>
            </w:pPr>
            <w:r>
              <w:rPr>
                <w:rFonts w:ascii="Calibri" w:hAnsi="Calibri"/>
                <w:b w:val="0"/>
                <w:color w:val="12181C"/>
                <w:sz w:val="15"/>
              </w:rPr>
              <w:t>93.86%</w:t>
            </w:r>
          </w:p>
        </w:tc>
        <w:tc>
          <w:tcPr>
            <w:tcW w:type="dxa" w:w="1110"/>
            <w:vAlign w:val="center"/>
          </w:tcPr>
          <w:p>
            <w:pPr>
              <w:spacing w:before="0" w:after="0" w:line="240" w:lineRule="auto"/>
            </w:pPr>
            <w:r>
              <w:rPr>
                <w:rFonts w:ascii="Calibri" w:hAnsi="Calibri"/>
                <w:b w:val="0"/>
                <w:color w:val="12181C"/>
                <w:sz w:val="15"/>
              </w:rPr>
              <w:t>89.57%</w:t>
            </w:r>
          </w:p>
        </w:tc>
        <w:tc>
          <w:tcPr>
            <w:tcW w:type="dxa" w:w="1110"/>
            <w:vAlign w:val="center"/>
          </w:tcPr>
          <w:p>
            <w:pPr>
              <w:spacing w:before="0" w:after="0" w:line="240" w:lineRule="auto"/>
            </w:pPr>
            <w:r>
              <w:rPr>
                <w:rFonts w:ascii="Calibri" w:hAnsi="Calibri"/>
                <w:b w:val="0"/>
                <w:color w:val="12181C"/>
                <w:sz w:val="15"/>
              </w:rPr>
              <w:t>94.44%</w:t>
            </w:r>
          </w:p>
        </w:tc>
        <w:tc>
          <w:tcPr>
            <w:tcW w:type="dxa" w:w="1110"/>
            <w:vAlign w:val="center"/>
          </w:tcPr>
          <w:p>
            <w:pPr>
              <w:spacing w:before="0" w:after="0" w:line="240" w:lineRule="auto"/>
            </w:pPr>
            <w:r>
              <w:rPr>
                <w:rFonts w:ascii="Calibri" w:hAnsi="Calibri"/>
                <w:b w:val="0"/>
                <w:color w:val="12181C"/>
                <w:sz w:val="15"/>
              </w:rPr>
              <w:t>93.52%</w:t>
            </w:r>
          </w:p>
        </w:tc>
        <w:tc>
          <w:tcPr>
            <w:tcW w:type="dxa" w:w="1110"/>
            <w:vAlign w:val="center"/>
          </w:tcPr>
          <w:p>
            <w:pPr>
              <w:spacing w:before="0" w:after="0" w:line="240" w:lineRule="auto"/>
            </w:pPr>
            <w:r>
              <w:rPr>
                <w:rFonts w:ascii="Calibri" w:hAnsi="Calibri"/>
                <w:b w:val="0"/>
                <w:color w:val="12181C"/>
                <w:sz w:val="15"/>
              </w:rPr>
              <w:t>91.91%</w:t>
            </w:r>
          </w:p>
        </w:tc>
        <w:tc>
          <w:tcPr>
            <w:tcW w:type="dxa" w:w="1110"/>
            <w:vAlign w:val="center"/>
          </w:tcPr>
          <w:p>
            <w:pPr>
              <w:spacing w:before="0" w:after="0" w:line="240" w:lineRule="auto"/>
            </w:pPr>
            <w:r>
              <w:rPr>
                <w:rFonts w:ascii="Calibri" w:hAnsi="Calibri"/>
                <w:b w:val="0"/>
                <w:color w:val="12181C"/>
                <w:sz w:val="15"/>
              </w:rPr>
              <w:t>0.990</w:t>
            </w:r>
          </w:p>
        </w:tc>
      </w:tr>
    </w:tbl>
    <w:p>
      <w:pPr>
        <w:spacing w:after="0"/>
      </w:pPr>
    </w:p>
    <w:p>
      <w:pPr>
        <w:keepLines/>
        <w:spacing w:before="80" w:after="200" w:line="276" w:lineRule="auto"/>
        <w:ind w:left="173" w:right="115"/>
        <w:shd w:fill="EBF5F4"/>
        <w:pBdr>
          <w:left w:val="single" w:sz="18" w:space="10" w:color="0E7C7B"/>
        </w:pBdr>
      </w:pPr>
      <w:r>
        <w:rPr>
          <w:rFonts w:ascii="Calibri" w:hAnsi="Calibri"/>
          <w:b/>
          <w:color w:val="0E7C7B"/>
          <w:sz w:val="18"/>
        </w:rPr>
        <w:t xml:space="preserve">FINDING  </w:t>
      </w:r>
      <w:r>
        <w:rPr>
          <w:rFonts w:ascii="Calibri" w:hAnsi="Calibri"/>
          <w:color w:val="12181C"/>
          <w:sz w:val="21"/>
        </w:rPr>
        <w:t>Full-feature classical SVM was strongest in this three-seed report at 97.95% mean accuracy. Same-four classical models clustered at 93.27%-93.86%, showing how much of the apparent gap comes from unequal feature access.</w:t>
      </w:r>
    </w:p>
    <w:p>
      <w:r>
        <w:br w:type="page"/>
      </w:r>
    </w:p>
    <w:p>
      <w:pPr>
        <w:pStyle w:val="Heading1"/>
        <w:keepNext/>
      </w:pPr>
      <w:r>
        <w:t>8. Verified results: leakage-safe five-fold study</w:t>
      </w:r>
    </w:p>
    <w:p>
      <w:r>
        <w:rPr>
          <w:rFonts w:ascii="Calibri" w:hAnsi="Calibri"/>
          <w:i w:val="0"/>
          <w:color w:val="12181C"/>
        </w:rPr>
        <w:t>Each of five stratified folds independently rebuilds preprocessing. Every VQC receives 100 epochs; the quantum pool is deliberately restricted to 20 rows to match the lightweight live configuration. Classical models use the available fold-training rows.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000"/>
        <w:gridCol w:w="1110"/>
        <w:gridCol w:w="1800"/>
        <w:gridCol w:w="1150"/>
        <w:gridCol w:w="1150"/>
        <w:gridCol w:w="1150"/>
      </w:tblGrid>
      <w:tr>
        <w:trPr>
          <w:tblHeader w:val="true"/>
        </w:trPr>
        <w:tc>
          <w:tcPr>
            <w:tcW w:type="dxa" w:w="3000"/>
            <w:vAlign w:val="center"/>
            <w:shd w:fill="F2F4F7"/>
          </w:tcPr>
          <w:p>
            <w:pPr>
              <w:spacing w:before="0" w:after="0" w:line="240" w:lineRule="auto"/>
            </w:pPr>
            <w:r>
              <w:rPr>
                <w:rFonts w:ascii="Calibri" w:hAnsi="Calibri"/>
                <w:b/>
                <w:color w:val="12181C"/>
                <w:sz w:val="14"/>
              </w:rPr>
              <w:t>Fold model</w:t>
            </w:r>
          </w:p>
        </w:tc>
        <w:tc>
          <w:tcPr>
            <w:tcW w:type="dxa" w:w="1110"/>
            <w:vAlign w:val="center"/>
            <w:shd w:fill="F2F4F7"/>
          </w:tcPr>
          <w:p>
            <w:pPr>
              <w:spacing w:before="0" w:after="0" w:line="240" w:lineRule="auto"/>
            </w:pPr>
            <w:r>
              <w:rPr>
                <w:rFonts w:ascii="Calibri" w:hAnsi="Calibri"/>
                <w:b/>
                <w:color w:val="12181C"/>
                <w:sz w:val="14"/>
              </w:rPr>
              <w:t>Mean acc</w:t>
            </w:r>
          </w:p>
        </w:tc>
        <w:tc>
          <w:tcPr>
            <w:tcW w:type="dxa" w:w="1800"/>
            <w:vAlign w:val="center"/>
            <w:shd w:fill="F2F4F7"/>
          </w:tcPr>
          <w:p>
            <w:pPr>
              <w:spacing w:before="0" w:after="0" w:line="240" w:lineRule="auto"/>
            </w:pPr>
            <w:r>
              <w:rPr>
                <w:rFonts w:ascii="Calibri" w:hAnsi="Calibri"/>
                <w:b/>
                <w:color w:val="12181C"/>
                <w:sz w:val="14"/>
              </w:rPr>
              <w:t>Range</w:t>
            </w:r>
          </w:p>
        </w:tc>
        <w:tc>
          <w:tcPr>
            <w:tcW w:type="dxa" w:w="1150"/>
            <w:vAlign w:val="center"/>
            <w:shd w:fill="F2F4F7"/>
          </w:tcPr>
          <w:p>
            <w:pPr>
              <w:spacing w:before="0" w:after="0" w:line="240" w:lineRule="auto"/>
            </w:pPr>
            <w:r>
              <w:rPr>
                <w:rFonts w:ascii="Calibri" w:hAnsi="Calibri"/>
                <w:b/>
                <w:color w:val="12181C"/>
                <w:sz w:val="14"/>
              </w:rPr>
              <w:t>Sens</w:t>
            </w:r>
          </w:p>
        </w:tc>
        <w:tc>
          <w:tcPr>
            <w:tcW w:type="dxa" w:w="1150"/>
            <w:vAlign w:val="center"/>
            <w:shd w:fill="F2F4F7"/>
          </w:tcPr>
          <w:p>
            <w:pPr>
              <w:spacing w:before="0" w:after="0" w:line="240" w:lineRule="auto"/>
            </w:pPr>
            <w:r>
              <w:rPr>
                <w:rFonts w:ascii="Calibri" w:hAnsi="Calibri"/>
                <w:b/>
                <w:color w:val="12181C"/>
                <w:sz w:val="14"/>
              </w:rPr>
              <w:t>Spec</w:t>
            </w:r>
          </w:p>
        </w:tc>
        <w:tc>
          <w:tcPr>
            <w:tcW w:type="dxa" w:w="1150"/>
            <w:vAlign w:val="center"/>
            <w:shd w:fill="F2F4F7"/>
          </w:tcPr>
          <w:p>
            <w:pPr>
              <w:spacing w:before="0" w:after="0" w:line="240" w:lineRule="auto"/>
            </w:pPr>
            <w:r>
              <w:rPr>
                <w:rFonts w:ascii="Calibri" w:hAnsi="Calibri"/>
                <w:b/>
                <w:color w:val="12181C"/>
                <w:sz w:val="14"/>
              </w:rPr>
              <w:t>AUC</w:t>
            </w:r>
          </w:p>
        </w:tc>
      </w:tr>
      <w:tr>
        <w:tc>
          <w:tcPr>
            <w:tcW w:type="dxa" w:w="3000"/>
            <w:vAlign w:val="center"/>
          </w:tcPr>
          <w:p>
            <w:pPr>
              <w:spacing w:before="0" w:after="0" w:line="240" w:lineRule="auto"/>
            </w:pPr>
            <w:r>
              <w:rPr>
                <w:rFonts w:ascii="Calibri" w:hAnsi="Calibri"/>
                <w:b w:val="0"/>
                <w:color w:val="12181C"/>
                <w:sz w:val="14"/>
              </w:rPr>
              <w:t>C30 / logistic regression</w:t>
            </w:r>
          </w:p>
        </w:tc>
        <w:tc>
          <w:tcPr>
            <w:tcW w:type="dxa" w:w="1110"/>
            <w:vAlign w:val="center"/>
          </w:tcPr>
          <w:p>
            <w:pPr>
              <w:spacing w:before="0" w:after="0" w:line="240" w:lineRule="auto"/>
            </w:pPr>
            <w:r>
              <w:rPr>
                <w:rFonts w:ascii="Calibri" w:hAnsi="Calibri"/>
                <w:b w:val="0"/>
                <w:color w:val="12181C"/>
                <w:sz w:val="14"/>
              </w:rPr>
              <w:t>97.37%</w:t>
            </w:r>
          </w:p>
        </w:tc>
        <w:tc>
          <w:tcPr>
            <w:tcW w:type="dxa" w:w="1800"/>
            <w:vAlign w:val="center"/>
          </w:tcPr>
          <w:p>
            <w:pPr>
              <w:spacing w:before="0" w:after="0" w:line="240" w:lineRule="auto"/>
            </w:pPr>
            <w:r>
              <w:rPr>
                <w:rFonts w:ascii="Calibri" w:hAnsi="Calibri"/>
                <w:b w:val="0"/>
                <w:color w:val="12181C"/>
                <w:sz w:val="14"/>
              </w:rPr>
              <w:t>94.74%-99.12%</w:t>
            </w:r>
          </w:p>
        </w:tc>
        <w:tc>
          <w:tcPr>
            <w:tcW w:type="dxa" w:w="1150"/>
            <w:vAlign w:val="center"/>
          </w:tcPr>
          <w:p>
            <w:pPr>
              <w:spacing w:before="0" w:after="0" w:line="240" w:lineRule="auto"/>
            </w:pPr>
            <w:r>
              <w:rPr>
                <w:rFonts w:ascii="Calibri" w:hAnsi="Calibri"/>
                <w:b w:val="0"/>
                <w:color w:val="12181C"/>
                <w:sz w:val="14"/>
              </w:rPr>
              <w:t>94.36%</w:t>
            </w:r>
          </w:p>
        </w:tc>
        <w:tc>
          <w:tcPr>
            <w:tcW w:type="dxa" w:w="1150"/>
            <w:vAlign w:val="center"/>
          </w:tcPr>
          <w:p>
            <w:pPr>
              <w:spacing w:before="0" w:after="0" w:line="240" w:lineRule="auto"/>
            </w:pPr>
            <w:r>
              <w:rPr>
                <w:rFonts w:ascii="Calibri" w:hAnsi="Calibri"/>
                <w:b w:val="0"/>
                <w:color w:val="12181C"/>
                <w:sz w:val="14"/>
              </w:rPr>
              <w:t>99.16%</w:t>
            </w:r>
          </w:p>
        </w:tc>
        <w:tc>
          <w:tcPr>
            <w:tcW w:type="dxa" w:w="1150"/>
            <w:vAlign w:val="center"/>
          </w:tcPr>
          <w:p>
            <w:pPr>
              <w:spacing w:before="0" w:after="0" w:line="240" w:lineRule="auto"/>
            </w:pPr>
            <w:r>
              <w:rPr>
                <w:rFonts w:ascii="Calibri" w:hAnsi="Calibri"/>
                <w:b w:val="0"/>
                <w:color w:val="12181C"/>
                <w:sz w:val="14"/>
              </w:rPr>
              <w:t>0.995</w:t>
            </w:r>
          </w:p>
        </w:tc>
      </w:tr>
      <w:tr>
        <w:tc>
          <w:tcPr>
            <w:tcW w:type="dxa" w:w="3000"/>
            <w:vAlign w:val="center"/>
          </w:tcPr>
          <w:p>
            <w:pPr>
              <w:spacing w:before="0" w:after="0" w:line="240" w:lineRule="auto"/>
            </w:pPr>
            <w:r>
              <w:rPr>
                <w:rFonts w:ascii="Calibri" w:hAnsi="Calibri"/>
                <w:b w:val="0"/>
                <w:color w:val="12181C"/>
                <w:sz w:val="14"/>
              </w:rPr>
              <w:t>C30 / random forest</w:t>
            </w:r>
          </w:p>
        </w:tc>
        <w:tc>
          <w:tcPr>
            <w:tcW w:type="dxa" w:w="1110"/>
            <w:vAlign w:val="center"/>
          </w:tcPr>
          <w:p>
            <w:pPr>
              <w:spacing w:before="0" w:after="0" w:line="240" w:lineRule="auto"/>
            </w:pPr>
            <w:r>
              <w:rPr>
                <w:rFonts w:ascii="Calibri" w:hAnsi="Calibri"/>
                <w:b w:val="0"/>
                <w:color w:val="12181C"/>
                <w:sz w:val="14"/>
              </w:rPr>
              <w:t>95.61%</w:t>
            </w:r>
          </w:p>
        </w:tc>
        <w:tc>
          <w:tcPr>
            <w:tcW w:type="dxa" w:w="1800"/>
            <w:vAlign w:val="center"/>
          </w:tcPr>
          <w:p>
            <w:pPr>
              <w:spacing w:before="0" w:after="0" w:line="240" w:lineRule="auto"/>
            </w:pPr>
            <w:r>
              <w:rPr>
                <w:rFonts w:ascii="Calibri" w:hAnsi="Calibri"/>
                <w:b w:val="0"/>
                <w:color w:val="12181C"/>
                <w:sz w:val="14"/>
              </w:rPr>
              <w:t>92.98%-96.49%</w:t>
            </w:r>
          </w:p>
        </w:tc>
        <w:tc>
          <w:tcPr>
            <w:tcW w:type="dxa" w:w="1150"/>
            <w:vAlign w:val="center"/>
          </w:tcPr>
          <w:p>
            <w:pPr>
              <w:spacing w:before="0" w:after="0" w:line="240" w:lineRule="auto"/>
            </w:pPr>
            <w:r>
              <w:rPr>
                <w:rFonts w:ascii="Calibri" w:hAnsi="Calibri"/>
                <w:b w:val="0"/>
                <w:color w:val="12181C"/>
                <w:sz w:val="14"/>
              </w:rPr>
              <w:t>93.89%</w:t>
            </w:r>
          </w:p>
        </w:tc>
        <w:tc>
          <w:tcPr>
            <w:tcW w:type="dxa" w:w="1150"/>
            <w:vAlign w:val="center"/>
          </w:tcPr>
          <w:p>
            <w:pPr>
              <w:spacing w:before="0" w:after="0" w:line="240" w:lineRule="auto"/>
            </w:pPr>
            <w:r>
              <w:rPr>
                <w:rFonts w:ascii="Calibri" w:hAnsi="Calibri"/>
                <w:b w:val="0"/>
                <w:color w:val="12181C"/>
                <w:sz w:val="14"/>
              </w:rPr>
              <w:t>96.64%</w:t>
            </w:r>
          </w:p>
        </w:tc>
        <w:tc>
          <w:tcPr>
            <w:tcW w:type="dxa" w:w="1150"/>
            <w:vAlign w:val="center"/>
          </w:tcPr>
          <w:p>
            <w:pPr>
              <w:spacing w:before="0" w:after="0" w:line="240" w:lineRule="auto"/>
            </w:pPr>
            <w:r>
              <w:rPr>
                <w:rFonts w:ascii="Calibri" w:hAnsi="Calibri"/>
                <w:b w:val="0"/>
                <w:color w:val="12181C"/>
                <w:sz w:val="14"/>
              </w:rPr>
              <w:t>0.989</w:t>
            </w:r>
          </w:p>
        </w:tc>
      </w:tr>
      <w:tr>
        <w:tc>
          <w:tcPr>
            <w:tcW w:type="dxa" w:w="3000"/>
            <w:vAlign w:val="center"/>
          </w:tcPr>
          <w:p>
            <w:pPr>
              <w:spacing w:before="0" w:after="0" w:line="240" w:lineRule="auto"/>
            </w:pPr>
            <w:r>
              <w:rPr>
                <w:rFonts w:ascii="Calibri" w:hAnsi="Calibri"/>
                <w:b w:val="0"/>
                <w:color w:val="12181C"/>
                <w:sz w:val="14"/>
              </w:rPr>
              <w:t>C30 / xgboost</w:t>
            </w:r>
          </w:p>
        </w:tc>
        <w:tc>
          <w:tcPr>
            <w:tcW w:type="dxa" w:w="1110"/>
            <w:vAlign w:val="center"/>
          </w:tcPr>
          <w:p>
            <w:pPr>
              <w:spacing w:before="0" w:after="0" w:line="240" w:lineRule="auto"/>
            </w:pPr>
            <w:r>
              <w:rPr>
                <w:rFonts w:ascii="Calibri" w:hAnsi="Calibri"/>
                <w:b w:val="0"/>
                <w:color w:val="12181C"/>
                <w:sz w:val="14"/>
              </w:rPr>
              <w:t>96.66%</w:t>
            </w:r>
          </w:p>
        </w:tc>
        <w:tc>
          <w:tcPr>
            <w:tcW w:type="dxa" w:w="1800"/>
            <w:vAlign w:val="center"/>
          </w:tcPr>
          <w:p>
            <w:pPr>
              <w:spacing w:before="0" w:after="0" w:line="240" w:lineRule="auto"/>
            </w:pPr>
            <w:r>
              <w:rPr>
                <w:rFonts w:ascii="Calibri" w:hAnsi="Calibri"/>
                <w:b w:val="0"/>
                <w:color w:val="12181C"/>
                <w:sz w:val="14"/>
              </w:rPr>
              <w:t>94.74%-99.12%</w:t>
            </w:r>
          </w:p>
        </w:tc>
        <w:tc>
          <w:tcPr>
            <w:tcW w:type="dxa" w:w="1150"/>
            <w:vAlign w:val="center"/>
          </w:tcPr>
          <w:p>
            <w:pPr>
              <w:spacing w:before="0" w:after="0" w:line="240" w:lineRule="auto"/>
            </w:pPr>
            <w:r>
              <w:rPr>
                <w:rFonts w:ascii="Calibri" w:hAnsi="Calibri"/>
                <w:b w:val="0"/>
                <w:color w:val="12181C"/>
                <w:sz w:val="14"/>
              </w:rPr>
              <w:t>94.82%</w:t>
            </w:r>
          </w:p>
        </w:tc>
        <w:tc>
          <w:tcPr>
            <w:tcW w:type="dxa" w:w="1150"/>
            <w:vAlign w:val="center"/>
          </w:tcPr>
          <w:p>
            <w:pPr>
              <w:spacing w:before="0" w:after="0" w:line="240" w:lineRule="auto"/>
            </w:pPr>
            <w:r>
              <w:rPr>
                <w:rFonts w:ascii="Calibri" w:hAnsi="Calibri"/>
                <w:b w:val="0"/>
                <w:color w:val="12181C"/>
                <w:sz w:val="14"/>
              </w:rPr>
              <w:t>97.77%</w:t>
            </w:r>
          </w:p>
        </w:tc>
        <w:tc>
          <w:tcPr>
            <w:tcW w:type="dxa" w:w="1150"/>
            <w:vAlign w:val="center"/>
          </w:tcPr>
          <w:p>
            <w:pPr>
              <w:spacing w:before="0" w:after="0" w:line="240" w:lineRule="auto"/>
            </w:pPr>
            <w:r>
              <w:rPr>
                <w:rFonts w:ascii="Calibri" w:hAnsi="Calibri"/>
                <w:b w:val="0"/>
                <w:color w:val="12181C"/>
                <w:sz w:val="14"/>
              </w:rPr>
              <w:t>0.994</w:t>
            </w:r>
          </w:p>
        </w:tc>
      </w:tr>
      <w:tr>
        <w:tc>
          <w:tcPr>
            <w:tcW w:type="dxa" w:w="3000"/>
            <w:vAlign w:val="center"/>
          </w:tcPr>
          <w:p>
            <w:pPr>
              <w:spacing w:before="0" w:after="0" w:line="240" w:lineRule="auto"/>
            </w:pPr>
            <w:r>
              <w:rPr>
                <w:rFonts w:ascii="Calibri" w:hAnsi="Calibri"/>
                <w:b w:val="0"/>
                <w:color w:val="12181C"/>
                <w:sz w:val="14"/>
              </w:rPr>
              <w:t>C30 / svm</w:t>
            </w:r>
          </w:p>
        </w:tc>
        <w:tc>
          <w:tcPr>
            <w:tcW w:type="dxa" w:w="1110"/>
            <w:vAlign w:val="center"/>
          </w:tcPr>
          <w:p>
            <w:pPr>
              <w:spacing w:before="0" w:after="0" w:line="240" w:lineRule="auto"/>
            </w:pPr>
            <w:r>
              <w:rPr>
                <w:rFonts w:ascii="Calibri" w:hAnsi="Calibri"/>
                <w:b w:val="0"/>
                <w:color w:val="12181C"/>
                <w:sz w:val="14"/>
              </w:rPr>
              <w:t>97.72%</w:t>
            </w:r>
          </w:p>
        </w:tc>
        <w:tc>
          <w:tcPr>
            <w:tcW w:type="dxa" w:w="1800"/>
            <w:vAlign w:val="center"/>
          </w:tcPr>
          <w:p>
            <w:pPr>
              <w:spacing w:before="0" w:after="0" w:line="240" w:lineRule="auto"/>
            </w:pPr>
            <w:r>
              <w:rPr>
                <w:rFonts w:ascii="Calibri" w:hAnsi="Calibri"/>
                <w:b w:val="0"/>
                <w:color w:val="12181C"/>
                <w:sz w:val="14"/>
              </w:rPr>
              <w:t>94.74%-99.12%</w:t>
            </w:r>
          </w:p>
        </w:tc>
        <w:tc>
          <w:tcPr>
            <w:tcW w:type="dxa" w:w="1150"/>
            <w:vAlign w:val="center"/>
          </w:tcPr>
          <w:p>
            <w:pPr>
              <w:spacing w:before="0" w:after="0" w:line="240" w:lineRule="auto"/>
            </w:pPr>
            <w:r>
              <w:rPr>
                <w:rFonts w:ascii="Calibri" w:hAnsi="Calibri"/>
                <w:b w:val="0"/>
                <w:color w:val="12181C"/>
                <w:sz w:val="14"/>
              </w:rPr>
              <w:t>95.76%</w:t>
            </w:r>
          </w:p>
        </w:tc>
        <w:tc>
          <w:tcPr>
            <w:tcW w:type="dxa" w:w="1150"/>
            <w:vAlign w:val="center"/>
          </w:tcPr>
          <w:p>
            <w:pPr>
              <w:spacing w:before="0" w:after="0" w:line="240" w:lineRule="auto"/>
            </w:pPr>
            <w:r>
              <w:rPr>
                <w:rFonts w:ascii="Calibri" w:hAnsi="Calibri"/>
                <w:b w:val="0"/>
                <w:color w:val="12181C"/>
                <w:sz w:val="14"/>
              </w:rPr>
              <w:t>98.88%</w:t>
            </w:r>
          </w:p>
        </w:tc>
        <w:tc>
          <w:tcPr>
            <w:tcW w:type="dxa" w:w="1150"/>
            <w:vAlign w:val="center"/>
          </w:tcPr>
          <w:p>
            <w:pPr>
              <w:spacing w:before="0" w:after="0" w:line="240" w:lineRule="auto"/>
            </w:pPr>
            <w:r>
              <w:rPr>
                <w:rFonts w:ascii="Calibri" w:hAnsi="Calibri"/>
                <w:b w:val="0"/>
                <w:color w:val="12181C"/>
                <w:sz w:val="14"/>
              </w:rPr>
              <w:t>0.995</w:t>
            </w:r>
          </w:p>
        </w:tc>
      </w:tr>
      <w:tr>
        <w:tc>
          <w:tcPr>
            <w:tcW w:type="dxa" w:w="3000"/>
            <w:vAlign w:val="center"/>
          </w:tcPr>
          <w:p>
            <w:pPr>
              <w:spacing w:before="0" w:after="0" w:line="240" w:lineRule="auto"/>
            </w:pPr>
            <w:r>
              <w:rPr>
                <w:rFonts w:ascii="Calibri" w:hAnsi="Calibri"/>
                <w:b w:val="0"/>
                <w:color w:val="12181C"/>
                <w:sz w:val="14"/>
              </w:rPr>
              <w:t>C4 / logistic regression</w:t>
            </w:r>
          </w:p>
        </w:tc>
        <w:tc>
          <w:tcPr>
            <w:tcW w:type="dxa" w:w="1110"/>
            <w:vAlign w:val="center"/>
          </w:tcPr>
          <w:p>
            <w:pPr>
              <w:spacing w:before="0" w:after="0" w:line="240" w:lineRule="auto"/>
            </w:pPr>
            <w:r>
              <w:rPr>
                <w:rFonts w:ascii="Calibri" w:hAnsi="Calibri"/>
                <w:b w:val="0"/>
                <w:color w:val="12181C"/>
                <w:sz w:val="14"/>
              </w:rPr>
              <w:t>94.03%</w:t>
            </w:r>
          </w:p>
        </w:tc>
        <w:tc>
          <w:tcPr>
            <w:tcW w:type="dxa" w:w="1800"/>
            <w:vAlign w:val="center"/>
          </w:tcPr>
          <w:p>
            <w:pPr>
              <w:spacing w:before="0" w:after="0" w:line="240" w:lineRule="auto"/>
            </w:pPr>
            <w:r>
              <w:rPr>
                <w:rFonts w:ascii="Calibri" w:hAnsi="Calibri"/>
                <w:b w:val="0"/>
                <w:color w:val="12181C"/>
                <w:sz w:val="14"/>
              </w:rPr>
              <w:t>90.35%-95.61%</w:t>
            </w:r>
          </w:p>
        </w:tc>
        <w:tc>
          <w:tcPr>
            <w:tcW w:type="dxa" w:w="1150"/>
            <w:vAlign w:val="center"/>
          </w:tcPr>
          <w:p>
            <w:pPr>
              <w:spacing w:before="0" w:after="0" w:line="240" w:lineRule="auto"/>
            </w:pPr>
            <w:r>
              <w:rPr>
                <w:rFonts w:ascii="Calibri" w:hAnsi="Calibri"/>
                <w:b w:val="0"/>
                <w:color w:val="12181C"/>
                <w:sz w:val="14"/>
              </w:rPr>
              <w:t>90.59%</w:t>
            </w:r>
          </w:p>
        </w:tc>
        <w:tc>
          <w:tcPr>
            <w:tcW w:type="dxa" w:w="1150"/>
            <w:vAlign w:val="center"/>
          </w:tcPr>
          <w:p>
            <w:pPr>
              <w:spacing w:before="0" w:after="0" w:line="240" w:lineRule="auto"/>
            </w:pPr>
            <w:r>
              <w:rPr>
                <w:rFonts w:ascii="Calibri" w:hAnsi="Calibri"/>
                <w:b w:val="0"/>
                <w:color w:val="12181C"/>
                <w:sz w:val="14"/>
              </w:rPr>
              <w:t>96.08%</w:t>
            </w:r>
          </w:p>
        </w:tc>
        <w:tc>
          <w:tcPr>
            <w:tcW w:type="dxa" w:w="1150"/>
            <w:vAlign w:val="center"/>
          </w:tcPr>
          <w:p>
            <w:pPr>
              <w:spacing w:before="0" w:after="0" w:line="240" w:lineRule="auto"/>
            </w:pPr>
            <w:r>
              <w:rPr>
                <w:rFonts w:ascii="Calibri" w:hAnsi="Calibri"/>
                <w:b w:val="0"/>
                <w:color w:val="12181C"/>
                <w:sz w:val="14"/>
              </w:rPr>
              <w:t>0.989</w:t>
            </w:r>
          </w:p>
        </w:tc>
      </w:tr>
      <w:tr>
        <w:tc>
          <w:tcPr>
            <w:tcW w:type="dxa" w:w="3000"/>
            <w:vAlign w:val="center"/>
          </w:tcPr>
          <w:p>
            <w:pPr>
              <w:spacing w:before="0" w:after="0" w:line="240" w:lineRule="auto"/>
            </w:pPr>
            <w:r>
              <w:rPr>
                <w:rFonts w:ascii="Calibri" w:hAnsi="Calibri"/>
                <w:b w:val="0"/>
                <w:color w:val="12181C"/>
                <w:sz w:val="14"/>
              </w:rPr>
              <w:t>C4 / random forest</w:t>
            </w:r>
          </w:p>
        </w:tc>
        <w:tc>
          <w:tcPr>
            <w:tcW w:type="dxa" w:w="1110"/>
            <w:vAlign w:val="center"/>
          </w:tcPr>
          <w:p>
            <w:pPr>
              <w:spacing w:before="0" w:after="0" w:line="240" w:lineRule="auto"/>
            </w:pPr>
            <w:r>
              <w:rPr>
                <w:rFonts w:ascii="Calibri" w:hAnsi="Calibri"/>
                <w:b w:val="0"/>
                <w:color w:val="12181C"/>
                <w:sz w:val="14"/>
              </w:rPr>
              <w:t>93.33%</w:t>
            </w:r>
          </w:p>
        </w:tc>
        <w:tc>
          <w:tcPr>
            <w:tcW w:type="dxa" w:w="1800"/>
            <w:vAlign w:val="center"/>
          </w:tcPr>
          <w:p>
            <w:pPr>
              <w:spacing w:before="0" w:after="0" w:line="240" w:lineRule="auto"/>
            </w:pPr>
            <w:r>
              <w:rPr>
                <w:rFonts w:ascii="Calibri" w:hAnsi="Calibri"/>
                <w:b w:val="0"/>
                <w:color w:val="12181C"/>
                <w:sz w:val="14"/>
              </w:rPr>
              <w:t>88.60%-95.58%</w:t>
            </w:r>
          </w:p>
        </w:tc>
        <w:tc>
          <w:tcPr>
            <w:tcW w:type="dxa" w:w="1150"/>
            <w:vAlign w:val="center"/>
          </w:tcPr>
          <w:p>
            <w:pPr>
              <w:spacing w:before="0" w:after="0" w:line="240" w:lineRule="auto"/>
            </w:pPr>
            <w:r>
              <w:rPr>
                <w:rFonts w:ascii="Calibri" w:hAnsi="Calibri"/>
                <w:b w:val="0"/>
                <w:color w:val="12181C"/>
                <w:sz w:val="14"/>
              </w:rPr>
              <w:t>90.60%</w:t>
            </w:r>
          </w:p>
        </w:tc>
        <w:tc>
          <w:tcPr>
            <w:tcW w:type="dxa" w:w="1150"/>
            <w:vAlign w:val="center"/>
          </w:tcPr>
          <w:p>
            <w:pPr>
              <w:spacing w:before="0" w:after="0" w:line="240" w:lineRule="auto"/>
            </w:pPr>
            <w:r>
              <w:rPr>
                <w:rFonts w:ascii="Calibri" w:hAnsi="Calibri"/>
                <w:b w:val="0"/>
                <w:color w:val="12181C"/>
                <w:sz w:val="14"/>
              </w:rPr>
              <w:t>94.96%</w:t>
            </w:r>
          </w:p>
        </w:tc>
        <w:tc>
          <w:tcPr>
            <w:tcW w:type="dxa" w:w="1150"/>
            <w:vAlign w:val="center"/>
          </w:tcPr>
          <w:p>
            <w:pPr>
              <w:spacing w:before="0" w:after="0" w:line="240" w:lineRule="auto"/>
            </w:pPr>
            <w:r>
              <w:rPr>
                <w:rFonts w:ascii="Calibri" w:hAnsi="Calibri"/>
                <w:b w:val="0"/>
                <w:color w:val="12181C"/>
                <w:sz w:val="14"/>
              </w:rPr>
              <w:t>0.978</w:t>
            </w:r>
          </w:p>
        </w:tc>
      </w:tr>
      <w:tr>
        <w:tc>
          <w:tcPr>
            <w:tcW w:type="dxa" w:w="3000"/>
            <w:vAlign w:val="center"/>
          </w:tcPr>
          <w:p>
            <w:pPr>
              <w:spacing w:before="0" w:after="0" w:line="240" w:lineRule="auto"/>
            </w:pPr>
            <w:r>
              <w:rPr>
                <w:rFonts w:ascii="Calibri" w:hAnsi="Calibri"/>
                <w:b w:val="0"/>
                <w:color w:val="12181C"/>
                <w:sz w:val="14"/>
              </w:rPr>
              <w:t>C4 / xgboost</w:t>
            </w:r>
          </w:p>
        </w:tc>
        <w:tc>
          <w:tcPr>
            <w:tcW w:type="dxa" w:w="1110"/>
            <w:vAlign w:val="center"/>
          </w:tcPr>
          <w:p>
            <w:pPr>
              <w:spacing w:before="0" w:after="0" w:line="240" w:lineRule="auto"/>
            </w:pPr>
            <w:r>
              <w:rPr>
                <w:rFonts w:ascii="Calibri" w:hAnsi="Calibri"/>
                <w:b w:val="0"/>
                <w:color w:val="12181C"/>
                <w:sz w:val="14"/>
              </w:rPr>
              <w:t>94.03%</w:t>
            </w:r>
          </w:p>
        </w:tc>
        <w:tc>
          <w:tcPr>
            <w:tcW w:type="dxa" w:w="1800"/>
            <w:vAlign w:val="center"/>
          </w:tcPr>
          <w:p>
            <w:pPr>
              <w:spacing w:before="0" w:after="0" w:line="240" w:lineRule="auto"/>
            </w:pPr>
            <w:r>
              <w:rPr>
                <w:rFonts w:ascii="Calibri" w:hAnsi="Calibri"/>
                <w:b w:val="0"/>
                <w:color w:val="12181C"/>
                <w:sz w:val="14"/>
              </w:rPr>
              <w:t>91.23%-94.74%</w:t>
            </w:r>
          </w:p>
        </w:tc>
        <w:tc>
          <w:tcPr>
            <w:tcW w:type="dxa" w:w="1150"/>
            <w:vAlign w:val="center"/>
          </w:tcPr>
          <w:p>
            <w:pPr>
              <w:spacing w:before="0" w:after="0" w:line="240" w:lineRule="auto"/>
            </w:pPr>
            <w:r>
              <w:rPr>
                <w:rFonts w:ascii="Calibri" w:hAnsi="Calibri"/>
                <w:b w:val="0"/>
                <w:color w:val="12181C"/>
                <w:sz w:val="14"/>
              </w:rPr>
              <w:t>91.05%</w:t>
            </w:r>
          </w:p>
        </w:tc>
        <w:tc>
          <w:tcPr>
            <w:tcW w:type="dxa" w:w="1150"/>
            <w:vAlign w:val="center"/>
          </w:tcPr>
          <w:p>
            <w:pPr>
              <w:spacing w:before="0" w:after="0" w:line="240" w:lineRule="auto"/>
            </w:pPr>
            <w:r>
              <w:rPr>
                <w:rFonts w:ascii="Calibri" w:hAnsi="Calibri"/>
                <w:b w:val="0"/>
                <w:color w:val="12181C"/>
                <w:sz w:val="14"/>
              </w:rPr>
              <w:t>95.80%</w:t>
            </w:r>
          </w:p>
        </w:tc>
        <w:tc>
          <w:tcPr>
            <w:tcW w:type="dxa" w:w="1150"/>
            <w:vAlign w:val="center"/>
          </w:tcPr>
          <w:p>
            <w:pPr>
              <w:spacing w:before="0" w:after="0" w:line="240" w:lineRule="auto"/>
            </w:pPr>
            <w:r>
              <w:rPr>
                <w:rFonts w:ascii="Calibri" w:hAnsi="Calibri"/>
                <w:b w:val="0"/>
                <w:color w:val="12181C"/>
                <w:sz w:val="14"/>
              </w:rPr>
              <w:t>0.975</w:t>
            </w:r>
          </w:p>
        </w:tc>
      </w:tr>
      <w:tr>
        <w:tc>
          <w:tcPr>
            <w:tcW w:type="dxa" w:w="3000"/>
            <w:vAlign w:val="center"/>
          </w:tcPr>
          <w:p>
            <w:pPr>
              <w:spacing w:before="0" w:after="0" w:line="240" w:lineRule="auto"/>
            </w:pPr>
            <w:r>
              <w:rPr>
                <w:rFonts w:ascii="Calibri" w:hAnsi="Calibri"/>
                <w:b w:val="0"/>
                <w:color w:val="12181C"/>
                <w:sz w:val="14"/>
              </w:rPr>
              <w:t>C4 / svm</w:t>
            </w:r>
          </w:p>
        </w:tc>
        <w:tc>
          <w:tcPr>
            <w:tcW w:type="dxa" w:w="1110"/>
            <w:vAlign w:val="center"/>
          </w:tcPr>
          <w:p>
            <w:pPr>
              <w:spacing w:before="0" w:after="0" w:line="240" w:lineRule="auto"/>
            </w:pPr>
            <w:r>
              <w:rPr>
                <w:rFonts w:ascii="Calibri" w:hAnsi="Calibri"/>
                <w:b w:val="0"/>
                <w:color w:val="12181C"/>
                <w:sz w:val="14"/>
              </w:rPr>
              <w:t>93.85%</w:t>
            </w:r>
          </w:p>
        </w:tc>
        <w:tc>
          <w:tcPr>
            <w:tcW w:type="dxa" w:w="1800"/>
            <w:vAlign w:val="center"/>
          </w:tcPr>
          <w:p>
            <w:pPr>
              <w:spacing w:before="0" w:after="0" w:line="240" w:lineRule="auto"/>
            </w:pPr>
            <w:r>
              <w:rPr>
                <w:rFonts w:ascii="Calibri" w:hAnsi="Calibri"/>
                <w:b w:val="0"/>
                <w:color w:val="12181C"/>
                <w:sz w:val="14"/>
              </w:rPr>
              <w:t>89.47%-96.46%</w:t>
            </w:r>
          </w:p>
        </w:tc>
        <w:tc>
          <w:tcPr>
            <w:tcW w:type="dxa" w:w="1150"/>
            <w:vAlign w:val="center"/>
          </w:tcPr>
          <w:p>
            <w:pPr>
              <w:spacing w:before="0" w:after="0" w:line="240" w:lineRule="auto"/>
            </w:pPr>
            <w:r>
              <w:rPr>
                <w:rFonts w:ascii="Calibri" w:hAnsi="Calibri"/>
                <w:b w:val="0"/>
                <w:color w:val="12181C"/>
                <w:sz w:val="14"/>
              </w:rPr>
              <w:t>90.12%</w:t>
            </w:r>
          </w:p>
        </w:tc>
        <w:tc>
          <w:tcPr>
            <w:tcW w:type="dxa" w:w="1150"/>
            <w:vAlign w:val="center"/>
          </w:tcPr>
          <w:p>
            <w:pPr>
              <w:spacing w:before="0" w:after="0" w:line="240" w:lineRule="auto"/>
            </w:pPr>
            <w:r>
              <w:rPr>
                <w:rFonts w:ascii="Calibri" w:hAnsi="Calibri"/>
                <w:b w:val="0"/>
                <w:color w:val="12181C"/>
                <w:sz w:val="14"/>
              </w:rPr>
              <w:t>96.08%</w:t>
            </w:r>
          </w:p>
        </w:tc>
        <w:tc>
          <w:tcPr>
            <w:tcW w:type="dxa" w:w="1150"/>
            <w:vAlign w:val="center"/>
          </w:tcPr>
          <w:p>
            <w:pPr>
              <w:spacing w:before="0" w:after="0" w:line="240" w:lineRule="auto"/>
            </w:pPr>
            <w:r>
              <w:rPr>
                <w:rFonts w:ascii="Calibri" w:hAnsi="Calibri"/>
                <w:b w:val="0"/>
                <w:color w:val="12181C"/>
                <w:sz w:val="14"/>
              </w:rPr>
              <w:t>0.984</w:t>
            </w:r>
          </w:p>
        </w:tc>
      </w:tr>
      <w:tr>
        <w:tc>
          <w:tcPr>
            <w:tcW w:type="dxa" w:w="3000"/>
            <w:vAlign w:val="center"/>
          </w:tcPr>
          <w:p>
            <w:pPr>
              <w:spacing w:before="0" w:after="0" w:line="240" w:lineRule="auto"/>
            </w:pPr>
            <w:r>
              <w:rPr>
                <w:rFonts w:ascii="Calibri" w:hAnsi="Calibri"/>
                <w:b w:val="0"/>
                <w:color w:val="12181C"/>
                <w:sz w:val="14"/>
              </w:rPr>
              <w:t>Q / vqc 4q 3l cnot</w:t>
            </w:r>
          </w:p>
        </w:tc>
        <w:tc>
          <w:tcPr>
            <w:tcW w:type="dxa" w:w="1110"/>
            <w:vAlign w:val="center"/>
          </w:tcPr>
          <w:p>
            <w:pPr>
              <w:spacing w:before="0" w:after="0" w:line="240" w:lineRule="auto"/>
            </w:pPr>
            <w:r>
              <w:rPr>
                <w:rFonts w:ascii="Calibri" w:hAnsi="Calibri"/>
                <w:b w:val="0"/>
                <w:color w:val="12181C"/>
                <w:sz w:val="14"/>
              </w:rPr>
              <w:t>91.92%</w:t>
            </w:r>
          </w:p>
        </w:tc>
        <w:tc>
          <w:tcPr>
            <w:tcW w:type="dxa" w:w="1800"/>
            <w:vAlign w:val="center"/>
          </w:tcPr>
          <w:p>
            <w:pPr>
              <w:spacing w:before="0" w:after="0" w:line="240" w:lineRule="auto"/>
            </w:pPr>
            <w:r>
              <w:rPr>
                <w:rFonts w:ascii="Calibri" w:hAnsi="Calibri"/>
                <w:b w:val="0"/>
                <w:color w:val="12181C"/>
                <w:sz w:val="14"/>
              </w:rPr>
              <w:t>89.47%-92.98%</w:t>
            </w:r>
          </w:p>
        </w:tc>
        <w:tc>
          <w:tcPr>
            <w:tcW w:type="dxa" w:w="1150"/>
            <w:vAlign w:val="center"/>
          </w:tcPr>
          <w:p>
            <w:pPr>
              <w:spacing w:before="0" w:after="0" w:line="240" w:lineRule="auto"/>
            </w:pPr>
            <w:r>
              <w:rPr>
                <w:rFonts w:ascii="Calibri" w:hAnsi="Calibri"/>
                <w:b w:val="0"/>
                <w:color w:val="12181C"/>
                <w:sz w:val="14"/>
              </w:rPr>
              <w:t>85.85%</w:t>
            </w:r>
          </w:p>
        </w:tc>
        <w:tc>
          <w:tcPr>
            <w:tcW w:type="dxa" w:w="1150"/>
            <w:vAlign w:val="center"/>
          </w:tcPr>
          <w:p>
            <w:pPr>
              <w:spacing w:before="0" w:after="0" w:line="240" w:lineRule="auto"/>
            </w:pPr>
            <w:r>
              <w:rPr>
                <w:rFonts w:ascii="Calibri" w:hAnsi="Calibri"/>
                <w:b w:val="0"/>
                <w:color w:val="12181C"/>
                <w:sz w:val="14"/>
              </w:rPr>
              <w:t>95.53%</w:t>
            </w:r>
          </w:p>
        </w:tc>
        <w:tc>
          <w:tcPr>
            <w:tcW w:type="dxa" w:w="1150"/>
            <w:vAlign w:val="center"/>
          </w:tcPr>
          <w:p>
            <w:pPr>
              <w:spacing w:before="0" w:after="0" w:line="240" w:lineRule="auto"/>
            </w:pPr>
            <w:r>
              <w:rPr>
                <w:rFonts w:ascii="Calibri" w:hAnsi="Calibri"/>
                <w:b w:val="0"/>
                <w:color w:val="12181C"/>
                <w:sz w:val="14"/>
              </w:rPr>
              <w:t>0.984</w:t>
            </w:r>
          </w:p>
        </w:tc>
      </w:tr>
      <w:tr>
        <w:tc>
          <w:tcPr>
            <w:tcW w:type="dxa" w:w="3000"/>
            <w:vAlign w:val="center"/>
          </w:tcPr>
          <w:p>
            <w:pPr>
              <w:spacing w:before="0" w:after="0" w:line="240" w:lineRule="auto"/>
            </w:pPr>
            <w:r>
              <w:rPr>
                <w:rFonts w:ascii="Calibri" w:hAnsi="Calibri"/>
                <w:b w:val="0"/>
                <w:color w:val="12181C"/>
                <w:sz w:val="14"/>
              </w:rPr>
              <w:t>Q / vqc 3q 2l cnot</w:t>
            </w:r>
          </w:p>
        </w:tc>
        <w:tc>
          <w:tcPr>
            <w:tcW w:type="dxa" w:w="1110"/>
            <w:vAlign w:val="center"/>
          </w:tcPr>
          <w:p>
            <w:pPr>
              <w:spacing w:before="0" w:after="0" w:line="240" w:lineRule="auto"/>
            </w:pPr>
            <w:r>
              <w:rPr>
                <w:rFonts w:ascii="Calibri" w:hAnsi="Calibri"/>
                <w:b w:val="0"/>
                <w:color w:val="12181C"/>
                <w:sz w:val="14"/>
              </w:rPr>
              <w:t>86.12%</w:t>
            </w:r>
          </w:p>
        </w:tc>
        <w:tc>
          <w:tcPr>
            <w:tcW w:type="dxa" w:w="1800"/>
            <w:vAlign w:val="center"/>
          </w:tcPr>
          <w:p>
            <w:pPr>
              <w:spacing w:before="0" w:after="0" w:line="240" w:lineRule="auto"/>
            </w:pPr>
            <w:r>
              <w:rPr>
                <w:rFonts w:ascii="Calibri" w:hAnsi="Calibri"/>
                <w:b w:val="0"/>
                <w:color w:val="12181C"/>
                <w:sz w:val="14"/>
              </w:rPr>
              <w:t>72.81%-93.86%</w:t>
            </w:r>
          </w:p>
        </w:tc>
        <w:tc>
          <w:tcPr>
            <w:tcW w:type="dxa" w:w="1150"/>
            <w:vAlign w:val="center"/>
          </w:tcPr>
          <w:p>
            <w:pPr>
              <w:spacing w:before="0" w:after="0" w:line="240" w:lineRule="auto"/>
            </w:pPr>
            <w:r>
              <w:rPr>
                <w:rFonts w:ascii="Calibri" w:hAnsi="Calibri"/>
                <w:b w:val="0"/>
                <w:color w:val="12181C"/>
                <w:sz w:val="14"/>
              </w:rPr>
              <w:t>70.85%</w:t>
            </w:r>
          </w:p>
        </w:tc>
        <w:tc>
          <w:tcPr>
            <w:tcW w:type="dxa" w:w="1150"/>
            <w:vAlign w:val="center"/>
          </w:tcPr>
          <w:p>
            <w:pPr>
              <w:spacing w:before="0" w:after="0" w:line="240" w:lineRule="auto"/>
            </w:pPr>
            <w:r>
              <w:rPr>
                <w:rFonts w:ascii="Calibri" w:hAnsi="Calibri"/>
                <w:b w:val="0"/>
                <w:color w:val="12181C"/>
                <w:sz w:val="14"/>
              </w:rPr>
              <w:t>95.26%</w:t>
            </w:r>
          </w:p>
        </w:tc>
        <w:tc>
          <w:tcPr>
            <w:tcW w:type="dxa" w:w="1150"/>
            <w:vAlign w:val="center"/>
          </w:tcPr>
          <w:p>
            <w:pPr>
              <w:spacing w:before="0" w:after="0" w:line="240" w:lineRule="auto"/>
            </w:pPr>
            <w:r>
              <w:rPr>
                <w:rFonts w:ascii="Calibri" w:hAnsi="Calibri"/>
                <w:b w:val="0"/>
                <w:color w:val="12181C"/>
                <w:sz w:val="14"/>
              </w:rPr>
              <w:t>0.963</w:t>
            </w:r>
          </w:p>
        </w:tc>
      </w:tr>
      <w:tr>
        <w:tc>
          <w:tcPr>
            <w:tcW w:type="dxa" w:w="3000"/>
            <w:vAlign w:val="center"/>
          </w:tcPr>
          <w:p>
            <w:pPr>
              <w:spacing w:before="0" w:after="0" w:line="240" w:lineRule="auto"/>
            </w:pPr>
            <w:r>
              <w:rPr>
                <w:rFonts w:ascii="Calibri" w:hAnsi="Calibri"/>
                <w:b w:val="0"/>
                <w:color w:val="12181C"/>
                <w:sz w:val="14"/>
              </w:rPr>
              <w:t>Q / vqc 4q 2l cz</w:t>
            </w:r>
          </w:p>
        </w:tc>
        <w:tc>
          <w:tcPr>
            <w:tcW w:type="dxa" w:w="1110"/>
            <w:vAlign w:val="center"/>
          </w:tcPr>
          <w:p>
            <w:pPr>
              <w:spacing w:before="0" w:after="0" w:line="240" w:lineRule="auto"/>
            </w:pPr>
            <w:r>
              <w:rPr>
                <w:rFonts w:ascii="Calibri" w:hAnsi="Calibri"/>
                <w:b w:val="0"/>
                <w:color w:val="12181C"/>
                <w:sz w:val="14"/>
              </w:rPr>
              <w:t>83.31%</w:t>
            </w:r>
          </w:p>
        </w:tc>
        <w:tc>
          <w:tcPr>
            <w:tcW w:type="dxa" w:w="1800"/>
            <w:vAlign w:val="center"/>
          </w:tcPr>
          <w:p>
            <w:pPr>
              <w:spacing w:before="0" w:after="0" w:line="240" w:lineRule="auto"/>
            </w:pPr>
            <w:r>
              <w:rPr>
                <w:rFonts w:ascii="Calibri" w:hAnsi="Calibri"/>
                <w:b w:val="0"/>
                <w:color w:val="12181C"/>
                <w:sz w:val="14"/>
              </w:rPr>
              <w:t>75.44%-87.72%</w:t>
            </w:r>
          </w:p>
        </w:tc>
        <w:tc>
          <w:tcPr>
            <w:tcW w:type="dxa" w:w="1150"/>
            <w:vAlign w:val="center"/>
          </w:tcPr>
          <w:p>
            <w:pPr>
              <w:spacing w:before="0" w:after="0" w:line="240" w:lineRule="auto"/>
            </w:pPr>
            <w:r>
              <w:rPr>
                <w:rFonts w:ascii="Calibri" w:hAnsi="Calibri"/>
                <w:b w:val="0"/>
                <w:color w:val="12181C"/>
                <w:sz w:val="14"/>
              </w:rPr>
              <w:t>59.99%</w:t>
            </w:r>
          </w:p>
        </w:tc>
        <w:tc>
          <w:tcPr>
            <w:tcW w:type="dxa" w:w="1150"/>
            <w:vAlign w:val="center"/>
          </w:tcPr>
          <w:p>
            <w:pPr>
              <w:spacing w:before="0" w:after="0" w:line="240" w:lineRule="auto"/>
            </w:pPr>
            <w:r>
              <w:rPr>
                <w:rFonts w:ascii="Calibri" w:hAnsi="Calibri"/>
                <w:b w:val="0"/>
                <w:color w:val="12181C"/>
                <w:sz w:val="14"/>
              </w:rPr>
              <w:t>97.22%</w:t>
            </w:r>
          </w:p>
        </w:tc>
        <w:tc>
          <w:tcPr>
            <w:tcW w:type="dxa" w:w="1150"/>
            <w:vAlign w:val="center"/>
          </w:tcPr>
          <w:p>
            <w:pPr>
              <w:spacing w:before="0" w:after="0" w:line="240" w:lineRule="auto"/>
            </w:pPr>
            <w:r>
              <w:rPr>
                <w:rFonts w:ascii="Calibri" w:hAnsi="Calibri"/>
                <w:b w:val="0"/>
                <w:color w:val="12181C"/>
                <w:sz w:val="14"/>
              </w:rPr>
              <w:t>0.944</w:t>
            </w:r>
          </w:p>
        </w:tc>
      </w:tr>
      <w:tr>
        <w:tc>
          <w:tcPr>
            <w:tcW w:type="dxa" w:w="3000"/>
            <w:vAlign w:val="center"/>
          </w:tcPr>
          <w:p>
            <w:pPr>
              <w:spacing w:before="0" w:after="0" w:line="240" w:lineRule="auto"/>
            </w:pPr>
            <w:r>
              <w:rPr>
                <w:rFonts w:ascii="Calibri" w:hAnsi="Calibri"/>
                <w:b w:val="0"/>
                <w:color w:val="12181C"/>
                <w:sz w:val="14"/>
              </w:rPr>
              <w:t>Q / vqc 4q 3l cz reversed</w:t>
            </w:r>
          </w:p>
        </w:tc>
        <w:tc>
          <w:tcPr>
            <w:tcW w:type="dxa" w:w="1110"/>
            <w:vAlign w:val="center"/>
          </w:tcPr>
          <w:p>
            <w:pPr>
              <w:spacing w:before="0" w:after="0" w:line="240" w:lineRule="auto"/>
            </w:pPr>
            <w:r>
              <w:rPr>
                <w:rFonts w:ascii="Calibri" w:hAnsi="Calibri"/>
                <w:b w:val="0"/>
                <w:color w:val="12181C"/>
                <w:sz w:val="14"/>
              </w:rPr>
              <w:t>89.45%</w:t>
            </w:r>
          </w:p>
        </w:tc>
        <w:tc>
          <w:tcPr>
            <w:tcW w:type="dxa" w:w="1800"/>
            <w:vAlign w:val="center"/>
          </w:tcPr>
          <w:p>
            <w:pPr>
              <w:spacing w:before="0" w:after="0" w:line="240" w:lineRule="auto"/>
            </w:pPr>
            <w:r>
              <w:rPr>
                <w:rFonts w:ascii="Calibri" w:hAnsi="Calibri"/>
                <w:b w:val="0"/>
                <w:color w:val="12181C"/>
                <w:sz w:val="14"/>
              </w:rPr>
              <w:t>87.72%-92.11%</w:t>
            </w:r>
          </w:p>
        </w:tc>
        <w:tc>
          <w:tcPr>
            <w:tcW w:type="dxa" w:w="1150"/>
            <w:vAlign w:val="center"/>
          </w:tcPr>
          <w:p>
            <w:pPr>
              <w:spacing w:before="0" w:after="0" w:line="240" w:lineRule="auto"/>
            </w:pPr>
            <w:r>
              <w:rPr>
                <w:rFonts w:ascii="Calibri" w:hAnsi="Calibri"/>
                <w:b w:val="0"/>
                <w:color w:val="12181C"/>
                <w:sz w:val="14"/>
              </w:rPr>
              <w:t>77.82%</w:t>
            </w:r>
          </w:p>
        </w:tc>
        <w:tc>
          <w:tcPr>
            <w:tcW w:type="dxa" w:w="1150"/>
            <w:vAlign w:val="center"/>
          </w:tcPr>
          <w:p>
            <w:pPr>
              <w:spacing w:before="0" w:after="0" w:line="240" w:lineRule="auto"/>
            </w:pPr>
            <w:r>
              <w:rPr>
                <w:rFonts w:ascii="Calibri" w:hAnsi="Calibri"/>
                <w:b w:val="0"/>
                <w:color w:val="12181C"/>
                <w:sz w:val="14"/>
              </w:rPr>
              <w:t>96.37%</w:t>
            </w:r>
          </w:p>
        </w:tc>
        <w:tc>
          <w:tcPr>
            <w:tcW w:type="dxa" w:w="1150"/>
            <w:vAlign w:val="center"/>
          </w:tcPr>
          <w:p>
            <w:pPr>
              <w:spacing w:before="0" w:after="0" w:line="240" w:lineRule="auto"/>
            </w:pPr>
            <w:r>
              <w:rPr>
                <w:rFonts w:ascii="Calibri" w:hAnsi="Calibri"/>
                <w:b w:val="0"/>
                <w:color w:val="12181C"/>
                <w:sz w:val="14"/>
              </w:rPr>
              <w:t>0.974</w:t>
            </w:r>
          </w:p>
        </w:tc>
      </w:tr>
      <w:tr>
        <w:tc>
          <w:tcPr>
            <w:tcW w:type="dxa" w:w="3000"/>
            <w:vAlign w:val="center"/>
          </w:tcPr>
          <w:p>
            <w:pPr>
              <w:spacing w:before="0" w:after="0" w:line="240" w:lineRule="auto"/>
            </w:pPr>
            <w:r>
              <w:rPr>
                <w:rFonts w:ascii="Calibri" w:hAnsi="Calibri"/>
                <w:b w:val="0"/>
                <w:color w:val="12181C"/>
                <w:sz w:val="14"/>
              </w:rPr>
              <w:t>Q / qsvm angle 4q</w:t>
            </w:r>
          </w:p>
        </w:tc>
        <w:tc>
          <w:tcPr>
            <w:tcW w:type="dxa" w:w="1110"/>
            <w:vAlign w:val="center"/>
          </w:tcPr>
          <w:p>
            <w:pPr>
              <w:spacing w:before="0" w:after="0" w:line="240" w:lineRule="auto"/>
            </w:pPr>
            <w:r>
              <w:rPr>
                <w:rFonts w:ascii="Calibri" w:hAnsi="Calibri"/>
                <w:b w:val="0"/>
                <w:color w:val="12181C"/>
                <w:sz w:val="14"/>
              </w:rPr>
              <w:t>91.22%</w:t>
            </w:r>
          </w:p>
        </w:tc>
        <w:tc>
          <w:tcPr>
            <w:tcW w:type="dxa" w:w="1800"/>
            <w:vAlign w:val="center"/>
          </w:tcPr>
          <w:p>
            <w:pPr>
              <w:spacing w:before="0" w:after="0" w:line="240" w:lineRule="auto"/>
            </w:pPr>
            <w:r>
              <w:rPr>
                <w:rFonts w:ascii="Calibri" w:hAnsi="Calibri"/>
                <w:b w:val="0"/>
                <w:color w:val="12181C"/>
                <w:sz w:val="14"/>
              </w:rPr>
              <w:t>85.09%-95.61%</w:t>
            </w:r>
          </w:p>
        </w:tc>
        <w:tc>
          <w:tcPr>
            <w:tcW w:type="dxa" w:w="1150"/>
            <w:vAlign w:val="center"/>
          </w:tcPr>
          <w:p>
            <w:pPr>
              <w:spacing w:before="0" w:after="0" w:line="240" w:lineRule="auto"/>
            </w:pPr>
            <w:r>
              <w:rPr>
                <w:rFonts w:ascii="Calibri" w:hAnsi="Calibri"/>
                <w:b w:val="0"/>
                <w:color w:val="12181C"/>
                <w:sz w:val="14"/>
              </w:rPr>
              <w:t>79.26%</w:t>
            </w:r>
          </w:p>
        </w:tc>
        <w:tc>
          <w:tcPr>
            <w:tcW w:type="dxa" w:w="1150"/>
            <w:vAlign w:val="center"/>
          </w:tcPr>
          <w:p>
            <w:pPr>
              <w:spacing w:before="0" w:after="0" w:line="240" w:lineRule="auto"/>
            </w:pPr>
            <w:r>
              <w:rPr>
                <w:rFonts w:ascii="Calibri" w:hAnsi="Calibri"/>
                <w:b w:val="0"/>
                <w:color w:val="12181C"/>
                <w:sz w:val="14"/>
              </w:rPr>
              <w:t>98.31%</w:t>
            </w:r>
          </w:p>
        </w:tc>
        <w:tc>
          <w:tcPr>
            <w:tcW w:type="dxa" w:w="1150"/>
            <w:vAlign w:val="center"/>
          </w:tcPr>
          <w:p>
            <w:pPr>
              <w:spacing w:before="0" w:after="0" w:line="240" w:lineRule="auto"/>
            </w:pPr>
            <w:r>
              <w:rPr>
                <w:rFonts w:ascii="Calibri" w:hAnsi="Calibri"/>
                <w:b w:val="0"/>
                <w:color w:val="12181C"/>
                <w:sz w:val="14"/>
              </w:rPr>
              <w:t>0.986</w:t>
            </w:r>
          </w:p>
        </w:tc>
      </w:tr>
      <w:tr>
        <w:tc>
          <w:tcPr>
            <w:tcW w:type="dxa" w:w="3000"/>
            <w:vAlign w:val="center"/>
          </w:tcPr>
          <w:p>
            <w:pPr>
              <w:spacing w:before="0" w:after="0" w:line="240" w:lineRule="auto"/>
            </w:pPr>
            <w:r>
              <w:rPr>
                <w:rFonts w:ascii="Calibri" w:hAnsi="Calibri"/>
                <w:b w:val="0"/>
                <w:color w:val="12181C"/>
                <w:sz w:val="14"/>
              </w:rPr>
              <w:t>Q / qsvm amplitude 2q</w:t>
            </w:r>
          </w:p>
        </w:tc>
        <w:tc>
          <w:tcPr>
            <w:tcW w:type="dxa" w:w="1110"/>
            <w:vAlign w:val="center"/>
          </w:tcPr>
          <w:p>
            <w:pPr>
              <w:spacing w:before="0" w:after="0" w:line="240" w:lineRule="auto"/>
            </w:pPr>
            <w:r>
              <w:rPr>
                <w:rFonts w:ascii="Calibri" w:hAnsi="Calibri"/>
                <w:b w:val="0"/>
                <w:color w:val="12181C"/>
                <w:sz w:val="14"/>
              </w:rPr>
              <w:t>54.61%</w:t>
            </w:r>
          </w:p>
        </w:tc>
        <w:tc>
          <w:tcPr>
            <w:tcW w:type="dxa" w:w="1800"/>
            <w:vAlign w:val="center"/>
          </w:tcPr>
          <w:p>
            <w:pPr>
              <w:spacing w:before="0" w:after="0" w:line="240" w:lineRule="auto"/>
            </w:pPr>
            <w:r>
              <w:rPr>
                <w:rFonts w:ascii="Calibri" w:hAnsi="Calibri"/>
                <w:b w:val="0"/>
                <w:color w:val="12181C"/>
                <w:sz w:val="14"/>
              </w:rPr>
              <w:t>29.20%-62.28%</w:t>
            </w:r>
          </w:p>
        </w:tc>
        <w:tc>
          <w:tcPr>
            <w:tcW w:type="dxa" w:w="1150"/>
            <w:vAlign w:val="center"/>
          </w:tcPr>
          <w:p>
            <w:pPr>
              <w:spacing w:before="0" w:after="0" w:line="240" w:lineRule="auto"/>
            </w:pPr>
            <w:r>
              <w:rPr>
                <w:rFonts w:ascii="Calibri" w:hAnsi="Calibri"/>
                <w:b w:val="0"/>
                <w:color w:val="12181C"/>
                <w:sz w:val="14"/>
              </w:rPr>
              <w:t>19.52%</w:t>
            </w:r>
          </w:p>
        </w:tc>
        <w:tc>
          <w:tcPr>
            <w:tcW w:type="dxa" w:w="1150"/>
            <w:vAlign w:val="center"/>
          </w:tcPr>
          <w:p>
            <w:pPr>
              <w:spacing w:before="0" w:after="0" w:line="240" w:lineRule="auto"/>
            </w:pPr>
            <w:r>
              <w:rPr>
                <w:rFonts w:ascii="Calibri" w:hAnsi="Calibri"/>
                <w:b w:val="0"/>
                <w:color w:val="12181C"/>
                <w:sz w:val="14"/>
              </w:rPr>
              <w:t>75.67%</w:t>
            </w:r>
          </w:p>
        </w:tc>
        <w:tc>
          <w:tcPr>
            <w:tcW w:type="dxa" w:w="1150"/>
            <w:vAlign w:val="center"/>
          </w:tcPr>
          <w:p>
            <w:pPr>
              <w:spacing w:before="0" w:after="0" w:line="240" w:lineRule="auto"/>
            </w:pPr>
            <w:r>
              <w:rPr>
                <w:rFonts w:ascii="Calibri" w:hAnsi="Calibri"/>
                <w:b w:val="0"/>
                <w:color w:val="12181C"/>
                <w:sz w:val="14"/>
              </w:rPr>
              <w:t>0.497</w:t>
            </w:r>
          </w:p>
        </w:tc>
      </w:tr>
      <w:tr>
        <w:tc>
          <w:tcPr>
            <w:tcW w:type="dxa" w:w="3000"/>
            <w:vAlign w:val="center"/>
          </w:tcPr>
          <w:p>
            <w:pPr>
              <w:spacing w:before="0" w:after="0" w:line="240" w:lineRule="auto"/>
            </w:pPr>
            <w:r>
              <w:rPr>
                <w:rFonts w:ascii="Calibri" w:hAnsi="Calibri"/>
                <w:b w:val="0"/>
                <w:color w:val="12181C"/>
                <w:sz w:val="14"/>
              </w:rPr>
              <w:t>Q / six-model ensemble</w:t>
            </w:r>
          </w:p>
        </w:tc>
        <w:tc>
          <w:tcPr>
            <w:tcW w:type="dxa" w:w="1110"/>
            <w:vAlign w:val="center"/>
          </w:tcPr>
          <w:p>
            <w:pPr>
              <w:spacing w:before="0" w:after="0" w:line="240" w:lineRule="auto"/>
            </w:pPr>
            <w:r>
              <w:rPr>
                <w:rFonts w:ascii="Calibri" w:hAnsi="Calibri"/>
                <w:b w:val="0"/>
                <w:color w:val="12181C"/>
                <w:sz w:val="14"/>
              </w:rPr>
              <w:t>91.57%</w:t>
            </w:r>
          </w:p>
        </w:tc>
        <w:tc>
          <w:tcPr>
            <w:tcW w:type="dxa" w:w="1800"/>
            <w:vAlign w:val="center"/>
          </w:tcPr>
          <w:p>
            <w:pPr>
              <w:spacing w:before="0" w:after="0" w:line="240" w:lineRule="auto"/>
            </w:pPr>
            <w:r>
              <w:rPr>
                <w:rFonts w:ascii="Calibri" w:hAnsi="Calibri"/>
                <w:b w:val="0"/>
                <w:color w:val="12181C"/>
                <w:sz w:val="14"/>
              </w:rPr>
              <w:t>87.72%-93.86%</w:t>
            </w:r>
          </w:p>
        </w:tc>
        <w:tc>
          <w:tcPr>
            <w:tcW w:type="dxa" w:w="1150"/>
            <w:vAlign w:val="center"/>
          </w:tcPr>
          <w:p>
            <w:pPr>
              <w:spacing w:before="0" w:after="0" w:line="240" w:lineRule="auto"/>
            </w:pPr>
            <w:r>
              <w:rPr>
                <w:rFonts w:ascii="Calibri" w:hAnsi="Calibri"/>
                <w:b w:val="0"/>
                <w:color w:val="12181C"/>
                <w:sz w:val="14"/>
              </w:rPr>
              <w:t>83.50%</w:t>
            </w:r>
          </w:p>
        </w:tc>
        <w:tc>
          <w:tcPr>
            <w:tcW w:type="dxa" w:w="1150"/>
            <w:vAlign w:val="center"/>
          </w:tcPr>
          <w:p>
            <w:pPr>
              <w:spacing w:before="0" w:after="0" w:line="240" w:lineRule="auto"/>
            </w:pPr>
            <w:r>
              <w:rPr>
                <w:rFonts w:ascii="Calibri" w:hAnsi="Calibri"/>
                <w:b w:val="0"/>
                <w:color w:val="12181C"/>
                <w:sz w:val="14"/>
              </w:rPr>
              <w:t>96.36%</w:t>
            </w:r>
          </w:p>
        </w:tc>
        <w:tc>
          <w:tcPr>
            <w:tcW w:type="dxa" w:w="1150"/>
            <w:vAlign w:val="center"/>
          </w:tcPr>
          <w:p>
            <w:pPr>
              <w:spacing w:before="0" w:after="0" w:line="240" w:lineRule="auto"/>
            </w:pPr>
            <w:r>
              <w:rPr>
                <w:rFonts w:ascii="Calibri" w:hAnsi="Calibri"/>
                <w:b w:val="0"/>
                <w:color w:val="12181C"/>
                <w:sz w:val="14"/>
              </w:rPr>
              <w:t>0.981</w:t>
            </w:r>
          </w:p>
        </w:tc>
      </w:tr>
    </w:tbl>
    <w:p>
      <w:pPr>
        <w:spacing w:after="0"/>
      </w:pPr>
    </w:p>
    <w:p>
      <w:pPr>
        <w:keepLines/>
        <w:spacing w:before="80" w:after="200" w:line="276" w:lineRule="auto"/>
        <w:ind w:left="173" w:right="115"/>
        <w:shd w:fill="FBF5EA"/>
        <w:pBdr>
          <w:left w:val="single" w:sz="18" w:space="10" w:color="7A5A00"/>
        </w:pBdr>
      </w:pPr>
      <w:r>
        <w:rPr>
          <w:rFonts w:ascii="Calibri" w:hAnsi="Calibri"/>
          <w:b/>
          <w:color w:val="7A5A00"/>
          <w:sz w:val="18"/>
        </w:rPr>
        <w:t xml:space="preserve">HONEST INTERPRETATION  </w:t>
      </w:r>
      <w:r>
        <w:rPr>
          <w:rFonts w:ascii="Calibri" w:hAnsi="Calibri"/>
          <w:color w:val="12181C"/>
          <w:sz w:val="21"/>
        </w:rPr>
        <w:t>The six-model ensemble averaged 91.57% accuracy, 83.50% malignant sensitivity, and 96.36% specificity. It did not beat full-feature classical ML. The amplitude QSVM was unstable at 54.61% mean accuracy under the 20-row constraint. Those are limitations to explain, not numbers to hide or tune away after validation.</w:t>
      </w:r>
    </w:p>
    <w:p>
      <w:r>
        <w:br w:type="page"/>
      </w:r>
    </w:p>
    <w:p>
      <w:pPr>
        <w:pStyle w:val="Heading2"/>
        <w:keepNext/>
      </w:pPr>
      <w:r>
        <w:t>Computational efficiency</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5000"/>
        <w:gridCol w:w="2180"/>
        <w:gridCol w:w="2180"/>
      </w:tblGrid>
      <w:tr>
        <w:trPr>
          <w:tblHeader w:val="true"/>
        </w:trPr>
        <w:tc>
          <w:tcPr>
            <w:tcW w:type="dxa" w:w="5000"/>
            <w:vAlign w:val="center"/>
            <w:shd w:fill="F2F4F7"/>
          </w:tcPr>
          <w:p>
            <w:pPr>
              <w:spacing w:before="0" w:after="0" w:line="240" w:lineRule="auto"/>
            </w:pPr>
            <w:r>
              <w:rPr>
                <w:rFonts w:ascii="Calibri" w:hAnsi="Calibri"/>
                <w:b/>
                <w:color w:val="12181C"/>
                <w:sz w:val="16"/>
              </w:rPr>
              <w:t>Measured scope</w:t>
            </w:r>
          </w:p>
        </w:tc>
        <w:tc>
          <w:tcPr>
            <w:tcW w:type="dxa" w:w="2180"/>
            <w:vAlign w:val="center"/>
            <w:shd w:fill="F2F4F7"/>
          </w:tcPr>
          <w:p>
            <w:pPr>
              <w:spacing w:before="0" w:after="0" w:line="240" w:lineRule="auto"/>
            </w:pPr>
            <w:r>
              <w:rPr>
                <w:rFonts w:ascii="Calibri" w:hAnsi="Calibri"/>
                <w:b/>
                <w:color w:val="12181C"/>
                <w:sz w:val="16"/>
              </w:rPr>
              <w:t>Mean fit / pipeline</w:t>
            </w:r>
          </w:p>
        </w:tc>
        <w:tc>
          <w:tcPr>
            <w:tcW w:type="dxa" w:w="2180"/>
            <w:vAlign w:val="center"/>
            <w:shd w:fill="F2F4F7"/>
          </w:tcPr>
          <w:p>
            <w:pPr>
              <w:spacing w:before="0" w:after="0" w:line="240" w:lineRule="auto"/>
            </w:pPr>
            <w:r>
              <w:rPr>
                <w:rFonts w:ascii="Calibri" w:hAnsi="Calibri"/>
                <w:b/>
                <w:color w:val="12181C"/>
                <w:sz w:val="16"/>
              </w:rPr>
              <w:t>Mean held-out predict</w:t>
            </w:r>
          </w:p>
        </w:tc>
      </w:tr>
      <w:tr>
        <w:tc>
          <w:tcPr>
            <w:tcW w:type="dxa" w:w="5000"/>
            <w:vAlign w:val="center"/>
          </w:tcPr>
          <w:p>
            <w:pPr>
              <w:spacing w:before="0" w:after="0" w:line="240" w:lineRule="auto"/>
            </w:pPr>
            <w:r>
              <w:rPr>
                <w:rFonts w:ascii="Calibri" w:hAnsi="Calibri"/>
                <w:b w:val="0"/>
                <w:color w:val="12181C"/>
                <w:sz w:val="16"/>
              </w:rPr>
              <w:t>30 / logistic regression</w:t>
            </w:r>
          </w:p>
        </w:tc>
        <w:tc>
          <w:tcPr>
            <w:tcW w:type="dxa" w:w="2180"/>
            <w:vAlign w:val="center"/>
          </w:tcPr>
          <w:p>
            <w:pPr>
              <w:spacing w:before="0" w:after="0" w:line="240" w:lineRule="auto"/>
            </w:pPr>
            <w:r>
              <w:rPr>
                <w:rFonts w:ascii="Calibri" w:hAnsi="Calibri"/>
                <w:b w:val="0"/>
                <w:color w:val="12181C"/>
                <w:sz w:val="16"/>
              </w:rPr>
              <w:t>3.88 ms</w:t>
            </w:r>
          </w:p>
        </w:tc>
        <w:tc>
          <w:tcPr>
            <w:tcW w:type="dxa" w:w="2180"/>
            <w:vAlign w:val="center"/>
          </w:tcPr>
          <w:p>
            <w:pPr>
              <w:spacing w:before="0" w:after="0" w:line="240" w:lineRule="auto"/>
            </w:pPr>
            <w:r>
              <w:rPr>
                <w:rFonts w:ascii="Calibri" w:hAnsi="Calibri"/>
                <w:b w:val="0"/>
                <w:color w:val="12181C"/>
                <w:sz w:val="16"/>
              </w:rPr>
              <w:t>0.47 ms</w:t>
            </w:r>
          </w:p>
        </w:tc>
      </w:tr>
      <w:tr>
        <w:tc>
          <w:tcPr>
            <w:tcW w:type="dxa" w:w="5000"/>
            <w:vAlign w:val="center"/>
          </w:tcPr>
          <w:p>
            <w:pPr>
              <w:spacing w:before="0" w:after="0" w:line="240" w:lineRule="auto"/>
            </w:pPr>
            <w:r>
              <w:rPr>
                <w:rFonts w:ascii="Calibri" w:hAnsi="Calibri"/>
                <w:b w:val="0"/>
                <w:color w:val="12181C"/>
                <w:sz w:val="16"/>
              </w:rPr>
              <w:t>30 / random forest</w:t>
            </w:r>
          </w:p>
        </w:tc>
        <w:tc>
          <w:tcPr>
            <w:tcW w:type="dxa" w:w="2180"/>
            <w:vAlign w:val="center"/>
          </w:tcPr>
          <w:p>
            <w:pPr>
              <w:spacing w:before="0" w:after="0" w:line="240" w:lineRule="auto"/>
            </w:pPr>
            <w:r>
              <w:rPr>
                <w:rFonts w:ascii="Calibri" w:hAnsi="Calibri"/>
                <w:b w:val="0"/>
                <w:color w:val="12181C"/>
                <w:sz w:val="16"/>
              </w:rPr>
              <w:t>391.44 ms</w:t>
            </w:r>
          </w:p>
        </w:tc>
        <w:tc>
          <w:tcPr>
            <w:tcW w:type="dxa" w:w="2180"/>
            <w:vAlign w:val="center"/>
          </w:tcPr>
          <w:p>
            <w:pPr>
              <w:spacing w:before="0" w:after="0" w:line="240" w:lineRule="auto"/>
            </w:pPr>
            <w:r>
              <w:rPr>
                <w:rFonts w:ascii="Calibri" w:hAnsi="Calibri"/>
                <w:b w:val="0"/>
                <w:color w:val="12181C"/>
                <w:sz w:val="16"/>
              </w:rPr>
              <w:t>42.85 ms</w:t>
            </w:r>
          </w:p>
        </w:tc>
      </w:tr>
      <w:tr>
        <w:tc>
          <w:tcPr>
            <w:tcW w:type="dxa" w:w="5000"/>
            <w:vAlign w:val="center"/>
          </w:tcPr>
          <w:p>
            <w:pPr>
              <w:spacing w:before="0" w:after="0" w:line="240" w:lineRule="auto"/>
            </w:pPr>
            <w:r>
              <w:rPr>
                <w:rFonts w:ascii="Calibri" w:hAnsi="Calibri"/>
                <w:b w:val="0"/>
                <w:color w:val="12181C"/>
                <w:sz w:val="16"/>
              </w:rPr>
              <w:t>30 / xgboost</w:t>
            </w:r>
          </w:p>
        </w:tc>
        <w:tc>
          <w:tcPr>
            <w:tcW w:type="dxa" w:w="2180"/>
            <w:vAlign w:val="center"/>
          </w:tcPr>
          <w:p>
            <w:pPr>
              <w:spacing w:before="0" w:after="0" w:line="240" w:lineRule="auto"/>
            </w:pPr>
            <w:r>
              <w:rPr>
                <w:rFonts w:ascii="Calibri" w:hAnsi="Calibri"/>
                <w:b w:val="0"/>
                <w:color w:val="12181C"/>
                <w:sz w:val="16"/>
              </w:rPr>
              <w:t>180.30 ms</w:t>
            </w:r>
          </w:p>
        </w:tc>
        <w:tc>
          <w:tcPr>
            <w:tcW w:type="dxa" w:w="2180"/>
            <w:vAlign w:val="center"/>
          </w:tcPr>
          <w:p>
            <w:pPr>
              <w:spacing w:before="0" w:after="0" w:line="240" w:lineRule="auto"/>
            </w:pPr>
            <w:r>
              <w:rPr>
                <w:rFonts w:ascii="Calibri" w:hAnsi="Calibri"/>
                <w:b w:val="0"/>
                <w:color w:val="12181C"/>
                <w:sz w:val="16"/>
              </w:rPr>
              <w:t>2.70 ms</w:t>
            </w:r>
          </w:p>
        </w:tc>
      </w:tr>
      <w:tr>
        <w:tc>
          <w:tcPr>
            <w:tcW w:type="dxa" w:w="5000"/>
            <w:vAlign w:val="center"/>
          </w:tcPr>
          <w:p>
            <w:pPr>
              <w:spacing w:before="0" w:after="0" w:line="240" w:lineRule="auto"/>
            </w:pPr>
            <w:r>
              <w:rPr>
                <w:rFonts w:ascii="Calibri" w:hAnsi="Calibri"/>
                <w:b w:val="0"/>
                <w:color w:val="12181C"/>
                <w:sz w:val="16"/>
              </w:rPr>
              <w:t>30 / svm</w:t>
            </w:r>
          </w:p>
        </w:tc>
        <w:tc>
          <w:tcPr>
            <w:tcW w:type="dxa" w:w="2180"/>
            <w:vAlign w:val="center"/>
          </w:tcPr>
          <w:p>
            <w:pPr>
              <w:spacing w:before="0" w:after="0" w:line="240" w:lineRule="auto"/>
            </w:pPr>
            <w:r>
              <w:rPr>
                <w:rFonts w:ascii="Calibri" w:hAnsi="Calibri"/>
                <w:b w:val="0"/>
                <w:color w:val="12181C"/>
                <w:sz w:val="16"/>
              </w:rPr>
              <w:t>3.53 ms</w:t>
            </w:r>
          </w:p>
        </w:tc>
        <w:tc>
          <w:tcPr>
            <w:tcW w:type="dxa" w:w="2180"/>
            <w:vAlign w:val="center"/>
          </w:tcPr>
          <w:p>
            <w:pPr>
              <w:spacing w:before="0" w:after="0" w:line="240" w:lineRule="auto"/>
            </w:pPr>
            <w:r>
              <w:rPr>
                <w:rFonts w:ascii="Calibri" w:hAnsi="Calibri"/>
                <w:b w:val="0"/>
                <w:color w:val="12181C"/>
                <w:sz w:val="16"/>
              </w:rPr>
              <w:t>2.53 ms</w:t>
            </w:r>
          </w:p>
        </w:tc>
      </w:tr>
      <w:tr>
        <w:tc>
          <w:tcPr>
            <w:tcW w:type="dxa" w:w="5000"/>
            <w:vAlign w:val="center"/>
          </w:tcPr>
          <w:p>
            <w:pPr>
              <w:spacing w:before="0" w:after="0" w:line="240" w:lineRule="auto"/>
            </w:pPr>
            <w:r>
              <w:rPr>
                <w:rFonts w:ascii="Calibri" w:hAnsi="Calibri"/>
                <w:b w:val="0"/>
                <w:color w:val="12181C"/>
                <w:sz w:val="16"/>
              </w:rPr>
              <w:t>4 / logistic regression</w:t>
            </w:r>
          </w:p>
        </w:tc>
        <w:tc>
          <w:tcPr>
            <w:tcW w:type="dxa" w:w="2180"/>
            <w:vAlign w:val="center"/>
          </w:tcPr>
          <w:p>
            <w:pPr>
              <w:spacing w:before="0" w:after="0" w:line="240" w:lineRule="auto"/>
            </w:pPr>
            <w:r>
              <w:rPr>
                <w:rFonts w:ascii="Calibri" w:hAnsi="Calibri"/>
                <w:b w:val="0"/>
                <w:color w:val="12181C"/>
                <w:sz w:val="16"/>
              </w:rPr>
              <w:t>4.13 ms</w:t>
            </w:r>
          </w:p>
        </w:tc>
        <w:tc>
          <w:tcPr>
            <w:tcW w:type="dxa" w:w="2180"/>
            <w:vAlign w:val="center"/>
          </w:tcPr>
          <w:p>
            <w:pPr>
              <w:spacing w:before="0" w:after="0" w:line="240" w:lineRule="auto"/>
            </w:pPr>
            <w:r>
              <w:rPr>
                <w:rFonts w:ascii="Calibri" w:hAnsi="Calibri"/>
                <w:b w:val="0"/>
                <w:color w:val="12181C"/>
                <w:sz w:val="16"/>
              </w:rPr>
              <w:t>0.72 ms</w:t>
            </w:r>
          </w:p>
        </w:tc>
      </w:tr>
      <w:tr>
        <w:tc>
          <w:tcPr>
            <w:tcW w:type="dxa" w:w="5000"/>
            <w:vAlign w:val="center"/>
          </w:tcPr>
          <w:p>
            <w:pPr>
              <w:spacing w:before="0" w:after="0" w:line="240" w:lineRule="auto"/>
            </w:pPr>
            <w:r>
              <w:rPr>
                <w:rFonts w:ascii="Calibri" w:hAnsi="Calibri"/>
                <w:b w:val="0"/>
                <w:color w:val="12181C"/>
                <w:sz w:val="16"/>
              </w:rPr>
              <w:t>4 / random forest</w:t>
            </w:r>
          </w:p>
        </w:tc>
        <w:tc>
          <w:tcPr>
            <w:tcW w:type="dxa" w:w="2180"/>
            <w:vAlign w:val="center"/>
          </w:tcPr>
          <w:p>
            <w:pPr>
              <w:spacing w:before="0" w:after="0" w:line="240" w:lineRule="auto"/>
            </w:pPr>
            <w:r>
              <w:rPr>
                <w:rFonts w:ascii="Calibri" w:hAnsi="Calibri"/>
                <w:b w:val="0"/>
                <w:color w:val="12181C"/>
                <w:sz w:val="16"/>
              </w:rPr>
              <w:t>343.68 ms</w:t>
            </w:r>
          </w:p>
        </w:tc>
        <w:tc>
          <w:tcPr>
            <w:tcW w:type="dxa" w:w="2180"/>
            <w:vAlign w:val="center"/>
          </w:tcPr>
          <w:p>
            <w:pPr>
              <w:spacing w:before="0" w:after="0" w:line="240" w:lineRule="auto"/>
            </w:pPr>
            <w:r>
              <w:rPr>
                <w:rFonts w:ascii="Calibri" w:hAnsi="Calibri"/>
                <w:b w:val="0"/>
                <w:color w:val="12181C"/>
                <w:sz w:val="16"/>
              </w:rPr>
              <w:t>33.28 ms</w:t>
            </w:r>
          </w:p>
        </w:tc>
      </w:tr>
      <w:tr>
        <w:tc>
          <w:tcPr>
            <w:tcW w:type="dxa" w:w="5000"/>
            <w:vAlign w:val="center"/>
          </w:tcPr>
          <w:p>
            <w:pPr>
              <w:spacing w:before="0" w:after="0" w:line="240" w:lineRule="auto"/>
            </w:pPr>
            <w:r>
              <w:rPr>
                <w:rFonts w:ascii="Calibri" w:hAnsi="Calibri"/>
                <w:b w:val="0"/>
                <w:color w:val="12181C"/>
                <w:sz w:val="16"/>
              </w:rPr>
              <w:t>4 / xgboost</w:t>
            </w:r>
          </w:p>
        </w:tc>
        <w:tc>
          <w:tcPr>
            <w:tcW w:type="dxa" w:w="2180"/>
            <w:vAlign w:val="center"/>
          </w:tcPr>
          <w:p>
            <w:pPr>
              <w:spacing w:before="0" w:after="0" w:line="240" w:lineRule="auto"/>
            </w:pPr>
            <w:r>
              <w:rPr>
                <w:rFonts w:ascii="Calibri" w:hAnsi="Calibri"/>
                <w:b w:val="0"/>
                <w:color w:val="12181C"/>
                <w:sz w:val="16"/>
              </w:rPr>
              <w:t>39.68 ms</w:t>
            </w:r>
          </w:p>
        </w:tc>
        <w:tc>
          <w:tcPr>
            <w:tcW w:type="dxa" w:w="2180"/>
            <w:vAlign w:val="center"/>
          </w:tcPr>
          <w:p>
            <w:pPr>
              <w:spacing w:before="0" w:after="0" w:line="240" w:lineRule="auto"/>
            </w:pPr>
            <w:r>
              <w:rPr>
                <w:rFonts w:ascii="Calibri" w:hAnsi="Calibri"/>
                <w:b w:val="0"/>
                <w:color w:val="12181C"/>
                <w:sz w:val="16"/>
              </w:rPr>
              <w:t>2.07 ms</w:t>
            </w:r>
          </w:p>
        </w:tc>
      </w:tr>
      <w:tr>
        <w:tc>
          <w:tcPr>
            <w:tcW w:type="dxa" w:w="5000"/>
            <w:vAlign w:val="center"/>
          </w:tcPr>
          <w:p>
            <w:pPr>
              <w:spacing w:before="0" w:after="0" w:line="240" w:lineRule="auto"/>
            </w:pPr>
            <w:r>
              <w:rPr>
                <w:rFonts w:ascii="Calibri" w:hAnsi="Calibri"/>
                <w:b w:val="0"/>
                <w:color w:val="12181C"/>
                <w:sz w:val="16"/>
              </w:rPr>
              <w:t>4 / svm</w:t>
            </w:r>
          </w:p>
        </w:tc>
        <w:tc>
          <w:tcPr>
            <w:tcW w:type="dxa" w:w="2180"/>
            <w:vAlign w:val="center"/>
          </w:tcPr>
          <w:p>
            <w:pPr>
              <w:spacing w:before="0" w:after="0" w:line="240" w:lineRule="auto"/>
            </w:pPr>
            <w:r>
              <w:rPr>
                <w:rFonts w:ascii="Calibri" w:hAnsi="Calibri"/>
                <w:b w:val="0"/>
                <w:color w:val="12181C"/>
                <w:sz w:val="16"/>
              </w:rPr>
              <w:t>2.26 ms</w:t>
            </w:r>
          </w:p>
        </w:tc>
        <w:tc>
          <w:tcPr>
            <w:tcW w:type="dxa" w:w="2180"/>
            <w:vAlign w:val="center"/>
          </w:tcPr>
          <w:p>
            <w:pPr>
              <w:spacing w:before="0" w:after="0" w:line="240" w:lineRule="auto"/>
            </w:pPr>
            <w:r>
              <w:rPr>
                <w:rFonts w:ascii="Calibri" w:hAnsi="Calibri"/>
                <w:b w:val="0"/>
                <w:color w:val="12181C"/>
                <w:sz w:val="16"/>
              </w:rPr>
              <w:t>1.68 ms</w:t>
            </w:r>
          </w:p>
        </w:tc>
      </w:tr>
      <w:tr>
        <w:tc>
          <w:tcPr>
            <w:tcW w:type="dxa" w:w="5000"/>
            <w:vAlign w:val="center"/>
          </w:tcPr>
          <w:p>
            <w:pPr>
              <w:spacing w:before="0" w:after="0" w:line="240" w:lineRule="auto"/>
            </w:pPr>
            <w:r>
              <w:rPr>
                <w:rFonts w:ascii="Calibri" w:hAnsi="Calibri"/>
                <w:b w:val="0"/>
                <w:color w:val="12181C"/>
                <w:sz w:val="16"/>
              </w:rPr>
              <w:t>Quantum / complete six-model fold pipeline</w:t>
            </w:r>
          </w:p>
        </w:tc>
        <w:tc>
          <w:tcPr>
            <w:tcW w:type="dxa" w:w="2180"/>
            <w:vAlign w:val="center"/>
          </w:tcPr>
          <w:p>
            <w:pPr>
              <w:spacing w:before="0" w:after="0" w:line="240" w:lineRule="auto"/>
            </w:pPr>
            <w:r>
              <w:rPr>
                <w:rFonts w:ascii="Calibri" w:hAnsi="Calibri"/>
                <w:b w:val="0"/>
                <w:color w:val="12181C"/>
                <w:sz w:val="16"/>
              </w:rPr>
              <w:t>108.65 s</w:t>
            </w:r>
          </w:p>
        </w:tc>
        <w:tc>
          <w:tcPr>
            <w:tcW w:type="dxa" w:w="2180"/>
            <w:vAlign w:val="center"/>
          </w:tcPr>
          <w:p>
            <w:pPr>
              <w:spacing w:before="0" w:after="0" w:line="240" w:lineRule="auto"/>
            </w:pPr>
            <w:r>
              <w:rPr>
                <w:rFonts w:ascii="Calibri" w:hAnsi="Calibri"/>
                <w:b w:val="0"/>
                <w:color w:val="12181C"/>
                <w:sz w:val="16"/>
              </w:rPr>
              <w:t>included internally</w:t>
            </w:r>
          </w:p>
        </w:tc>
      </w:tr>
    </w:tbl>
    <w:p>
      <w:pPr>
        <w:spacing w:after="0"/>
      </w:pPr>
    </w:p>
    <w:p>
      <w:r>
        <w:rPr>
          <w:rFonts w:ascii="Calibri" w:hAnsi="Calibri"/>
          <w:i/>
          <w:color w:val="647078"/>
        </w:rPr>
        <w:t>Timing is hardware- and workload-dependent. The quantum row includes training, OOB weighting, and internal held-out evaluation for the six-member pipeline; it is not directly equivalent to one classical estimator fit.</w:t>
      </w:r>
    </w:p>
    <w:p>
      <w:pPr>
        <w:pStyle w:val="Heading1"/>
        <w:keepNext/>
      </w:pPr>
      <w:r>
        <w:t>9. Explainability and interface</w:t>
      </w:r>
    </w:p>
    <w:p>
      <w:pPr>
        <w:pStyle w:val="Heading2"/>
        <w:keepNext/>
      </w:pPr>
      <w:r>
        <w:t>One verdict number, multiple attribution scopes</w:t>
      </w:r>
    </w:p>
    <w:p>
      <w:r>
        <w:rPr>
          <w:rFonts w:ascii="Calibri" w:hAnsi="Calibri"/>
          <w:i w:val="0"/>
          <w:color w:val="12181C"/>
        </w:rPr>
        <w:t>The /predict endpoint supplies the only confidence rendered for a patient. The /explain endpoint returns names, SHAP values, LIME values, directions, top features, scope, and timing only. This prevents a fast VQC-only explanation from displaying a second probability that may differ from the six-model ensemble verdict.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900"/>
        <w:gridCol w:w="3000"/>
        <w:gridCol w:w="4460"/>
      </w:tblGrid>
      <w:tr>
        <w:trPr>
          <w:tblHeader w:val="true"/>
        </w:trPr>
        <w:tc>
          <w:tcPr>
            <w:tcW w:type="dxa" w:w="1900"/>
            <w:vAlign w:val="center"/>
            <w:shd w:fill="F2F0F8"/>
          </w:tcPr>
          <w:p>
            <w:pPr>
              <w:spacing w:before="0" w:after="0" w:line="240" w:lineRule="auto"/>
            </w:pPr>
            <w:r>
              <w:rPr>
                <w:rFonts w:ascii="Calibri" w:hAnsi="Calibri"/>
                <w:b/>
                <w:color w:val="12181C"/>
                <w:sz w:val="17"/>
              </w:rPr>
              <w:t>Scope</w:t>
            </w:r>
          </w:p>
        </w:tc>
        <w:tc>
          <w:tcPr>
            <w:tcW w:type="dxa" w:w="3000"/>
            <w:vAlign w:val="center"/>
            <w:shd w:fill="F2F0F8"/>
          </w:tcPr>
          <w:p>
            <w:pPr>
              <w:spacing w:before="0" w:after="0" w:line="240" w:lineRule="auto"/>
            </w:pPr>
            <w:r>
              <w:rPr>
                <w:rFonts w:ascii="Calibri" w:hAnsi="Calibri"/>
                <w:b/>
                <w:color w:val="12181C"/>
                <w:sz w:val="17"/>
              </w:rPr>
              <w:t>Explained model</w:t>
            </w:r>
          </w:p>
        </w:tc>
        <w:tc>
          <w:tcPr>
            <w:tcW w:type="dxa" w:w="4460"/>
            <w:vAlign w:val="center"/>
            <w:shd w:fill="F2F0F8"/>
          </w:tcPr>
          <w:p>
            <w:pPr>
              <w:spacing w:before="0" w:after="0" w:line="240" w:lineRule="auto"/>
            </w:pPr>
            <w:r>
              <w:rPr>
                <w:rFonts w:ascii="Calibri" w:hAnsi="Calibri"/>
                <w:b/>
                <w:color w:val="12181C"/>
                <w:sz w:val="17"/>
              </w:rPr>
              <w:t>UI behavior</w:t>
            </w:r>
          </w:p>
        </w:tc>
      </w:tr>
      <w:tr>
        <w:tc>
          <w:tcPr>
            <w:tcW w:type="dxa" w:w="1900"/>
            <w:vAlign w:val="center"/>
          </w:tcPr>
          <w:p>
            <w:pPr>
              <w:spacing w:before="0" w:after="0" w:line="240" w:lineRule="auto"/>
            </w:pPr>
            <w:r>
              <w:rPr>
                <w:rFonts w:ascii="Calibri" w:hAnsi="Calibri"/>
                <w:b w:val="0"/>
                <w:color w:val="12181C"/>
                <w:sz w:val="17"/>
              </w:rPr>
              <w:t>Quantum fast</w:t>
            </w:r>
          </w:p>
        </w:tc>
        <w:tc>
          <w:tcPr>
            <w:tcW w:type="dxa" w:w="3000"/>
            <w:vAlign w:val="center"/>
          </w:tcPr>
          <w:p>
            <w:pPr>
              <w:spacing w:before="0" w:after="0" w:line="240" w:lineRule="auto"/>
            </w:pPr>
            <w:r>
              <w:rPr>
                <w:rFonts w:ascii="Calibri" w:hAnsi="Calibri"/>
                <w:b w:val="0"/>
                <w:color w:val="12181C"/>
                <w:sz w:val="17"/>
              </w:rPr>
              <w:t>Four VQCs</w:t>
            </w:r>
          </w:p>
        </w:tc>
        <w:tc>
          <w:tcPr>
            <w:tcW w:type="dxa" w:w="4460"/>
            <w:vAlign w:val="center"/>
          </w:tcPr>
          <w:p>
            <w:pPr>
              <w:spacing w:before="0" w:after="0" w:line="240" w:lineRule="auto"/>
            </w:pPr>
            <w:r>
              <w:rPr>
                <w:rFonts w:ascii="Calibri" w:hAnsi="Calibri"/>
                <w:b w:val="0"/>
                <w:color w:val="12181C"/>
                <w:sz w:val="17"/>
              </w:rPr>
              <w:t>Default; about 7-30 seconds by device/settings</w:t>
            </w:r>
          </w:p>
        </w:tc>
      </w:tr>
      <w:tr>
        <w:tc>
          <w:tcPr>
            <w:tcW w:type="dxa" w:w="1900"/>
            <w:vAlign w:val="center"/>
          </w:tcPr>
          <w:p>
            <w:pPr>
              <w:spacing w:before="0" w:after="0" w:line="240" w:lineRule="auto"/>
            </w:pPr>
            <w:r>
              <w:rPr>
                <w:rFonts w:ascii="Calibri" w:hAnsi="Calibri"/>
                <w:b w:val="0"/>
                <w:color w:val="12181C"/>
                <w:sz w:val="17"/>
              </w:rPr>
              <w:t>Quantum full</w:t>
            </w:r>
          </w:p>
        </w:tc>
        <w:tc>
          <w:tcPr>
            <w:tcW w:type="dxa" w:w="3000"/>
            <w:vAlign w:val="center"/>
          </w:tcPr>
          <w:p>
            <w:pPr>
              <w:spacing w:before="0" w:after="0" w:line="240" w:lineRule="auto"/>
            </w:pPr>
            <w:r>
              <w:rPr>
                <w:rFonts w:ascii="Calibri" w:hAnsi="Calibri"/>
                <w:b w:val="0"/>
                <w:color w:val="12181C"/>
                <w:sz w:val="17"/>
              </w:rPr>
              <w:t>All six quantum models</w:t>
            </w:r>
          </w:p>
        </w:tc>
        <w:tc>
          <w:tcPr>
            <w:tcW w:type="dxa" w:w="4460"/>
            <w:vAlign w:val="center"/>
          </w:tcPr>
          <w:p>
            <w:pPr>
              <w:spacing w:before="0" w:after="0" w:line="240" w:lineRule="auto"/>
            </w:pPr>
            <w:r>
              <w:rPr>
                <w:rFonts w:ascii="Calibri" w:hAnsi="Calibri"/>
                <w:b w:val="0"/>
                <w:color w:val="12181C"/>
                <w:sz w:val="17"/>
              </w:rPr>
              <w:t>Explicit slow opt-in; 70 seconds or longer</w:t>
            </w:r>
          </w:p>
        </w:tc>
      </w:tr>
      <w:tr>
        <w:tc>
          <w:tcPr>
            <w:tcW w:type="dxa" w:w="1900"/>
            <w:vAlign w:val="center"/>
          </w:tcPr>
          <w:p>
            <w:pPr>
              <w:spacing w:before="0" w:after="0" w:line="240" w:lineRule="auto"/>
            </w:pPr>
            <w:r>
              <w:rPr>
                <w:rFonts w:ascii="Calibri" w:hAnsi="Calibri"/>
                <w:b w:val="0"/>
                <w:color w:val="12181C"/>
                <w:sz w:val="17"/>
              </w:rPr>
              <w:t>Classical full</w:t>
            </w:r>
          </w:p>
        </w:tc>
        <w:tc>
          <w:tcPr>
            <w:tcW w:type="dxa" w:w="3000"/>
            <w:vAlign w:val="center"/>
          </w:tcPr>
          <w:p>
            <w:pPr>
              <w:spacing w:before="0" w:after="0" w:line="240" w:lineRule="auto"/>
            </w:pPr>
            <w:r>
              <w:rPr>
                <w:rFonts w:ascii="Calibri" w:hAnsi="Calibri"/>
                <w:b w:val="0"/>
                <w:color w:val="12181C"/>
                <w:sz w:val="17"/>
              </w:rPr>
              <w:t>30-feature Logistic Regression</w:t>
            </w:r>
          </w:p>
        </w:tc>
        <w:tc>
          <w:tcPr>
            <w:tcW w:type="dxa" w:w="4460"/>
            <w:vAlign w:val="center"/>
          </w:tcPr>
          <w:p>
            <w:pPr>
              <w:spacing w:before="0" w:after="0" w:line="240" w:lineRule="auto"/>
            </w:pPr>
            <w:r>
              <w:rPr>
                <w:rFonts w:ascii="Calibri" w:hAnsi="Calibri"/>
                <w:b w:val="0"/>
                <w:color w:val="12181C"/>
                <w:sz w:val="17"/>
              </w:rPr>
              <w:t>Attribution over all original columns</w:t>
            </w:r>
          </w:p>
        </w:tc>
      </w:tr>
      <w:tr>
        <w:tc>
          <w:tcPr>
            <w:tcW w:type="dxa" w:w="1900"/>
            <w:vAlign w:val="center"/>
          </w:tcPr>
          <w:p>
            <w:pPr>
              <w:spacing w:before="0" w:after="0" w:line="240" w:lineRule="auto"/>
            </w:pPr>
            <w:r>
              <w:rPr>
                <w:rFonts w:ascii="Calibri" w:hAnsi="Calibri"/>
                <w:b w:val="0"/>
                <w:color w:val="12181C"/>
                <w:sz w:val="17"/>
              </w:rPr>
              <w:t>Classical matched</w:t>
            </w:r>
          </w:p>
        </w:tc>
        <w:tc>
          <w:tcPr>
            <w:tcW w:type="dxa" w:w="3000"/>
            <w:vAlign w:val="center"/>
          </w:tcPr>
          <w:p>
            <w:pPr>
              <w:spacing w:before="0" w:after="0" w:line="240" w:lineRule="auto"/>
            </w:pPr>
            <w:r>
              <w:rPr>
                <w:rFonts w:ascii="Calibri" w:hAnsi="Calibri"/>
                <w:b w:val="0"/>
                <w:color w:val="12181C"/>
                <w:sz w:val="17"/>
              </w:rPr>
              <w:t>4-feature Logistic Regression</w:t>
            </w:r>
          </w:p>
        </w:tc>
        <w:tc>
          <w:tcPr>
            <w:tcW w:type="dxa" w:w="4460"/>
            <w:vAlign w:val="center"/>
          </w:tcPr>
          <w:p>
            <w:pPr>
              <w:spacing w:before="0" w:after="0" w:line="240" w:lineRule="auto"/>
            </w:pPr>
            <w:r>
              <w:rPr>
                <w:rFonts w:ascii="Calibri" w:hAnsi="Calibri"/>
                <w:b w:val="0"/>
                <w:color w:val="12181C"/>
                <w:sz w:val="17"/>
              </w:rPr>
              <w:t>Attribution over the identical selected features</w:t>
            </w:r>
          </w:p>
        </w:tc>
      </w:tr>
    </w:tbl>
    <w:p>
      <w:pPr>
        <w:spacing w:after="0"/>
      </w:pPr>
    </w:p>
    <w:p>
      <w:pPr>
        <w:pStyle w:val="Heading2"/>
        <w:keepNext/>
      </w:pPr>
      <w:r>
        <w:t>Judge-facing safeguards</w:t>
      </w:r>
    </w:p>
    <w:p>
      <w:pPr>
        <w:spacing w:after="40" w:line="288" w:lineRule="auto"/>
        <w:numPr>
          <w:ilvl w:val="0"/>
          <w:numId w:val="10"/>
        </w:numPr>
      </w:pPr>
      <w:r>
        <w:rPr>
          <w:rFonts w:ascii="Calibri" w:hAnsi="Calibri"/>
          <w:color w:val="12181C"/>
        </w:rPr>
        <w:t>Two equal-size result dials: quantum indigo and classical teal.</w:t>
      </w:r>
    </w:p>
    <w:p>
      <w:pPr>
        <w:spacing w:after="40" w:line="288" w:lineRule="auto"/>
        <w:numPr>
          <w:ilvl w:val="0"/>
          <w:numId w:val="10"/>
        </w:numPr>
      </w:pPr>
      <w:r>
        <w:rPr>
          <w:rFonts w:ascii="Calibri" w:hAnsi="Calibri"/>
          <w:color w:val="12181C"/>
        </w:rPr>
        <w:t>Amber disagreement banner when labels differ; neither model is silently chosen.</w:t>
      </w:r>
    </w:p>
    <w:p>
      <w:pPr>
        <w:spacing w:after="40" w:line="288" w:lineRule="auto"/>
        <w:numPr>
          <w:ilvl w:val="0"/>
          <w:numId w:val="10"/>
        </w:numPr>
      </w:pPr>
      <w:r>
        <w:rPr>
          <w:rFonts w:ascii="Calibri" w:hAnsi="Calibri"/>
          <w:color w:val="12181C"/>
        </w:rPr>
        <w:t>Circuit rail shows Data -&gt; Select -&gt; Model -&gt; Explain.</w:t>
      </w:r>
    </w:p>
    <w:p>
      <w:pPr>
        <w:spacing w:after="40" w:line="288" w:lineRule="auto"/>
        <w:numPr>
          <w:ilvl w:val="0"/>
          <w:numId w:val="10"/>
        </w:numPr>
      </w:pPr>
      <w:r>
        <w:rPr>
          <w:rFonts w:ascii="Calibri" w:hAnsi="Calibri"/>
          <w:color w:val="12181C"/>
        </w:rPr>
        <w:t>CSV schema/range validation warns about out-of-benchmark values without inventing clinical cutoffs.</w:t>
      </w:r>
    </w:p>
    <w:p>
      <w:pPr>
        <w:spacing w:after="40" w:line="288" w:lineRule="auto"/>
        <w:numPr>
          <w:ilvl w:val="0"/>
          <w:numId w:val="10"/>
        </w:numPr>
      </w:pPr>
      <w:r>
        <w:rPr>
          <w:rFonts w:ascii="Calibri" w:hAnsi="Calibri"/>
          <w:color w:val="12181C"/>
        </w:rPr>
        <w:t>Long explanation states disclose actual elapsed time and expected duration.</w:t>
      </w:r>
    </w:p>
    <w:p>
      <w:pPr>
        <w:spacing w:after="40" w:line="288" w:lineRule="auto"/>
        <w:numPr>
          <w:ilvl w:val="0"/>
          <w:numId w:val="10"/>
        </w:numPr>
      </w:pPr>
      <w:r>
        <w:rPr>
          <w:rFonts w:ascii="Calibri" w:hAnsi="Calibri"/>
          <w:color w:val="12181C"/>
        </w:rPr>
        <w:t>Research-use-only language remains visible throughout.</w:t>
      </w:r>
    </w:p>
    <w:p>
      <w:pPr>
        <w:pStyle w:val="Heading1"/>
        <w:keepNext/>
      </w:pPr>
      <w:r>
        <w:t>10. Reproducibility and live configuration</w:t>
      </w:r>
    </w:p>
    <w:p>
      <w:r>
        <w:rPr>
          <w:rFonts w:ascii="Calibri" w:hAnsi="Calibri"/>
          <w:i w:val="0"/>
          <w:color w:val="12181C"/>
        </w:rPr>
        <w:t>The repository pins Python 3.14 dependencies, includes automated tests and Docker Compose, and exposes model readiness/configuration through /health. The live manifest is artifacts/models/runtime_manifest.json.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700"/>
        <w:gridCol w:w="6660"/>
      </w:tblGrid>
      <w:tr>
        <w:trPr>
          <w:tblHeader w:val="true"/>
        </w:trPr>
        <w:tc>
          <w:tcPr>
            <w:tcW w:type="dxa" w:w="2700"/>
            <w:vAlign w:val="center"/>
            <w:shd w:fill="EBF5F4"/>
          </w:tcPr>
          <w:p>
            <w:pPr>
              <w:spacing w:before="0" w:after="0" w:line="240" w:lineRule="auto"/>
            </w:pPr>
            <w:r>
              <w:rPr>
                <w:rFonts w:ascii="Calibri" w:hAnsi="Calibri"/>
                <w:b/>
                <w:color w:val="12181C"/>
                <w:sz w:val="18"/>
              </w:rPr>
              <w:t>Manifest field</w:t>
            </w:r>
          </w:p>
        </w:tc>
        <w:tc>
          <w:tcPr>
            <w:tcW w:type="dxa" w:w="6660"/>
            <w:vAlign w:val="center"/>
            <w:shd w:fill="EBF5F4"/>
          </w:tcPr>
          <w:p>
            <w:pPr>
              <w:spacing w:before="0" w:after="0" w:line="240" w:lineRule="auto"/>
            </w:pPr>
            <w:r>
              <w:rPr>
                <w:rFonts w:ascii="Calibri" w:hAnsi="Calibri"/>
                <w:b/>
                <w:color w:val="12181C"/>
                <w:sz w:val="18"/>
              </w:rPr>
              <w:t>Declared value</w:t>
            </w:r>
          </w:p>
        </w:tc>
      </w:tr>
      <w:tr>
        <w:tc>
          <w:tcPr>
            <w:tcW w:type="dxa" w:w="2700"/>
            <w:vAlign w:val="center"/>
          </w:tcPr>
          <w:p>
            <w:pPr>
              <w:spacing w:before="0" w:after="0" w:line="240" w:lineRule="auto"/>
            </w:pPr>
            <w:r>
              <w:rPr>
                <w:rFonts w:ascii="Calibri" w:hAnsi="Calibri"/>
                <w:b w:val="0"/>
                <w:color w:val="12181C"/>
                <w:sz w:val="18"/>
              </w:rPr>
              <w:t>Configuration ID</w:t>
            </w:r>
          </w:p>
        </w:tc>
        <w:tc>
          <w:tcPr>
            <w:tcW w:type="dxa" w:w="6660"/>
            <w:vAlign w:val="center"/>
          </w:tcPr>
          <w:p>
            <w:pPr>
              <w:spacing w:before="0" w:after="0" w:line="240" w:lineRule="auto"/>
            </w:pPr>
            <w:r>
              <w:rPr>
                <w:rFonts w:ascii="Calibri" w:hAnsi="Calibri"/>
                <w:b w:val="0"/>
                <w:color w:val="12181C"/>
                <w:sz w:val="18"/>
              </w:rPr>
              <w:t>qtrace-wbcd-s42-e100-q20-v1</w:t>
            </w:r>
          </w:p>
        </w:tc>
      </w:tr>
      <w:tr>
        <w:tc>
          <w:tcPr>
            <w:tcW w:type="dxa" w:w="2700"/>
            <w:vAlign w:val="center"/>
          </w:tcPr>
          <w:p>
            <w:pPr>
              <w:spacing w:before="0" w:after="0" w:line="240" w:lineRule="auto"/>
            </w:pPr>
            <w:r>
              <w:rPr>
                <w:rFonts w:ascii="Calibri" w:hAnsi="Calibri"/>
                <w:b w:val="0"/>
                <w:color w:val="12181C"/>
                <w:sz w:val="18"/>
              </w:rPr>
              <w:t>Dataset</w:t>
            </w:r>
          </w:p>
        </w:tc>
        <w:tc>
          <w:tcPr>
            <w:tcW w:type="dxa" w:w="6660"/>
            <w:vAlign w:val="center"/>
          </w:tcPr>
          <w:p>
            <w:pPr>
              <w:spacing w:before="0" w:after="0" w:line="240" w:lineRule="auto"/>
            </w:pPr>
            <w:r>
              <w:rPr>
                <w:rFonts w:ascii="Calibri" w:hAnsi="Calibri"/>
                <w:b w:val="0"/>
                <w:color w:val="12181C"/>
                <w:sz w:val="18"/>
              </w:rPr>
              <w:t>sklearn Wisconsin Breast Cancer Diagnostic (569 rows)</w:t>
            </w:r>
          </w:p>
        </w:tc>
      </w:tr>
      <w:tr>
        <w:tc>
          <w:tcPr>
            <w:tcW w:type="dxa" w:w="2700"/>
            <w:vAlign w:val="center"/>
          </w:tcPr>
          <w:p>
            <w:pPr>
              <w:spacing w:before="0" w:after="0" w:line="240" w:lineRule="auto"/>
            </w:pPr>
            <w:r>
              <w:rPr>
                <w:rFonts w:ascii="Calibri" w:hAnsi="Calibri"/>
                <w:b w:val="0"/>
                <w:color w:val="12181C"/>
                <w:sz w:val="18"/>
              </w:rPr>
              <w:t>Split</w:t>
            </w:r>
          </w:p>
        </w:tc>
        <w:tc>
          <w:tcPr>
            <w:tcW w:type="dxa" w:w="6660"/>
            <w:vAlign w:val="center"/>
          </w:tcPr>
          <w:p>
            <w:pPr>
              <w:spacing w:before="0" w:after="0" w:line="240" w:lineRule="auto"/>
            </w:pPr>
            <w:r>
              <w:rPr>
                <w:rFonts w:ascii="Calibri" w:hAnsi="Calibri"/>
                <w:b w:val="0"/>
                <w:color w:val="12181C"/>
                <w:sz w:val="18"/>
              </w:rPr>
              <w:t>seed 42, test size 0.2</w:t>
            </w:r>
          </w:p>
        </w:tc>
      </w:tr>
      <w:tr>
        <w:tc>
          <w:tcPr>
            <w:tcW w:type="dxa" w:w="2700"/>
            <w:vAlign w:val="center"/>
          </w:tcPr>
          <w:p>
            <w:pPr>
              <w:spacing w:before="0" w:after="0" w:line="240" w:lineRule="auto"/>
            </w:pPr>
            <w:r>
              <w:rPr>
                <w:rFonts w:ascii="Calibri" w:hAnsi="Calibri"/>
                <w:b w:val="0"/>
                <w:color w:val="12181C"/>
                <w:sz w:val="18"/>
              </w:rPr>
              <w:t>VQC budget</w:t>
            </w:r>
          </w:p>
        </w:tc>
        <w:tc>
          <w:tcPr>
            <w:tcW w:type="dxa" w:w="6660"/>
            <w:vAlign w:val="center"/>
          </w:tcPr>
          <w:p>
            <w:pPr>
              <w:spacing w:before="0" w:after="0" w:line="240" w:lineRule="auto"/>
            </w:pPr>
            <w:r>
              <w:rPr>
                <w:rFonts w:ascii="Calibri" w:hAnsi="Calibri"/>
                <w:b w:val="0"/>
                <w:color w:val="12181C"/>
                <w:sz w:val="18"/>
              </w:rPr>
              <w:t>100 epochs for every VQC</w:t>
            </w:r>
          </w:p>
        </w:tc>
      </w:tr>
      <w:tr>
        <w:tc>
          <w:tcPr>
            <w:tcW w:type="dxa" w:w="2700"/>
            <w:vAlign w:val="center"/>
          </w:tcPr>
          <w:p>
            <w:pPr>
              <w:spacing w:before="0" w:after="0" w:line="240" w:lineRule="auto"/>
            </w:pPr>
            <w:r>
              <w:rPr>
                <w:rFonts w:ascii="Calibri" w:hAnsi="Calibri"/>
                <w:b w:val="0"/>
                <w:color w:val="12181C"/>
                <w:sz w:val="18"/>
              </w:rPr>
              <w:t>Quantum pool</w:t>
            </w:r>
          </w:p>
        </w:tc>
        <w:tc>
          <w:tcPr>
            <w:tcW w:type="dxa" w:w="6660"/>
            <w:vAlign w:val="center"/>
          </w:tcPr>
          <w:p>
            <w:pPr>
              <w:spacing w:before="0" w:after="0" w:line="240" w:lineRule="auto"/>
            </w:pPr>
            <w:r>
              <w:rPr>
                <w:rFonts w:ascii="Calibri" w:hAnsi="Calibri"/>
                <w:b w:val="0"/>
                <w:color w:val="12181C"/>
                <w:sz w:val="18"/>
              </w:rPr>
              <w:t>20 training rows</w:t>
            </w:r>
          </w:p>
        </w:tc>
      </w:tr>
      <w:tr>
        <w:tc>
          <w:tcPr>
            <w:tcW w:type="dxa" w:w="2700"/>
            <w:vAlign w:val="center"/>
          </w:tcPr>
          <w:p>
            <w:pPr>
              <w:spacing w:before="0" w:after="0" w:line="240" w:lineRule="auto"/>
            </w:pPr>
            <w:r>
              <w:rPr>
                <w:rFonts w:ascii="Calibri" w:hAnsi="Calibri"/>
                <w:b w:val="0"/>
                <w:color w:val="12181C"/>
                <w:sz w:val="18"/>
              </w:rPr>
              <w:t>Classical pool</w:t>
            </w:r>
          </w:p>
        </w:tc>
        <w:tc>
          <w:tcPr>
            <w:tcW w:type="dxa" w:w="6660"/>
            <w:vAlign w:val="center"/>
          </w:tcPr>
          <w:p>
            <w:pPr>
              <w:spacing w:before="0" w:after="0" w:line="240" w:lineRule="auto"/>
            </w:pPr>
            <w:r>
              <w:rPr>
                <w:rFonts w:ascii="Calibri" w:hAnsi="Calibri"/>
                <w:b w:val="0"/>
                <w:color w:val="12181C"/>
                <w:sz w:val="18"/>
              </w:rPr>
              <w:t>455 training rows</w:t>
            </w:r>
          </w:p>
        </w:tc>
      </w:tr>
      <w:tr>
        <w:tc>
          <w:tcPr>
            <w:tcW w:type="dxa" w:w="2700"/>
            <w:vAlign w:val="center"/>
          </w:tcPr>
          <w:p>
            <w:pPr>
              <w:spacing w:before="0" w:after="0" w:line="240" w:lineRule="auto"/>
            </w:pPr>
            <w:r>
              <w:rPr>
                <w:rFonts w:ascii="Calibri" w:hAnsi="Calibri"/>
                <w:b w:val="0"/>
                <w:color w:val="12181C"/>
                <w:sz w:val="18"/>
              </w:rPr>
              <w:t>Quantum device</w:t>
            </w:r>
          </w:p>
        </w:tc>
        <w:tc>
          <w:tcPr>
            <w:tcW w:type="dxa" w:w="6660"/>
            <w:vAlign w:val="center"/>
          </w:tcPr>
          <w:p>
            <w:pPr>
              <w:spacing w:before="0" w:after="0" w:line="240" w:lineRule="auto"/>
            </w:pPr>
            <w:r>
              <w:rPr>
                <w:rFonts w:ascii="Calibri" w:hAnsi="Calibri"/>
                <w:b w:val="0"/>
                <w:color w:val="12181C"/>
                <w:sz w:val="18"/>
              </w:rPr>
              <w:t>lightning.qubit</w:t>
            </w:r>
          </w:p>
        </w:tc>
      </w:tr>
      <w:tr>
        <w:tc>
          <w:tcPr>
            <w:tcW w:type="dxa" w:w="2700"/>
            <w:vAlign w:val="center"/>
          </w:tcPr>
          <w:p>
            <w:pPr>
              <w:spacing w:before="0" w:after="0" w:line="240" w:lineRule="auto"/>
            </w:pPr>
            <w:r>
              <w:rPr>
                <w:rFonts w:ascii="Calibri" w:hAnsi="Calibri"/>
                <w:b w:val="0"/>
                <w:color w:val="12181C"/>
                <w:sz w:val="18"/>
              </w:rPr>
              <w:t>Loading mode</w:t>
            </w:r>
          </w:p>
        </w:tc>
        <w:tc>
          <w:tcPr>
            <w:tcW w:type="dxa" w:w="6660"/>
            <w:vAlign w:val="center"/>
          </w:tcPr>
          <w:p>
            <w:pPr>
              <w:spacing w:before="0" w:after="0" w:line="240" w:lineRule="auto"/>
            </w:pPr>
            <w:r>
              <w:rPr>
                <w:rFonts w:ascii="Calibri" w:hAnsi="Calibri"/>
                <w:b w:val="0"/>
                <w:color w:val="12181C"/>
                <w:sz w:val="18"/>
              </w:rPr>
              <w:t>deterministic_refit_from_manifest</w:t>
            </w:r>
          </w:p>
        </w:tc>
      </w:tr>
    </w:tbl>
    <w:p>
      <w:pPr>
        <w:spacing w:after="0"/>
      </w:pPr>
    </w:p>
    <w:p>
      <w:pPr>
        <w:keepLines/>
        <w:spacing w:before="80" w:after="200" w:line="276" w:lineRule="auto"/>
        <w:ind w:left="173" w:right="115"/>
        <w:shd w:fill="F2F0F8"/>
        <w:pBdr>
          <w:left w:val="single" w:sz="18" w:space="10" w:color="4A3F8C"/>
        </w:pBdr>
      </w:pPr>
      <w:r>
        <w:rPr>
          <w:rFonts w:ascii="Calibri" w:hAnsi="Calibri"/>
          <w:b/>
          <w:color w:val="4A3F8C"/>
          <w:sz w:val="18"/>
        </w:rPr>
        <w:t xml:space="preserve">DO NOT MIX EXPERIMENTS  </w:t>
      </w:r>
      <w:r>
        <w:rPr>
          <w:rFonts w:ascii="Calibri" w:hAnsi="Calibri"/>
          <w:color w:val="12181C"/>
          <w:sz w:val="21"/>
        </w:rPr>
        <w:t>The live q20 configuration is identified and reproducible, but it is not the saved q200 Phase 2 benchmark. The website discloses the live settings; the pitch quotes saved benchmark and cross-validation numbers with their own labels.</w:t>
      </w:r>
    </w:p>
    <w:p>
      <w:pPr>
        <w:pStyle w:val="Heading2"/>
        <w:keepNext/>
      </w:pPr>
      <w:r>
        <w:t>Run locally</w:t>
      </w:r>
    </w:p>
    <w:p>
      <w:pPr>
        <w:spacing w:after="40" w:line="288" w:lineRule="auto"/>
        <w:numPr>
          <w:ilvl w:val="0"/>
          <w:numId w:val="12"/>
        </w:numPr>
      </w:pPr>
      <w:r>
        <w:rPr>
          <w:rFonts w:ascii="Calibri" w:hAnsi="Calibri"/>
          <w:color w:val="12181C"/>
        </w:rPr>
        <w:t>py -3.14 -m venv .venv</w:t>
      </w:r>
    </w:p>
    <w:p>
      <w:pPr>
        <w:spacing w:after="40" w:line="288" w:lineRule="auto"/>
        <w:numPr>
          <w:ilvl w:val="0"/>
          <w:numId w:val="12"/>
        </w:numPr>
      </w:pPr>
      <w:r>
        <w:rPr>
          <w:rFonts w:ascii="Calibri" w:hAnsi="Calibri"/>
          <w:color w:val="12181C"/>
        </w:rPr>
        <w:t>.\.venv\Scripts\Activate.ps1</w:t>
      </w:r>
    </w:p>
    <w:p>
      <w:pPr>
        <w:spacing w:after="40" w:line="288" w:lineRule="auto"/>
        <w:numPr>
          <w:ilvl w:val="0"/>
          <w:numId w:val="12"/>
        </w:numPr>
      </w:pPr>
      <w:r>
        <w:rPr>
          <w:rFonts w:ascii="Calibri" w:hAnsi="Calibri"/>
          <w:color w:val="12181C"/>
        </w:rPr>
        <w:t>python -m pip install -r requirements.txt</w:t>
      </w:r>
    </w:p>
    <w:p>
      <w:pPr>
        <w:spacing w:after="40" w:line="288" w:lineRule="auto"/>
        <w:numPr>
          <w:ilvl w:val="0"/>
          <w:numId w:val="12"/>
        </w:numPr>
      </w:pPr>
      <w:r>
        <w:rPr>
          <w:rFonts w:ascii="Calibri" w:hAnsi="Calibri"/>
          <w:color w:val="12181C"/>
        </w:rPr>
        <w:t>docker compose up --build   (or run uvicorn backend.main:app)</w:t>
      </w:r>
    </w:p>
    <w:p>
      <w:pPr>
        <w:spacing w:after="40" w:line="288" w:lineRule="auto"/>
        <w:numPr>
          <w:ilvl w:val="0"/>
          <w:numId w:val="12"/>
        </w:numPr>
      </w:pPr>
      <w:r>
        <w:rPr>
          <w:rFonts w:ascii="Calibri" w:hAnsi="Calibri"/>
          <w:color w:val="12181C"/>
        </w:rPr>
        <w:t>Open http://127.0.0.1:8000/ and wait for Model service ready.</w:t>
      </w:r>
    </w:p>
    <w:p>
      <w:pPr>
        <w:pStyle w:val="Heading1"/>
        <w:keepNext/>
      </w:pPr>
      <w:r>
        <w:t>11. How to approach the judges</w:t>
      </w:r>
    </w:p>
    <w:p>
      <w:pPr>
        <w:pStyle w:val="Heading2"/>
        <w:keepNext/>
      </w:pPr>
      <w:r>
        <w:t>Opening: 30 seconds</w:t>
      </w:r>
    </w:p>
    <w:p>
      <w:pPr>
        <w:keepLines/>
        <w:spacing w:before="80" w:after="200" w:line="276" w:lineRule="auto"/>
        <w:ind w:left="173" w:right="115"/>
        <w:shd w:fill="F2F0F8"/>
        <w:pBdr>
          <w:left w:val="single" w:sz="18" w:space="10" w:color="4A3F8C"/>
        </w:pBdr>
      </w:pPr>
      <w:r>
        <w:rPr>
          <w:rFonts w:ascii="Calibri" w:hAnsi="Calibri"/>
          <w:b/>
          <w:color w:val="4A3F8C"/>
          <w:sz w:val="18"/>
        </w:rPr>
        <w:t xml:space="preserve">SUGGESTED WORDS  </w:t>
      </w:r>
      <w:r>
        <w:rPr>
          <w:rFonts w:ascii="Calibri" w:hAnsi="Calibri"/>
          <w:color w:val="12181C"/>
          <w:sz w:val="21"/>
        </w:rPr>
        <w:t>Q-TRACE is an explainable hybrid quantum-classical research platform for SIH26139. We compare two quantum paradigms - four trainable VQCs and two quantum-kernel SVMs - against four classical algorithms on both full and matched features. Every patient shows both results, every metric treats malignant disease as positive, and every claim is tied to leakage-safe evidence.</w:t>
      </w:r>
    </w:p>
    <w:p>
      <w:pPr>
        <w:pStyle w:val="Heading2"/>
        <w:keepNext/>
      </w:pPr>
      <w:r>
        <w:t>Five-minute demonstration</w:t>
      </w:r>
    </w:p>
    <w:p>
      <w:pPr>
        <w:spacing w:after="40" w:line="288" w:lineRule="auto"/>
        <w:numPr>
          <w:ilvl w:val="0"/>
          <w:numId w:val="13"/>
        </w:numPr>
      </w:pPr>
      <w:r>
        <w:rPr>
          <w:rFonts w:ascii="Calibri" w:hAnsi="Calibri"/>
          <w:color w:val="12181C"/>
        </w:rPr>
        <w:t>Show the circuit rail and explain that preprocessing is classical while classification is compared across paradigms.</w:t>
      </w:r>
    </w:p>
    <w:p>
      <w:pPr>
        <w:spacing w:after="40" w:line="288" w:lineRule="auto"/>
        <w:numPr>
          <w:ilvl w:val="0"/>
          <w:numId w:val="13"/>
        </w:numPr>
      </w:pPr>
      <w:r>
        <w:rPr>
          <w:rFonts w:ascii="Calibri" w:hAnsi="Calibri"/>
          <w:color w:val="12181C"/>
        </w:rPr>
        <w:t>Select a held-out record, point to the four real selected measurements, and run hybrid analysis.</w:t>
      </w:r>
    </w:p>
    <w:p>
      <w:pPr>
        <w:spacing w:after="40" w:line="288" w:lineRule="auto"/>
        <w:numPr>
          <w:ilvl w:val="0"/>
          <w:numId w:val="13"/>
        </w:numPr>
      </w:pPr>
      <w:r>
        <w:rPr>
          <w:rFonts w:ascii="Calibri" w:hAnsi="Calibri"/>
          <w:color w:val="12181C"/>
        </w:rPr>
        <w:t>Read both equal-size dials. If they disagree, use the amber banner as evidence of transparency.</w:t>
      </w:r>
    </w:p>
    <w:p>
      <w:pPr>
        <w:spacing w:after="40" w:line="288" w:lineRule="auto"/>
        <w:numPr>
          <w:ilvl w:val="0"/>
          <w:numId w:val="13"/>
        </w:numPr>
      </w:pPr>
      <w:r>
        <w:rPr>
          <w:rFonts w:ascii="Calibri" w:hAnsi="Calibri"/>
          <w:color w:val="12181C"/>
        </w:rPr>
        <w:t>Open per-model quantum details to show four VQCs, angle QSVM, amplitude QSVM, and OOB weights.</w:t>
      </w:r>
    </w:p>
    <w:p>
      <w:pPr>
        <w:spacing w:after="40" w:line="288" w:lineRule="auto"/>
        <w:numPr>
          <w:ilvl w:val="0"/>
          <w:numId w:val="13"/>
        </w:numPr>
      </w:pPr>
      <w:r>
        <w:rPr>
          <w:rFonts w:ascii="Calibri" w:hAnsi="Calibri"/>
          <w:color w:val="12181C"/>
        </w:rPr>
        <w:t>Generate fast quantum attribution, then switch to a classical attribution scope. Emphasize real feature names and one verdict number.</w:t>
      </w:r>
    </w:p>
    <w:p>
      <w:pPr>
        <w:spacing w:after="40" w:line="288" w:lineRule="auto"/>
        <w:numPr>
          <w:ilvl w:val="0"/>
          <w:numId w:val="13"/>
        </w:numPr>
      </w:pPr>
      <w:r>
        <w:rPr>
          <w:rFonts w:ascii="Calibri" w:hAnsi="Calibri"/>
          <w:color w:val="12181C"/>
        </w:rPr>
        <w:t>Scroll to five-fold sensitivity/specificity evidence and close with limitations plus the hardware-validation path.</w:t>
      </w:r>
    </w:p>
    <w:p>
      <w:pPr>
        <w:pStyle w:val="Heading2"/>
        <w:keepNext/>
      </w:pPr>
      <w:r>
        <w:t>Questions to welcome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rPr>
          <w:tblHeader w:val="true"/>
        </w:trPr>
        <w:tc>
          <w:tcPr>
            <w:tcW w:type="dxa" w:w="3100"/>
            <w:vAlign w:val="center"/>
            <w:shd w:fill="FBF5EA"/>
          </w:tcPr>
          <w:p>
            <w:pPr>
              <w:spacing w:before="0" w:after="0" w:line="240" w:lineRule="auto"/>
            </w:pPr>
            <w:r>
              <w:rPr>
                <w:rFonts w:ascii="Calibri" w:hAnsi="Calibri"/>
                <w:b/>
                <w:color w:val="12181C"/>
                <w:sz w:val="16"/>
              </w:rPr>
              <w:t>Judge question</w:t>
            </w:r>
          </w:p>
        </w:tc>
        <w:tc>
          <w:tcPr>
            <w:tcW w:type="dxa" w:w="6260"/>
            <w:vAlign w:val="center"/>
            <w:shd w:fill="FBF5EA"/>
          </w:tcPr>
          <w:p>
            <w:pPr>
              <w:spacing w:before="0" w:after="0" w:line="240" w:lineRule="auto"/>
            </w:pPr>
            <w:r>
              <w:rPr>
                <w:rFonts w:ascii="Calibri" w:hAnsi="Calibri"/>
                <w:b/>
                <w:color w:val="12181C"/>
                <w:sz w:val="16"/>
              </w:rPr>
              <w:t>Defensible answer</w:t>
            </w:r>
          </w:p>
        </w:tc>
      </w:tr>
      <w:tr>
        <w:tc>
          <w:tcPr>
            <w:tcW w:type="dxa" w:w="3100"/>
            <w:vAlign w:val="center"/>
          </w:tcPr>
          <w:p>
            <w:pPr>
              <w:spacing w:before="0" w:after="0" w:line="240" w:lineRule="auto"/>
            </w:pPr>
            <w:r>
              <w:rPr>
                <w:rFonts w:ascii="Calibri" w:hAnsi="Calibri"/>
                <w:b w:val="0"/>
                <w:color w:val="12181C"/>
                <w:sz w:val="16"/>
              </w:rPr>
              <w:t>Why quantum if classical is more accurate?</w:t>
            </w:r>
          </w:p>
        </w:tc>
        <w:tc>
          <w:tcPr>
            <w:tcW w:type="dxa" w:w="6260"/>
            <w:vAlign w:val="center"/>
          </w:tcPr>
          <w:p>
            <w:pPr>
              <w:spacing w:before="0" w:after="0" w:line="240" w:lineRule="auto"/>
            </w:pPr>
            <w:r>
              <w:rPr>
                <w:rFonts w:ascii="Calibri" w:hAnsi="Calibri"/>
                <w:b w:val="0"/>
                <w:color w:val="12181C"/>
                <w:sz w:val="16"/>
              </w:rPr>
              <w:t>The project investigates two quantum learning mechanisms under a transparent baseline. Current data favors full-feature classical ML; the value is the reproducible comparison, ensemble stability study, and hardware-ready circuit abstraction - not a fabricated advantage claim.</w:t>
            </w:r>
          </w:p>
        </w:tc>
      </w:tr>
      <w:tr>
        <w:tc>
          <w:tcPr>
            <w:tcW w:type="dxa" w:w="3100"/>
            <w:vAlign w:val="center"/>
          </w:tcPr>
          <w:p>
            <w:pPr>
              <w:spacing w:before="0" w:after="0" w:line="240" w:lineRule="auto"/>
            </w:pPr>
            <w:r>
              <w:rPr>
                <w:rFonts w:ascii="Calibri" w:hAnsi="Calibri"/>
                <w:b w:val="0"/>
                <w:color w:val="12181C"/>
                <w:sz w:val="16"/>
              </w:rPr>
              <w:t>Why only four quantum features?</w:t>
            </w:r>
          </w:p>
        </w:tc>
        <w:tc>
          <w:tcPr>
            <w:tcW w:type="dxa" w:w="6260"/>
            <w:vAlign w:val="center"/>
          </w:tcPr>
          <w:p>
            <w:pPr>
              <w:spacing w:before="0" w:after="0" w:line="240" w:lineRule="auto"/>
            </w:pPr>
            <w:r>
              <w:rPr>
                <w:rFonts w:ascii="Calibri" w:hAnsi="Calibri"/>
                <w:b w:val="0"/>
                <w:color w:val="12181C"/>
                <w:sz w:val="16"/>
              </w:rPr>
              <w:t>Near-term circuits are constrained by qubits and kernel cost. ANOVA selection preserves interpretable clinical names and enables a fair four-feature classical comparison.</w:t>
            </w:r>
          </w:p>
        </w:tc>
      </w:tr>
      <w:tr>
        <w:tc>
          <w:tcPr>
            <w:tcW w:type="dxa" w:w="3100"/>
            <w:vAlign w:val="center"/>
          </w:tcPr>
          <w:p>
            <w:pPr>
              <w:spacing w:before="0" w:after="0" w:line="240" w:lineRule="auto"/>
            </w:pPr>
            <w:r>
              <w:rPr>
                <w:rFonts w:ascii="Calibri" w:hAnsi="Calibri"/>
                <w:b w:val="0"/>
                <w:color w:val="12181C"/>
                <w:sz w:val="16"/>
              </w:rPr>
              <w:t>Why is amplitude QSVM weak?</w:t>
            </w:r>
          </w:p>
        </w:tc>
        <w:tc>
          <w:tcPr>
            <w:tcW w:type="dxa" w:w="6260"/>
            <w:vAlign w:val="center"/>
          </w:tcPr>
          <w:p>
            <w:pPr>
              <w:spacing w:before="0" w:after="0" w:line="240" w:lineRule="auto"/>
            </w:pPr>
            <w:r>
              <w:rPr>
                <w:rFonts w:ascii="Calibri" w:hAnsi="Calibri"/>
                <w:b w:val="0"/>
                <w:color w:val="12181C"/>
                <w:sz w:val="16"/>
              </w:rPr>
              <w:t>Four values fit naturally into two qubits, but normalization discards magnitude and the 20-row fold pool is severe. Its instability is measured and down-weighted rather than hidden.</w:t>
            </w:r>
          </w:p>
        </w:tc>
      </w:tr>
      <w:tr>
        <w:tc>
          <w:tcPr>
            <w:tcW w:type="dxa" w:w="3100"/>
            <w:vAlign w:val="center"/>
          </w:tcPr>
          <w:p>
            <w:pPr>
              <w:spacing w:before="0" w:after="0" w:line="240" w:lineRule="auto"/>
            </w:pPr>
            <w:r>
              <w:rPr>
                <w:rFonts w:ascii="Calibri" w:hAnsi="Calibri"/>
                <w:b w:val="0"/>
                <w:color w:val="12181C"/>
                <w:sz w:val="16"/>
              </w:rPr>
              <w:t>Is this early detection?</w:t>
            </w:r>
          </w:p>
        </w:tc>
        <w:tc>
          <w:tcPr>
            <w:tcW w:type="dxa" w:w="6260"/>
            <w:vAlign w:val="center"/>
          </w:tcPr>
          <w:p>
            <w:pPr>
              <w:spacing w:before="0" w:after="0" w:line="240" w:lineRule="auto"/>
            </w:pPr>
            <w:r>
              <w:rPr>
                <w:rFonts w:ascii="Calibri" w:hAnsi="Calibri"/>
                <w:b w:val="0"/>
                <w:color w:val="12181C"/>
                <w:sz w:val="16"/>
              </w:rPr>
              <w:t>It is an early-disease ML platform prototype evaluated on diagnostic breast-mass data. Prospective screening or earlier-stage benefit would require an external longitudinal cohort.</w:t>
            </w:r>
          </w:p>
        </w:tc>
      </w:tr>
      <w:tr>
        <w:tc>
          <w:tcPr>
            <w:tcW w:type="dxa" w:w="3100"/>
            <w:vAlign w:val="center"/>
          </w:tcPr>
          <w:p>
            <w:pPr>
              <w:spacing w:before="0" w:after="0" w:line="240" w:lineRule="auto"/>
            </w:pPr>
            <w:r>
              <w:rPr>
                <w:rFonts w:ascii="Calibri" w:hAnsi="Calibri"/>
                <w:b w:val="0"/>
                <w:color w:val="12181C"/>
                <w:sz w:val="16"/>
              </w:rPr>
              <w:t>Does it run on real quantum hardware?</w:t>
            </w:r>
          </w:p>
        </w:tc>
        <w:tc>
          <w:tcPr>
            <w:tcW w:type="dxa" w:w="6260"/>
            <w:vAlign w:val="center"/>
          </w:tcPr>
          <w:p>
            <w:pPr>
              <w:spacing w:before="0" w:after="0" w:line="240" w:lineRule="auto"/>
            </w:pPr>
            <w:r>
              <w:rPr>
                <w:rFonts w:ascii="Calibri" w:hAnsi="Calibri"/>
                <w:b w:val="0"/>
                <w:color w:val="12181C"/>
                <w:sz w:val="16"/>
              </w:rPr>
              <w:t>The circuit device is configurable and simulator paths are tested. A real QPU still needs a provider plugin, shot/noise settings, gate validation, credentials, and a separate measured report.</w:t>
            </w:r>
          </w:p>
        </w:tc>
      </w:tr>
    </w:tbl>
    <w:p>
      <w:pPr>
        <w:spacing w:after="0"/>
      </w:pPr>
    </w:p>
    <w:p>
      <w:pPr>
        <w:pStyle w:val="Heading1"/>
        <w:keepNext/>
      </w:pPr>
      <w:r>
        <w:t>12. What to improve next</w:t>
      </w:r>
    </w:p>
    <w:p>
      <w:r>
        <w:rPr>
          <w:rFonts w:ascii="Calibri" w:hAnsi="Calibri"/>
          <w:i w:val="0"/>
          <w:color w:val="12181C"/>
        </w:rPr>
        <w:t>The most impressive next steps are validation steps, not extra animations or unsupported model claims.</w:t>
      </w:r>
    </w:p>
    <w:p>
      <w:pPr>
        <w:spacing w:after="40" w:line="288" w:lineRule="auto"/>
        <w:numPr>
          <w:ilvl w:val="0"/>
          <w:numId w:val="14"/>
        </w:numPr>
      </w:pPr>
      <w:r>
        <w:rPr>
          <w:rFonts w:ascii="Calibri" w:hAnsi="Calibri"/>
          <w:color w:val="12181C"/>
        </w:rPr>
        <w:t>External-cohort validation: test on a separately sourced breast-cancer cohort and lock preprocessing/model settings before looking at outcomes.</w:t>
      </w:r>
    </w:p>
    <w:p>
      <w:pPr>
        <w:spacing w:after="40" w:line="288" w:lineRule="auto"/>
        <w:numPr>
          <w:ilvl w:val="0"/>
          <w:numId w:val="14"/>
        </w:numPr>
      </w:pPr>
      <w:r>
        <w:rPr>
          <w:rFonts w:ascii="Calibri" w:hAnsi="Calibri"/>
          <w:color w:val="12181C"/>
        </w:rPr>
        <w:t>Clinical thresholding: select a high-sensitivity operating point on training data, then report its specificity and calibration on untouched data.</w:t>
      </w:r>
    </w:p>
    <w:p>
      <w:pPr>
        <w:spacing w:after="40" w:line="288" w:lineRule="auto"/>
        <w:numPr>
          <w:ilvl w:val="0"/>
          <w:numId w:val="14"/>
        </w:numPr>
      </w:pPr>
      <w:r>
        <w:rPr>
          <w:rFonts w:ascii="Calibri" w:hAnsi="Calibri"/>
          <w:color w:val="12181C"/>
        </w:rPr>
        <w:t>Subgroup analysis: assess false negatives and calibration across clinically relevant groups when lawful, appropriate metadata is available.</w:t>
      </w:r>
    </w:p>
    <w:p>
      <w:pPr>
        <w:spacing w:after="40" w:line="288" w:lineRule="auto"/>
        <w:numPr>
          <w:ilvl w:val="0"/>
          <w:numId w:val="14"/>
        </w:numPr>
      </w:pPr>
      <w:r>
        <w:rPr>
          <w:rFonts w:ascii="Calibri" w:hAnsi="Calibri"/>
          <w:color w:val="12181C"/>
        </w:rPr>
        <w:t>Noise-aware simulation: run the same circuits under documented noise channels and report accuracy/latency changes.</w:t>
      </w:r>
    </w:p>
    <w:p>
      <w:pPr>
        <w:spacing w:after="40" w:line="288" w:lineRule="auto"/>
        <w:numPr>
          <w:ilvl w:val="0"/>
          <w:numId w:val="14"/>
        </w:numPr>
      </w:pPr>
      <w:r>
        <w:rPr>
          <w:rFonts w:ascii="Calibri" w:hAnsi="Calibri"/>
          <w:color w:val="12181C"/>
        </w:rPr>
        <w:t>Small real-QPU appendix: execute a narrowly scoped circuit on supported hardware and compare simulator/noisy/hardware outputs without claiming advantage.</w:t>
      </w:r>
    </w:p>
    <w:p>
      <w:pPr>
        <w:spacing w:after="40" w:line="288" w:lineRule="auto"/>
        <w:numPr>
          <w:ilvl w:val="0"/>
          <w:numId w:val="14"/>
        </w:numPr>
      </w:pPr>
      <w:r>
        <w:rPr>
          <w:rFonts w:ascii="Calibri" w:hAnsi="Calibri"/>
          <w:color w:val="12181C"/>
        </w:rPr>
        <w:t>Multimodal research: add imaging or genomic representations only after the core tabular pipeline remains leakage-safe and interpretable.</w:t>
      </w:r>
    </w:p>
    <w:p>
      <w:pPr>
        <w:pStyle w:val="Heading2"/>
        <w:keepNext/>
      </w:pPr>
      <w:r>
        <w:t>Known limitations</w:t>
      </w:r>
    </w:p>
    <w:p>
      <w:pPr>
        <w:spacing w:after="40" w:line="288" w:lineRule="auto"/>
        <w:numPr>
          <w:ilvl w:val="0"/>
          <w:numId w:val="10"/>
        </w:numPr>
      </w:pPr>
      <w:r>
        <w:rPr>
          <w:rFonts w:ascii="Calibri" w:hAnsi="Calibri"/>
          <w:color w:val="12181C"/>
        </w:rPr>
        <w:t>One public benchmark dataset; no prospective or external clinical validation.</w:t>
      </w:r>
    </w:p>
    <w:p>
      <w:pPr>
        <w:spacing w:after="40" w:line="288" w:lineRule="auto"/>
        <w:numPr>
          <w:ilvl w:val="0"/>
          <w:numId w:val="10"/>
        </w:numPr>
      </w:pPr>
      <w:r>
        <w:rPr>
          <w:rFonts w:ascii="Calibri" w:hAnsi="Calibri"/>
          <w:color w:val="12181C"/>
        </w:rPr>
        <w:t>The live and five-fold quantum pool is 20 rows, while the separate headline Phase 2 benchmark uses 200.</w:t>
      </w:r>
    </w:p>
    <w:p>
      <w:pPr>
        <w:spacing w:after="40" w:line="288" w:lineRule="auto"/>
        <w:numPr>
          <w:ilvl w:val="0"/>
          <w:numId w:val="10"/>
        </w:numPr>
      </w:pPr>
      <w:r>
        <w:rPr>
          <w:rFonts w:ascii="Calibri" w:hAnsi="Calibri"/>
          <w:color w:val="12181C"/>
        </w:rPr>
        <w:t>Quantum execution is simulated on CPU; no quantum speedup or hardware robustness is demonstrated.</w:t>
      </w:r>
    </w:p>
    <w:p>
      <w:pPr>
        <w:spacing w:after="40" w:line="288" w:lineRule="auto"/>
        <w:numPr>
          <w:ilvl w:val="0"/>
          <w:numId w:val="10"/>
        </w:numPr>
      </w:pPr>
      <w:r>
        <w:rPr>
          <w:rFonts w:ascii="Calibri" w:hAnsi="Calibri"/>
          <w:color w:val="12181C"/>
        </w:rPr>
        <w:t>The OOB weights are model-level estimates inside each fold; preprocessing is shared within the fold's training partition.</w:t>
      </w:r>
    </w:p>
    <w:p>
      <w:pPr>
        <w:spacing w:after="40" w:line="288" w:lineRule="auto"/>
        <w:numPr>
          <w:ilvl w:val="0"/>
          <w:numId w:val="10"/>
        </w:numPr>
      </w:pPr>
      <w:r>
        <w:rPr>
          <w:rFonts w:ascii="Calibri" w:hAnsi="Calibri"/>
          <w:color w:val="12181C"/>
        </w:rPr>
        <w:t>SHAP and LIME explain model behavior, not biological causality or clinical action.</w:t>
      </w:r>
    </w:p>
    <w:p>
      <w:pPr>
        <w:spacing w:after="40" w:line="288" w:lineRule="auto"/>
        <w:numPr>
          <w:ilvl w:val="0"/>
          <w:numId w:val="10"/>
        </w:numPr>
      </w:pPr>
      <w:r>
        <w:rPr>
          <w:rFonts w:ascii="Calibri" w:hAnsi="Calibri"/>
          <w:color w:val="12181C"/>
        </w:rPr>
        <w:t>The local demo lacks authentication, HTTPS termination, hospital integration, and a protected-health-data workflow.</w:t>
      </w:r>
    </w:p>
    <w:p>
      <w:r>
        <w:br w:type="page"/>
      </w:r>
    </w:p>
    <w:p>
      <w:pPr>
        <w:pStyle w:val="Heading1"/>
        <w:keepNext/>
      </w:pPr>
      <w:r>
        <w:t>13. Verification checklist</w:t>
      </w:r>
    </w:p>
    <w:p>
      <w:pPr>
        <w:spacing w:after="40" w:line="288" w:lineRule="auto"/>
        <w:numPr>
          <w:ilvl w:val="0"/>
          <w:numId w:val="10"/>
        </w:numPr>
      </w:pPr>
      <w:r>
        <w:rPr>
          <w:rFonts w:ascii="Calibri" w:hAnsi="Calibri"/>
          <w:color w:val="12181C"/>
        </w:rPr>
        <w:t>Run the full pytest suite and the VQC cost-decrease regression.</w:t>
      </w:r>
    </w:p>
    <w:p>
      <w:pPr>
        <w:spacing w:after="40" w:line="288" w:lineRule="auto"/>
        <w:numPr>
          <w:ilvl w:val="0"/>
          <w:numId w:val="10"/>
        </w:numPr>
      </w:pPr>
      <w:r>
        <w:rPr>
          <w:rFonts w:ascii="Calibri" w:hAnsi="Calibri"/>
          <w:color w:val="12181C"/>
        </w:rPr>
        <w:t>Confirm pip check, Python compilation, and frontend JavaScript syntax.</w:t>
      </w:r>
    </w:p>
    <w:p>
      <w:pPr>
        <w:spacing w:after="40" w:line="288" w:lineRule="auto"/>
        <w:numPr>
          <w:ilvl w:val="0"/>
          <w:numId w:val="10"/>
        </w:numPr>
      </w:pPr>
      <w:r>
        <w:rPr>
          <w:rFonts w:ascii="Calibri" w:hAnsi="Calibri"/>
          <w:color w:val="12181C"/>
        </w:rPr>
        <w:t>Start Docker from the current commit and wait for six quantum plus eight classical fits.</w:t>
      </w:r>
    </w:p>
    <w:p>
      <w:pPr>
        <w:spacing w:after="40" w:line="288" w:lineRule="auto"/>
        <w:numPr>
          <w:ilvl w:val="0"/>
          <w:numId w:val="10"/>
        </w:numPr>
      </w:pPr>
      <w:r>
        <w:rPr>
          <w:rFonts w:ascii="Calibri" w:hAnsi="Calibri"/>
          <w:color w:val="12181C"/>
        </w:rPr>
        <w:t>Test benchmark selection, exact named CSV intake, agreement, disagreement, fast quantum explanation, and both classical explanation scopes.</w:t>
      </w:r>
    </w:p>
    <w:p>
      <w:pPr>
        <w:spacing w:after="40" w:line="288" w:lineRule="auto"/>
        <w:numPr>
          <w:ilvl w:val="0"/>
          <w:numId w:val="10"/>
        </w:numPr>
      </w:pPr>
      <w:r>
        <w:rPr>
          <w:rFonts w:ascii="Calibri" w:hAnsi="Calibri"/>
          <w:color w:val="12181C"/>
        </w:rPr>
        <w:t>Confirm the evidence table loads the retained five-fold metrics.</w:t>
      </w:r>
    </w:p>
    <w:p>
      <w:pPr>
        <w:spacing w:after="40" w:line="288" w:lineRule="auto"/>
        <w:numPr>
          <w:ilvl w:val="0"/>
          <w:numId w:val="10"/>
        </w:numPr>
      </w:pPr>
      <w:r>
        <w:rPr>
          <w:rFonts w:ascii="Calibri" w:hAnsi="Calibri"/>
          <w:color w:val="12181C"/>
        </w:rPr>
        <w:t>Rehearse on the presentation machine and keep a labeled backup recording.</w:t>
      </w:r>
    </w:p>
    <w:p>
      <w:pPr>
        <w:spacing w:after="40" w:line="288" w:lineRule="auto"/>
        <w:numPr>
          <w:ilvl w:val="0"/>
          <w:numId w:val="10"/>
        </w:numPr>
      </w:pPr>
      <w:r>
        <w:rPr>
          <w:rFonts w:ascii="Calibri" w:hAnsi="Calibri"/>
          <w:color w:val="12181C"/>
        </w:rPr>
        <w:t>Never upload credentials or identifiable patient records to GitHub.</w:t>
      </w:r>
    </w:p>
    <w:p>
      <w:pPr>
        <w:pStyle w:val="Heading1"/>
        <w:keepNext/>
      </w:pPr>
      <w:r>
        <w:t>14. Evidence and sources</w:t>
      </w:r>
    </w:p>
    <w:p>
      <w:pPr>
        <w:spacing w:after="40" w:line="288" w:lineRule="auto"/>
        <w:numPr>
          <w:ilvl w:val="0"/>
          <w:numId w:val="15"/>
        </w:numPr>
      </w:pPr>
      <w:r>
        <w:rPr>
          <w:rFonts w:ascii="Calibri" w:hAnsi="Calibri"/>
          <w:color w:val="12181C"/>
        </w:rPr>
        <w:t>SIH26139 problem listing mirror (accessed 3 September 2026): https://sih2026.vuce.in/ps/SIH26139</w:t>
      </w:r>
    </w:p>
    <w:p>
      <w:pPr>
        <w:spacing w:after="40" w:line="288" w:lineRule="auto"/>
        <w:numPr>
          <w:ilvl w:val="0"/>
          <w:numId w:val="15"/>
        </w:numPr>
      </w:pPr>
      <w:r>
        <w:rPr>
          <w:rFonts w:ascii="Calibri" w:hAnsi="Calibri"/>
          <w:color w:val="12181C"/>
        </w:rPr>
        <w:t>UCI Breast Cancer Wisconsin (Diagnostic): https://archive.ics.uci.edu/dataset/17/breast+cancer+wisconsin+diagnostic</w:t>
      </w:r>
    </w:p>
    <w:p>
      <w:pPr>
        <w:spacing w:after="40" w:line="288" w:lineRule="auto"/>
        <w:numPr>
          <w:ilvl w:val="0"/>
          <w:numId w:val="15"/>
        </w:numPr>
      </w:pPr>
      <w:r>
        <w:rPr>
          <w:rFonts w:ascii="Calibri" w:hAnsi="Calibri"/>
          <w:color w:val="12181C"/>
        </w:rPr>
        <w:t>scikit-learn breast cancer dataset documentation: https://scikit-learn.org/stable/modules/generated/sklearn.datasets.load_breast_cancer.html</w:t>
      </w:r>
    </w:p>
    <w:p>
      <w:pPr>
        <w:spacing w:after="40" w:line="288" w:lineRule="auto"/>
        <w:numPr>
          <w:ilvl w:val="0"/>
          <w:numId w:val="15"/>
        </w:numPr>
      </w:pPr>
      <w:r>
        <w:rPr>
          <w:rFonts w:ascii="Calibri" w:hAnsi="Calibri"/>
          <w:color w:val="12181C"/>
        </w:rPr>
        <w:t>PennyLane QNode documentation: https://docs.pennylane.ai/en/stable/code/api/pennylane.QNode.html</w:t>
      </w:r>
    </w:p>
    <w:p>
      <w:pPr>
        <w:spacing w:after="40" w:line="288" w:lineRule="auto"/>
        <w:numPr>
          <w:ilvl w:val="0"/>
          <w:numId w:val="15"/>
        </w:numPr>
      </w:pPr>
      <w:r>
        <w:rPr>
          <w:rFonts w:ascii="Calibri" w:hAnsi="Calibri"/>
          <w:color w:val="12181C"/>
        </w:rPr>
        <w:t>PennyLane kernels demonstration: https://pennylane.ai/qml/demos/tutorial_kernels_module</w:t>
      </w:r>
    </w:p>
    <w:p>
      <w:pPr>
        <w:spacing w:after="40" w:line="288" w:lineRule="auto"/>
        <w:numPr>
          <w:ilvl w:val="0"/>
          <w:numId w:val="15"/>
        </w:numPr>
      </w:pPr>
      <w:r>
        <w:rPr>
          <w:rFonts w:ascii="Calibri" w:hAnsi="Calibri"/>
          <w:color w:val="12181C"/>
        </w:rPr>
        <w:t>Repository evidence: artifacts/models/phase2_benchmark_100epochs_200pool.md</w:t>
      </w:r>
    </w:p>
    <w:p>
      <w:pPr>
        <w:spacing w:after="40" w:line="288" w:lineRule="auto"/>
        <w:numPr>
          <w:ilvl w:val="0"/>
          <w:numId w:val="15"/>
        </w:numPr>
      </w:pPr>
      <w:r>
        <w:rPr>
          <w:rFonts w:ascii="Calibri" w:hAnsi="Calibri"/>
          <w:color w:val="12181C"/>
        </w:rPr>
        <w:t>Repository evidence: artifacts/evaluation/classical_three_seed_metrics.json</w:t>
      </w:r>
    </w:p>
    <w:p>
      <w:pPr>
        <w:spacing w:after="40" w:line="288" w:lineRule="auto"/>
        <w:numPr>
          <w:ilvl w:val="0"/>
          <w:numId w:val="15"/>
        </w:numPr>
      </w:pPr>
      <w:r>
        <w:rPr>
          <w:rFonts w:ascii="Calibri" w:hAnsi="Calibri"/>
          <w:color w:val="12181C"/>
        </w:rPr>
        <w:t>Repository evidence: artifacts/evaluation/five_fold_cross_validation.json</w:t>
      </w:r>
    </w:p>
    <w:p>
      <w:pPr>
        <w:spacing w:after="40" w:line="288" w:lineRule="auto"/>
        <w:numPr>
          <w:ilvl w:val="0"/>
          <w:numId w:val="15"/>
        </w:numPr>
      </w:pPr>
      <w:r>
        <w:rPr>
          <w:rFonts w:ascii="Calibri" w:hAnsi="Calibri"/>
          <w:color w:val="12181C"/>
        </w:rPr>
        <w:t>Project contracts: prd.md, architecture.md, decisions.md, roadmap.md, and DEMO_GUIDE.md</w:t>
      </w:r>
    </w:p>
    <w:p>
      <w:r>
        <w:rPr>
          <w:rFonts w:ascii="Calibri" w:hAnsi="Calibri"/>
          <w:i/>
          <w:color w:val="647078"/>
        </w:rPr>
        <w:t>This guide distinguishes implemented evidence from future clinical and hardware validation. Numbers are rounded only for readability; machine-readable artifacts retain full precision.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078"/>
        <w:sz w:val="17"/>
      </w:rPr>
      <w:t xml:space="preserve">Research prototype  |  Page </w:t>
    </w:r>
    <w:r>
      <w:rPr>
        <w:rFonts w:ascii="Calibri" w:hAnsi="Calibri"/>
        <w:color w:val="64707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47078"/>
        <w:sz w:val="16"/>
      </w:rPr>
      <w:t>Q-TRACE  |  SIH26139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lvl>
  </w:abstractNum>
  <w:abstractNum w:abstractNumId="10">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218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4A3F8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4A3F8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Q-TRACE: SIH26139 Project and Judge Guide</dc:title>
  <dc:subject>Hybrid quantum-classical ML for early disease detection</dc:subject>
  <dc:creator>Q-TRACE</dc:creator>
  <cp:keywords>SIH26139, quantum machine learning, VQC, QSVM,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