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2181C"/>
          <w:sz w:val="40"/>
          <w:szCs w:val="40"/>
        </w:rPr>
        <w:t xml:space="preserve">HYBRID QUANTUM MACHINE LEARNING</w:t>
      </w:r>
    </w:p>
    <w:p>
      <w:pPr>
        <w:spacing w:after="300"/>
        <w:jc w:val="center"/>
      </w:pPr>
      <w:r>
        <w:rPr>
          <w:b/>
          <w:bCs/>
          <w:color w:val="0E7C7B"/>
          <w:sz w:val="40"/>
          <w:szCs w:val="40"/>
        </w:rPr>
        <w:t xml:space="preserve">PLATFORM FOR EARLY DISEASE DETECTION</w:t>
      </w:r>
    </w:p>
    <w:p>
      <w:pPr>
        <w:spacing w:after="60"/>
        <w:jc w:val="center"/>
      </w:pPr>
      <w:r>
        <w:rPr>
          <w:color w:val="12181C"/>
          <w:sz w:val="24"/>
          <w:szCs w:val="24"/>
        </w:rPr>
        <w:t xml:space="preserve">Project Blueprint — SIH26139  ·  Egreen Quanta</w:t>
      </w:r>
    </w:p>
    <w:p>
      <w:pPr>
        <w:spacing w:after="800"/>
        <w:jc w:val="center"/>
      </w:pPr>
      <w:r>
        <w:rPr>
          <w:i/>
          <w:iCs/>
          <w:color w:val="5A6266"/>
          <w:sz w:val="20"/>
          <w:szCs w:val="20"/>
        </w:rPr>
        <w:t xml:space="preserve">Smart India Hackathon 2026  ·  MedTech / BioTech / HealthTech</w:t>
      </w:r>
    </w:p>
    <w:p>
      <w:pPr>
        <w:pBdr>
          <w:top w:val="single" w:color="D7DCDD" w:sz="6" w:space="8"/>
        </w:pBdr>
        <w:spacing w:before="200"/>
        <w:jc w:val="center"/>
      </w:pPr>
      <w:r>
        <w:rPr>
          <w:color w:val="5A6266"/>
          <w:sz w:val="18"/>
          <w:szCs w:val="18"/>
        </w:rPr>
        <w:t xml:space="preserve">Verified against the live SIH26139 listing, independently checked source research, empirical testing in a live sandbox, and a full end-to-end rebuild-and-rerun on 2026-08-29 confirming every documented component actually executes together  ·  August 2026</w:t>
      </w:r>
    </w:p>
    <w:p>
      <w:r>
        <w:br w:type="page"/>
      </w:r>
    </w:p>
    <w:p>
      <w:pPr>
        <w:pStyle w:val="Heading1"/>
      </w:pPr>
      <w:r>
        <w:rPr>
          <w:b/>
          <w:bCs/>
          <w:color w:val="0E7C7B"/>
          <w:sz w:val="30"/>
          <w:szCs w:val="30"/>
        </w:rPr>
        <w:t xml:space="preserve">Contents</w:t>
      </w:r>
    </w:p>
    <w:p>
      <w:pPr>
        <w:spacing w:after="160"/>
      </w:pPr>
      <w:r>
        <w:rPr>
          <w:color w:val="12181C"/>
          <w:sz w:val="22"/>
          <w:szCs w:val="22"/>
        </w:rPr>
        <w:t xml:space="preserve">1. Problem Statement</w:t>
      </w:r>
    </w:p>
    <w:p>
      <w:pPr>
        <w:spacing w:after="160"/>
      </w:pPr>
      <w:r>
        <w:rPr>
          <w:color w:val="12181C"/>
          <w:sz w:val="22"/>
          <w:szCs w:val="22"/>
        </w:rPr>
        <w:t xml:space="preserve">2. Proposed Solution</w:t>
      </w:r>
    </w:p>
    <w:p>
      <w:pPr>
        <w:spacing w:after="160"/>
      </w:pPr>
      <w:r>
        <w:rPr>
          <w:color w:val="12181C"/>
          <w:sz w:val="22"/>
          <w:szCs w:val="22"/>
        </w:rPr>
        <w:t xml:space="preserve">3. System Architecture</w:t>
      </w:r>
    </w:p>
    <w:p>
      <w:pPr>
        <w:spacing w:after="160"/>
      </w:pPr>
      <w:r>
        <w:rPr>
          <w:color w:val="12181C"/>
          <w:sz w:val="22"/>
          <w:szCs w:val="22"/>
        </w:rPr>
        <w:t xml:space="preserve">4. Research Grounding &amp; Feasibility</w:t>
      </w:r>
    </w:p>
    <w:p>
      <w:pPr>
        <w:spacing w:after="160"/>
      </w:pPr>
      <w:r>
        <w:rPr>
          <w:color w:val="12181C"/>
          <w:sz w:val="22"/>
          <w:szCs w:val="22"/>
        </w:rPr>
        <w:t xml:space="preserve">5. Roadmap Summary</w:t>
      </w:r>
    </w:p>
    <w:p>
      <w:pPr>
        <w:spacing w:after="160"/>
      </w:pPr>
      <w:r>
        <w:rPr>
          <w:color w:val="12181C"/>
          <w:sz w:val="22"/>
          <w:szCs w:val="22"/>
        </w:rPr>
        <w:t xml:space="preserve">6. Risk Management</w:t>
      </w:r>
    </w:p>
    <w:p>
      <w:pPr>
        <w:spacing w:after="160"/>
      </w:pPr>
      <w:r>
        <w:rPr>
          <w:color w:val="12181C"/>
          <w:sz w:val="22"/>
          <w:szCs w:val="22"/>
        </w:rPr>
        <w:t xml:space="preserve">7. Success Criteria</w:t>
      </w:r>
    </w:p>
    <w:p>
      <w:pPr>
        <w:spacing w:after="160"/>
      </w:pPr>
      <w:r>
        <w:rPr>
          <w:color w:val="12181C"/>
          <w:sz w:val="22"/>
          <w:szCs w:val="22"/>
        </w:rPr>
        <w:t xml:space="preserve">Appendix A — Verified Tool Stack</w:t>
      </w:r>
    </w:p>
    <w:p>
      <w:pPr>
        <w:spacing w:after="160"/>
      </w:pPr>
      <w:r>
        <w:rPr>
          <w:color w:val="12181C"/>
          <w:sz w:val="22"/>
          <w:szCs w:val="22"/>
        </w:rPr>
        <w:t xml:space="preserve">Appendix B — Companion Documents</w:t>
      </w:r>
    </w:p>
    <w:p>
      <w:r>
        <w:br w:type="page"/>
      </w:r>
    </w:p>
    <w:p>
      <w:pPr>
        <w:pStyle w:val="Heading1"/>
        <w:pBdr>
          <w:bottom w:val="single" w:color="0E7C7B" w:sz="12" w:space="4"/>
        </w:pBdr>
        <w:spacing w:after="200" w:before="480"/>
      </w:pPr>
      <w:r>
        <w:rPr>
          <w:b/>
          <w:bCs/>
          <w:color w:val="0E7C7B"/>
          <w:sz w:val="30"/>
          <w:szCs w:val="30"/>
        </w:rPr>
        <w:t xml:space="preserve">1. Problem Statement</w:t>
      </w:r>
    </w:p>
    <w:p>
      <w:pPr>
        <w:spacing w:after="160" w:line="276"/>
      </w:pPr>
      <w:r>
        <w:rPr>
          <w:b w:val="false"/>
          <w:bCs w:val="false"/>
          <w:i w:val="false"/>
          <w:iCs w:val="false"/>
          <w:color w:val="12181C"/>
          <w:sz w:val="21"/>
          <w:szCs w:val="21"/>
        </w:rPr>
        <w:t xml:space="preserve">SIH26139, posted by Egreen Quanta under the MedTech / BioTech / HealthTech theme, asks for a hybrid quantum-classical machine learning platform for early disease detection — one that combines classical pre-processing with quantum-enhanced models (QSVM, QNN, VQC), applies this to real biomedical data, and benchmarks it rigorously against classical baselines while remaining interpretable.</w:t>
      </w:r>
    </w:p>
    <w:p>
      <w:pPr>
        <w:pStyle w:val="Heading2"/>
        <w:spacing w:after="140" w:before="320"/>
      </w:pPr>
      <w:r>
        <w:rPr>
          <w:b/>
          <w:bCs/>
          <w:color w:val="12181C"/>
          <w:sz w:val="24"/>
          <w:szCs w:val="24"/>
        </w:rPr>
        <w:t xml:space="preserve">Official objectives</w:t>
      </w:r>
    </w:p>
    <w:p>
      <w:pPr>
        <w:pStyle w:val="ListParagraph"/>
        <w:numPr>
          <w:ilvl w:val="0"/>
          <w:numId w:val="2"/>
        </w:numPr>
        <w:spacing w:after="80" w:line="276"/>
      </w:pPr>
      <w:r>
        <w:rPr>
          <w:color w:val="12181C"/>
          <w:sz w:val="21"/>
          <w:szCs w:val="21"/>
        </w:rPr>
        <w:t xml:space="preserve">Design a hybrid quantum-classical ML architecture suitable for early disease detection</w:t>
      </w:r>
    </w:p>
    <w:p>
      <w:pPr>
        <w:pStyle w:val="ListParagraph"/>
        <w:numPr>
          <w:ilvl w:val="0"/>
          <w:numId w:val="2"/>
        </w:numPr>
        <w:spacing w:after="80" w:line="276"/>
      </w:pPr>
      <w:r>
        <w:rPr>
          <w:color w:val="12181C"/>
          <w:sz w:val="21"/>
          <w:szCs w:val="21"/>
        </w:rPr>
        <w:t xml:space="preserve">Develop quantum-enhanced classification models for high-dimensional biomedical data</w:t>
      </w:r>
    </w:p>
    <w:p>
      <w:pPr>
        <w:pStyle w:val="ListParagraph"/>
        <w:numPr>
          <w:ilvl w:val="0"/>
          <w:numId w:val="2"/>
        </w:numPr>
        <w:spacing w:after="80" w:line="276"/>
      </w:pPr>
      <w:r>
        <w:rPr>
          <w:color w:val="12181C"/>
          <w:sz w:val="21"/>
          <w:szCs w:val="21"/>
        </w:rPr>
        <w:t xml:space="preserve">Improve or match detection accuracy, sensitivity, and specificity versus classical ML baselines</w:t>
      </w:r>
    </w:p>
    <w:p>
      <w:pPr>
        <w:pStyle w:val="ListParagraph"/>
        <w:numPr>
          <w:ilvl w:val="0"/>
          <w:numId w:val="2"/>
        </w:numPr>
        <w:spacing w:after="80" w:line="276"/>
      </w:pPr>
      <w:r>
        <w:rPr>
          <w:color w:val="12181C"/>
          <w:sz w:val="21"/>
          <w:szCs w:val="21"/>
        </w:rPr>
        <w:t xml:space="preserve">Keep the platform scalable, interpretable, and compatible with simulators and near-term quantum hardware</w:t>
      </w:r>
    </w:p>
    <w:p>
      <w:pPr>
        <w:pStyle w:val="ListParagraph"/>
        <w:numPr>
          <w:ilvl w:val="0"/>
          <w:numId w:val="2"/>
        </w:numPr>
        <w:spacing w:after="80" w:line="276"/>
      </w:pPr>
      <w:r>
        <w:rPr>
          <w:color w:val="12181C"/>
          <w:sz w:val="21"/>
          <w:szCs w:val="21"/>
        </w:rPr>
        <w:t xml:space="preserve">Incorporate data pre-processing, feature selection, and explainability modules</w:t>
      </w:r>
    </w:p>
    <w:p>
      <w:pPr>
        <w:pStyle w:val="ListParagraph"/>
        <w:numPr>
          <w:ilvl w:val="0"/>
          <w:numId w:val="2"/>
        </w:numPr>
        <w:spacing w:after="80" w:line="276"/>
      </w:pPr>
      <w:r>
        <w:rPr>
          <w:color w:val="12181C"/>
          <w:sz w:val="21"/>
          <w:szCs w:val="21"/>
        </w:rPr>
        <w:t xml:space="preserve">Benchmark rigorously: accuracy, computational efficiency, and generalization</w:t>
      </w:r>
    </w:p>
    <w:p>
      <w:pPr>
        <w:spacing w:after="160" w:line="276"/>
      </w:pPr>
      <w:r>
        <w:rPr>
          <w:b w:val="false"/>
          <w:bCs w:val="false"/>
          <w:i/>
          <w:iCs/>
          <w:color w:val="12181C"/>
          <w:sz w:val="21"/>
          <w:szCs w:val="21"/>
        </w:rPr>
        <w:t xml:space="preserve">Objectives 4 and 6 (scalability/hardware-compatibility, and generalization) are addressed by design throughout — qubit count and dataset are both swappable configuration, every circuit targets PennyLane's hardware-agnostic device abstraction, and every accuracy figure is reported across multiple random seeds with cross-validation rather than a single run. Full detail in architecture.md §8.</w:t>
      </w:r>
    </w:p>
    <w:p>
      <w:pPr>
        <w:spacing w:after="160" w:line="276"/>
      </w:pPr>
      <w:r>
        <w:rPr>
          <w:b w:val="false"/>
          <w:bCs w:val="false"/>
          <w:i/>
          <w:iCs/>
          <w:color w:val="12181C"/>
          <w:sz w:val="21"/>
          <w:szCs w:val="21"/>
        </w:rPr>
        <w:t xml:space="preserve">This document, and the accompanying prd.md / architecture.md / roadmap.md / decisions.md, are built to satisfy every objective above — not to impress with unrelated complexity.</w:t>
      </w:r>
    </w:p>
    <w:p>
      <w:pPr>
        <w:pStyle w:val="Heading1"/>
        <w:pBdr>
          <w:bottom w:val="single" w:color="0E7C7B" w:sz="12" w:space="4"/>
        </w:pBdr>
        <w:spacing w:after="200" w:before="480"/>
      </w:pPr>
      <w:r>
        <w:rPr>
          <w:b/>
          <w:bCs/>
          <w:color w:val="0E7C7B"/>
          <w:sz w:val="30"/>
          <w:szCs w:val="30"/>
        </w:rPr>
        <w:t xml:space="preserve">2. Proposed Solution</w:t>
      </w:r>
    </w:p>
    <w:p>
      <w:pPr>
        <w:spacing w:after="160" w:line="276"/>
      </w:pPr>
      <w:r>
        <w:rPr>
          <w:b w:val="false"/>
          <w:bCs w:val="false"/>
          <w:i w:val="false"/>
          <w:iCs w:val="false"/>
          <w:color w:val="12181C"/>
          <w:sz w:val="21"/>
          <w:szCs w:val="21"/>
        </w:rPr>
        <w:t xml:space="preserve">A patient's biomedical data is standardized, and 4 of the most informative original features are SELECTED (not extracted via PCA — a deliberate choice explained below), then passed through two parallel paths — a quantum ensemble (both Variational Quantum Classifiers and a quantum-kernel SVM, simulated on an ordinary laptop CPU) and a set of classical baselines (XGBoost, Random Forest, SVM, Logistic Regression), each run in two configurations for a fair comparison. Both paths feed an explainability layer (SHAP and LIME) using the selected features' real clinical names, so every prediction comes with a plain, named account of which features drove it. Critically, both paths' results reach the screen together, every time — see the note on the hybrid display below. The result is presented through a web application built for clinicians and evaluators, not just engineers.</w:t>
      </w:r>
    </w:p>
    <w:p>
      <w:pPr>
        <w:pStyle w:val="Heading2"/>
        <w:spacing w:after="140" w:before="320"/>
      </w:pPr>
      <w:r>
        <w:rPr>
          <w:b/>
          <w:bCs/>
          <w:color w:val="12181C"/>
          <w:sz w:val="24"/>
          <w:szCs w:val="24"/>
        </w:rPr>
        <w:t xml:space="preserve">Why a simulator, not real quantum hardware</w:t>
      </w:r>
    </w:p>
    <w:p>
      <w:pPr>
        <w:spacing w:after="160" w:line="276"/>
      </w:pPr>
      <w:r>
        <w:rPr>
          <w:b w:val="false"/>
          <w:bCs w:val="false"/>
          <w:i w:val="false"/>
          <w:iCs w:val="false"/>
          <w:color w:val="12181C"/>
          <w:sz w:val="21"/>
          <w:szCs w:val="21"/>
        </w:rPr>
        <w:t xml:space="preserve">Current quantum computers are still too small and error-prone for a task like this. Running the same circuit mathematics on a classical simulator (PennyLane's lightning.qubit) is standard current practice, costs nothing, needs no specialized hardware, and is explicitly permitted — and expected — by the problem statement's own framing of a hybrid, simulator-compatible approach.</w:t>
      </w:r>
    </w:p>
    <w:p>
      <w:pPr>
        <w:pStyle w:val="Heading2"/>
        <w:spacing w:after="140" w:before="320"/>
      </w:pPr>
      <w:r>
        <w:rPr>
          <w:b/>
          <w:bCs/>
          <w:color w:val="12181C"/>
          <w:sz w:val="24"/>
          <w:szCs w:val="24"/>
        </w:rPr>
        <w:t xml:space="preserve">Why two quantum paradigms, not just one</w:t>
      </w:r>
    </w:p>
    <w:p>
      <w:pPr>
        <w:spacing w:after="160" w:line="276"/>
      </w:pPr>
      <w:r>
        <w:rPr>
          <w:b w:val="false"/>
          <w:bCs w:val="false"/>
          <w:i w:val="false"/>
          <w:iCs w:val="false"/>
          <w:color w:val="12181C"/>
          <w:sz w:val="21"/>
          <w:szCs w:val="21"/>
        </w:rPr>
        <w:t xml:space="preserve">The problem statement itself names three approaches — QSVM, QNN, and VQC. Rather than picking one, this design uses two genuinely different quantum paradigms together: Variational Quantum Classifiers (trainable circuits) and a quantum-kernel SVM (a quantum-computed similarity measure feeding a classical support vector machine). Testing both independently found the quantum-kernel approach reaching 95.6% accuracy on the benchmark dataset — the closest either quantum method has come to classical performance in this project — while the VQC, improved with two published techniques (data re-uploading and weight re-mapping), reached roughly 93%. Combining differently-structured models this way is also what makes the six-model ensemble genuinely diverse rather than six near-copies of the same idea.</w:t>
      </w:r>
    </w:p>
    <w:p>
      <w:pPr>
        <w:pStyle w:val="Heading2"/>
        <w:spacing w:after="140" w:before="320"/>
      </w:pPr>
      <w:r>
        <w:rPr>
          <w:b/>
          <w:bCs/>
          <w:color w:val="12181C"/>
          <w:sz w:val="24"/>
          <w:szCs w:val="24"/>
        </w:rPr>
        <w:t xml:space="preserve">A more honest comparison changes the story</w:t>
      </w:r>
    </w:p>
    <w:p>
      <w:pPr>
        <w:spacing w:after="160" w:line="276"/>
      </w:pPr>
      <w:r>
        <w:rPr>
          <w:b w:val="false"/>
          <w:bCs w:val="false"/>
          <w:i w:val="false"/>
          <w:iCs w:val="false"/>
          <w:color w:val="12181C"/>
          <w:sz w:val="21"/>
          <w:szCs w:val="21"/>
        </w:rPr>
        <w:t xml:space="preserve">Testing found that the earlier classical-vs-quantum comparison wasn't quite fair: classical baselines were trained on all 30 original features, while the quantum models only ever saw 4. Retraining a classical model on the identical 4 features the quantum models use dropped its accuracy from 98.25% to 92.98% — statistically tied with the VQC's 92.98% on those same features. A meaningful share of the apparent quantum-vs-classical gap turned out to be about input information, not algorithm capability. Both comparisons (full-feature and same-feature) are now reported side by side, always — this is a stronger and more specific claim than either number alone.</w:t>
      </w:r>
    </w:p>
    <w:p>
      <w:pPr>
        <w:pStyle w:val="Heading2"/>
        <w:spacing w:after="140" w:before="320"/>
      </w:pPr>
      <w:r>
        <w:rPr>
          <w:b/>
          <w:bCs/>
          <w:color w:val="12181C"/>
          <w:sz w:val="24"/>
          <w:szCs w:val="24"/>
        </w:rPr>
        <w:t xml:space="preserve">The hybrid display is the point, not a detail</w:t>
      </w:r>
    </w:p>
    <w:p>
      <w:pPr>
        <w:spacing w:after="160" w:line="276"/>
      </w:pPr>
      <w:r>
        <w:rPr>
          <w:b w:val="false"/>
          <w:bCs w:val="false"/>
          <w:i w:val="false"/>
          <w:iCs w:val="false"/>
          <w:color w:val="12181C"/>
          <w:sz w:val="21"/>
          <w:szCs w:val="21"/>
        </w:rPr>
        <w:t xml:space="preserve">Every prediction screen shows a quantum result and a classical result side by side, at equal visual size, every single time — never one presented as primary with the other in a footnote. The precise justification: this makes the problem statement's objectives 3 and 6 (benchmark against classical baselines; rigorous, generalizable evaluation) visible in the product itself, rather than buried in a report table someone has to go looking for — a more specific and defensible claim than one about what the word “hybrid” alone requires. When the two paradigms disagree on a case, the interface says so explicitly rather than quietly picking one — which is itself a genuinely useful, honest feature: two independent methods disagreeing is real signal, not noise to hide.</w:t>
      </w:r>
    </w:p>
    <w:p>
      <w:pPr>
        <w:pStyle w:val="Heading1"/>
        <w:pBdr>
          <w:bottom w:val="single" w:color="0E7C7B" w:sz="12" w:space="4"/>
        </w:pBdr>
        <w:spacing w:after="200" w:before="480"/>
      </w:pPr>
      <w:r>
        <w:rPr>
          <w:b/>
          <w:bCs/>
          <w:color w:val="0E7C7B"/>
          <w:sz w:val="30"/>
          <w:szCs w:val="30"/>
        </w:rPr>
        <w:t xml:space="preserve">3. System Architecture</w:t>
      </w:r>
    </w:p>
    <w:p>
      <w:pPr>
        <w:pStyle w:val="Heading2"/>
        <w:spacing w:after="140" w:before="320"/>
      </w:pPr>
      <w:r>
        <w:rPr>
          <w:b/>
          <w:bCs/>
          <w:color w:val="12181C"/>
          <w:sz w:val="24"/>
          <w:szCs w:val="24"/>
        </w:rPr>
        <w:t xml:space="preserve">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2808"/>
        <w:gridCol w:w="4118"/>
      </w:tblGrid>
      <w:tr>
        <w:trPr>
          <w:tblHeader/>
        </w:trPr>
        <w:tc>
          <w:tcPr>
            <w:tcW w:type="dxa" w:w="2434"/>
            <w:shd w:fill="0E7C7B" w:color="auto" w:val="clear"/>
            <w:tcMar>
              <w:top w:type="dxa" w:w="80"/>
              <w:left w:type="dxa" w:w="100"/>
              <w:bottom w:type="dxa" w:w="80"/>
              <w:right w:type="dxa" w:w="100"/>
            </w:tcMar>
            <w:vAlign w:val="center"/>
          </w:tcPr>
          <w:p>
            <w:r>
              <w:rPr>
                <w:b/>
                <w:bCs/>
                <w:color w:val="FFFFFF"/>
                <w:sz w:val="19"/>
                <w:szCs w:val="19"/>
              </w:rPr>
              <w:t xml:space="preserve">Layer</w:t>
            </w:r>
          </w:p>
        </w:tc>
        <w:tc>
          <w:tcPr>
            <w:tcW w:type="dxa" w:w="2808"/>
            <w:shd w:fill="0E7C7B" w:color="auto" w:val="clear"/>
            <w:tcMar>
              <w:top w:type="dxa" w:w="80"/>
              <w:left w:type="dxa" w:w="100"/>
              <w:bottom w:type="dxa" w:w="80"/>
              <w:right w:type="dxa" w:w="100"/>
            </w:tcMar>
            <w:vAlign w:val="center"/>
          </w:tcPr>
          <w:p>
            <w:r>
              <w:rPr>
                <w:b/>
                <w:bCs/>
                <w:color w:val="FFFFFF"/>
                <w:sz w:val="19"/>
                <w:szCs w:val="19"/>
              </w:rPr>
              <w:t xml:space="preserve">Technology</w:t>
            </w:r>
          </w:p>
        </w:tc>
        <w:tc>
          <w:tcPr>
            <w:tcW w:type="dxa" w:w="4118"/>
            <w:shd w:fill="0E7C7B" w:color="auto" w:val="clear"/>
            <w:tcMar>
              <w:top w:type="dxa" w:w="80"/>
              <w:left w:type="dxa" w:w="100"/>
              <w:bottom w:type="dxa" w:w="80"/>
              <w:right w:type="dxa" w:w="100"/>
            </w:tcMar>
            <w:vAlign w:val="center"/>
          </w:tcPr>
          <w:p>
            <w:r>
              <w:rPr>
                <w:b/>
                <w:bCs/>
                <w:color w:val="FFFFFF"/>
                <w:sz w:val="19"/>
                <w:szCs w:val="19"/>
              </w:rPr>
              <w:t xml:space="preserve">Purpose</w:t>
            </w:r>
          </w:p>
        </w:tc>
      </w:tr>
      <w:tr>
        <w:tc>
          <w:tcPr>
            <w:tcW w:type="dxa" w:w="2434"/>
            <w:tcMar>
              <w:top w:type="dxa" w:w="80"/>
              <w:left w:type="dxa" w:w="100"/>
              <w:bottom w:type="dxa" w:w="80"/>
              <w:right w:type="dxa" w:w="100"/>
            </w:tcMar>
            <w:vAlign w:val="center"/>
          </w:tcPr>
          <w:p>
            <w:pPr>
              <w:spacing w:after="0"/>
            </w:pPr>
            <w:r>
              <w:rPr>
                <w:b w:val="false"/>
                <w:bCs w:val="false"/>
                <w:color w:val="12181C"/>
                <w:sz w:val="19"/>
                <w:szCs w:val="19"/>
              </w:rPr>
              <w:t xml:space="preserve">Judge-facing frontend</w:t>
            </w:r>
          </w:p>
        </w:tc>
        <w:tc>
          <w:tcPr>
            <w:tcW w:type="dxa" w:w="2808"/>
            <w:tcMar>
              <w:top w:type="dxa" w:w="80"/>
              <w:left w:type="dxa" w:w="100"/>
              <w:bottom w:type="dxa" w:w="80"/>
              <w:right w:type="dxa" w:w="100"/>
            </w:tcMar>
            <w:vAlign w:val="center"/>
          </w:tcPr>
          <w:p>
            <w:pPr>
              <w:spacing w:after="0"/>
            </w:pPr>
            <w:r>
              <w:rPr>
                <w:b w:val="false"/>
                <w:bCs w:val="false"/>
                <w:color w:val="12181C"/>
                <w:sz w:val="19"/>
                <w:szCs w:val="19"/>
              </w:rPr>
              <w:t xml:space="preserve">Custom HTML / CSS / JS</w:t>
            </w:r>
          </w:p>
        </w:tc>
        <w:tc>
          <w:tcPr>
            <w:tcW w:type="dxa" w:w="4118"/>
            <w:tcMar>
              <w:top w:type="dxa" w:w="80"/>
              <w:left w:type="dxa" w:w="100"/>
              <w:bottom w:type="dxa" w:w="80"/>
              <w:right w:type="dxa" w:w="100"/>
            </w:tcMar>
            <w:vAlign w:val="center"/>
          </w:tcPr>
          <w:p>
            <w:pPr>
              <w:spacing w:after="0"/>
            </w:pPr>
            <w:r>
              <w:rPr>
                <w:b w:val="false"/>
                <w:bCs w:val="false"/>
                <w:color w:val="12181C"/>
                <w:sz w:val="19"/>
                <w:szCs w:val="19"/>
              </w:rPr>
              <w:t xml:space="preserve">Two equal-weight result dials + explanation, per the design system</w:t>
            </w:r>
          </w:p>
        </w:tc>
      </w:tr>
      <w:tr>
        <w:tc>
          <w:tcPr>
            <w:tcW w:type="dxa" w:w="2434"/>
            <w:shd w:fill="F5F6F5" w:color="auto" w:val="clear"/>
            <w:tcMar>
              <w:top w:type="dxa" w:w="80"/>
              <w:left w:type="dxa" w:w="100"/>
              <w:bottom w:type="dxa" w:w="80"/>
              <w:right w:type="dxa" w:w="100"/>
            </w:tcMar>
            <w:vAlign w:val="center"/>
          </w:tcPr>
          <w:p>
            <w:pPr>
              <w:spacing w:after="0"/>
            </w:pPr>
            <w:r>
              <w:rPr>
                <w:b w:val="false"/>
                <w:bCs w:val="false"/>
                <w:color w:val="12181C"/>
                <w:sz w:val="19"/>
                <w:szCs w:val="19"/>
              </w:rPr>
              <w:t xml:space="preserve">Internal dev frontend</w:t>
            </w:r>
          </w:p>
        </w:tc>
        <w:tc>
          <w:tcPr>
            <w:tcW w:type="dxa" w:w="2808"/>
            <w:shd w:fill="F5F6F5" w:color="auto" w:val="clear"/>
            <w:tcMar>
              <w:top w:type="dxa" w:w="80"/>
              <w:left w:type="dxa" w:w="100"/>
              <w:bottom w:type="dxa" w:w="80"/>
              <w:right w:type="dxa" w:w="100"/>
            </w:tcMar>
            <w:vAlign w:val="center"/>
          </w:tcPr>
          <w:p>
            <w:pPr>
              <w:spacing w:after="0"/>
            </w:pPr>
            <w:r>
              <w:rPr>
                <w:b w:val="false"/>
                <w:bCs w:val="false"/>
                <w:color w:val="12181C"/>
                <w:sz w:val="19"/>
                <w:szCs w:val="19"/>
              </w:rPr>
              <w:t xml:space="preserve">Streamlit</w:t>
            </w:r>
          </w:p>
        </w:tc>
        <w:tc>
          <w:tcPr>
            <w:tcW w:type="dxa" w:w="4118"/>
            <w:shd w:fill="F5F6F5" w:color="auto" w:val="clear"/>
            <w:tcMar>
              <w:top w:type="dxa" w:w="80"/>
              <w:left w:type="dxa" w:w="100"/>
              <w:bottom w:type="dxa" w:w="80"/>
              <w:right w:type="dxa" w:w="100"/>
            </w:tcMar>
            <w:vAlign w:val="center"/>
          </w:tcPr>
          <w:p>
            <w:pPr>
              <w:spacing w:after="0"/>
            </w:pPr>
            <w:r>
              <w:rPr>
                <w:b w:val="false"/>
                <w:bCs w:val="false"/>
                <w:color w:val="12181C"/>
                <w:sz w:val="19"/>
                <w:szCs w:val="19"/>
              </w:rPr>
              <w:t xml:space="preserve">Fast iteration during development only</w:t>
            </w:r>
          </w:p>
        </w:tc>
      </w:tr>
      <w:tr>
        <w:tc>
          <w:tcPr>
            <w:tcW w:type="dxa" w:w="2434"/>
            <w:tcMar>
              <w:top w:type="dxa" w:w="80"/>
              <w:left w:type="dxa" w:w="100"/>
              <w:bottom w:type="dxa" w:w="80"/>
              <w:right w:type="dxa" w:w="100"/>
            </w:tcMar>
            <w:vAlign w:val="center"/>
          </w:tcPr>
          <w:p>
            <w:pPr>
              <w:spacing w:after="0"/>
            </w:pPr>
            <w:r>
              <w:rPr>
                <w:b w:val="false"/>
                <w:bCs w:val="false"/>
                <w:color w:val="12181C"/>
                <w:sz w:val="19"/>
                <w:szCs w:val="19"/>
              </w:rPr>
              <w:t xml:space="preserve">Backend API</w:t>
            </w:r>
          </w:p>
        </w:tc>
        <w:tc>
          <w:tcPr>
            <w:tcW w:type="dxa" w:w="2808"/>
            <w:tcMar>
              <w:top w:type="dxa" w:w="80"/>
              <w:left w:type="dxa" w:w="100"/>
              <w:bottom w:type="dxa" w:w="80"/>
              <w:right w:type="dxa" w:w="100"/>
            </w:tcMar>
            <w:vAlign w:val="center"/>
          </w:tcPr>
          <w:p>
            <w:pPr>
              <w:spacing w:after="0"/>
            </w:pPr>
            <w:r>
              <w:rPr>
                <w:b w:val="false"/>
                <w:bCs w:val="false"/>
                <w:color w:val="12181C"/>
                <w:sz w:val="19"/>
                <w:szCs w:val="19"/>
              </w:rPr>
              <w:t xml:space="preserve">FastAPI</w:t>
            </w:r>
          </w:p>
        </w:tc>
        <w:tc>
          <w:tcPr>
            <w:tcW w:type="dxa" w:w="4118"/>
            <w:tcMar>
              <w:top w:type="dxa" w:w="80"/>
              <w:left w:type="dxa" w:w="100"/>
              <w:bottom w:type="dxa" w:w="80"/>
              <w:right w:type="dxa" w:w="100"/>
            </w:tcMar>
            <w:vAlign w:val="center"/>
          </w:tcPr>
          <w:p>
            <w:pPr>
              <w:spacing w:after="0"/>
            </w:pPr>
            <w:r>
              <w:rPr>
                <w:b w:val="false"/>
                <w:bCs w:val="false"/>
                <w:color w:val="12181C"/>
                <w:sz w:val="19"/>
                <w:szCs w:val="19"/>
              </w:rPr>
              <w:t xml:space="preserve">Preprocessing, inference, explanation, benchmarking</w:t>
            </w:r>
          </w:p>
        </w:tc>
      </w:tr>
      <w:tr>
        <w:tc>
          <w:tcPr>
            <w:tcW w:type="dxa" w:w="2434"/>
            <w:shd w:fill="F5F6F5" w:color="auto" w:val="clear"/>
            <w:tcMar>
              <w:top w:type="dxa" w:w="80"/>
              <w:left w:type="dxa" w:w="100"/>
              <w:bottom w:type="dxa" w:w="80"/>
              <w:right w:type="dxa" w:w="100"/>
            </w:tcMar>
            <w:vAlign w:val="center"/>
          </w:tcPr>
          <w:p>
            <w:pPr>
              <w:spacing w:after="0"/>
            </w:pPr>
            <w:r>
              <w:rPr>
                <w:b w:val="false"/>
                <w:bCs w:val="false"/>
                <w:color w:val="12181C"/>
                <w:sz w:val="19"/>
                <w:szCs w:val="19"/>
              </w:rPr>
              <w:t xml:space="preserve">Quantum engine — variational</w:t>
            </w:r>
          </w:p>
        </w:tc>
        <w:tc>
          <w:tcPr>
            <w:tcW w:type="dxa" w:w="2808"/>
            <w:shd w:fill="F5F6F5" w:color="auto" w:val="clear"/>
            <w:tcMar>
              <w:top w:type="dxa" w:w="80"/>
              <w:left w:type="dxa" w:w="100"/>
              <w:bottom w:type="dxa" w:w="80"/>
              <w:right w:type="dxa" w:w="100"/>
            </w:tcMar>
            <w:vAlign w:val="center"/>
          </w:tcPr>
          <w:p>
            <w:pPr>
              <w:spacing w:after="0"/>
            </w:pPr>
            <w:r>
              <w:rPr>
                <w:b w:val="false"/>
                <w:bCs w:val="false"/>
                <w:color w:val="12181C"/>
                <w:sz w:val="19"/>
                <w:szCs w:val="19"/>
              </w:rPr>
              <w:t xml:space="preserve">PennyLane (lightning.qubit)</w:t>
            </w:r>
          </w:p>
        </w:tc>
        <w:tc>
          <w:tcPr>
            <w:tcW w:type="dxa" w:w="4118"/>
            <w:shd w:fill="F5F6F5" w:color="auto" w:val="clear"/>
            <w:tcMar>
              <w:top w:type="dxa" w:w="80"/>
              <w:left w:type="dxa" w:w="100"/>
              <w:bottom w:type="dxa" w:w="80"/>
              <w:right w:type="dxa" w:w="100"/>
            </w:tcMar>
            <w:vAlign w:val="center"/>
          </w:tcPr>
          <w:p>
            <w:pPr>
              <w:spacing w:after="0"/>
            </w:pPr>
            <w:r>
              <w:rPr>
                <w:b w:val="false"/>
                <w:bCs w:val="false"/>
                <w:color w:val="12181C"/>
                <w:sz w:val="19"/>
                <w:szCs w:val="19"/>
              </w:rPr>
              <w:t xml:space="preserve">4 VQCs with data re-uploading + weight re-mapping</w:t>
            </w:r>
          </w:p>
        </w:tc>
      </w:tr>
      <w:tr>
        <w:tc>
          <w:tcPr>
            <w:tcW w:type="dxa" w:w="2434"/>
            <w:tcMar>
              <w:top w:type="dxa" w:w="80"/>
              <w:left w:type="dxa" w:w="100"/>
              <w:bottom w:type="dxa" w:w="80"/>
              <w:right w:type="dxa" w:w="100"/>
            </w:tcMar>
            <w:vAlign w:val="center"/>
          </w:tcPr>
          <w:p>
            <w:pPr>
              <w:spacing w:after="0"/>
            </w:pPr>
            <w:r>
              <w:rPr>
                <w:b w:val="false"/>
                <w:bCs w:val="false"/>
                <w:color w:val="12181C"/>
                <w:sz w:val="19"/>
                <w:szCs w:val="19"/>
              </w:rPr>
              <w:t xml:space="preserve">Quantum engine — kernel</w:t>
            </w:r>
          </w:p>
        </w:tc>
        <w:tc>
          <w:tcPr>
            <w:tcW w:type="dxa" w:w="2808"/>
            <w:tcMar>
              <w:top w:type="dxa" w:w="80"/>
              <w:left w:type="dxa" w:w="100"/>
              <w:bottom w:type="dxa" w:w="80"/>
              <w:right w:type="dxa" w:w="100"/>
            </w:tcMar>
            <w:vAlign w:val="center"/>
          </w:tcPr>
          <w:p>
            <w:pPr>
              <w:spacing w:after="0"/>
            </w:pPr>
            <w:r>
              <w:rPr>
                <w:b w:val="false"/>
                <w:bCs w:val="false"/>
                <w:color w:val="12181C"/>
                <w:sz w:val="19"/>
                <w:szCs w:val="19"/>
              </w:rPr>
              <w:t xml:space="preserve">PennyLane + scikit-learn</w:t>
            </w:r>
          </w:p>
        </w:tc>
        <w:tc>
          <w:tcPr>
            <w:tcW w:type="dxa" w:w="4118"/>
            <w:tcMar>
              <w:top w:type="dxa" w:w="80"/>
              <w:left w:type="dxa" w:w="100"/>
              <w:bottom w:type="dxa" w:w="80"/>
              <w:right w:type="dxa" w:w="100"/>
            </w:tcMar>
            <w:vAlign w:val="center"/>
          </w:tcPr>
          <w:p>
            <w:pPr>
              <w:spacing w:after="0"/>
            </w:pPr>
            <w:r>
              <w:rPr>
                <w:b w:val="false"/>
                <w:bCs w:val="false"/>
                <w:color w:val="12181C"/>
                <w:sz w:val="19"/>
                <w:szCs w:val="19"/>
              </w:rPr>
              <w:t xml:space="preserve">2 quantum-kernel SVMs (PennyLane's own documented pattern)</w:t>
            </w:r>
          </w:p>
        </w:tc>
      </w:tr>
      <w:tr>
        <w:tc>
          <w:tcPr>
            <w:tcW w:type="dxa" w:w="2434"/>
            <w:shd w:fill="F5F6F5" w:color="auto" w:val="clear"/>
            <w:tcMar>
              <w:top w:type="dxa" w:w="80"/>
              <w:left w:type="dxa" w:w="100"/>
              <w:bottom w:type="dxa" w:w="80"/>
              <w:right w:type="dxa" w:w="100"/>
            </w:tcMar>
            <w:vAlign w:val="center"/>
          </w:tcPr>
          <w:p>
            <w:pPr>
              <w:spacing w:after="0"/>
            </w:pPr>
            <w:r>
              <w:rPr>
                <w:b w:val="false"/>
                <w:bCs w:val="false"/>
                <w:color w:val="12181C"/>
                <w:sz w:val="19"/>
                <w:szCs w:val="19"/>
              </w:rPr>
              <w:t xml:space="preserve">Classical ML</w:t>
            </w:r>
          </w:p>
        </w:tc>
        <w:tc>
          <w:tcPr>
            <w:tcW w:type="dxa" w:w="2808"/>
            <w:shd w:fill="F5F6F5" w:color="auto" w:val="clear"/>
            <w:tcMar>
              <w:top w:type="dxa" w:w="80"/>
              <w:left w:type="dxa" w:w="100"/>
              <w:bottom w:type="dxa" w:w="80"/>
              <w:right w:type="dxa" w:w="100"/>
            </w:tcMar>
            <w:vAlign w:val="center"/>
          </w:tcPr>
          <w:p>
            <w:pPr>
              <w:spacing w:after="0"/>
            </w:pPr>
            <w:r>
              <w:rPr>
                <w:b w:val="false"/>
                <w:bCs w:val="false"/>
                <w:color w:val="12181C"/>
                <w:sz w:val="19"/>
                <w:szCs w:val="19"/>
              </w:rPr>
              <w:t xml:space="preserve">scikit-learn, XGBoost</w:t>
            </w:r>
          </w:p>
        </w:tc>
        <w:tc>
          <w:tcPr>
            <w:tcW w:type="dxa" w:w="4118"/>
            <w:shd w:fill="F5F6F5" w:color="auto" w:val="clear"/>
            <w:tcMar>
              <w:top w:type="dxa" w:w="80"/>
              <w:left w:type="dxa" w:w="100"/>
              <w:bottom w:type="dxa" w:w="80"/>
              <w:right w:type="dxa" w:w="100"/>
            </w:tcMar>
            <w:vAlign w:val="center"/>
          </w:tcPr>
          <w:p>
            <w:pPr>
              <w:spacing w:after="0"/>
            </w:pPr>
            <w:r>
              <w:rPr>
                <w:b w:val="false"/>
                <w:bCs w:val="false"/>
                <w:color w:val="12181C"/>
                <w:sz w:val="19"/>
                <w:szCs w:val="19"/>
              </w:rPr>
              <w:t xml:space="preserve">Baselines and cross-validation</w:t>
            </w:r>
          </w:p>
        </w:tc>
      </w:tr>
      <w:tr>
        <w:tc>
          <w:tcPr>
            <w:tcW w:type="dxa" w:w="2434"/>
            <w:tcMar>
              <w:top w:type="dxa" w:w="80"/>
              <w:left w:type="dxa" w:w="100"/>
              <w:bottom w:type="dxa" w:w="80"/>
              <w:right w:type="dxa" w:w="100"/>
            </w:tcMar>
            <w:vAlign w:val="center"/>
          </w:tcPr>
          <w:p>
            <w:pPr>
              <w:spacing w:after="0"/>
            </w:pPr>
            <w:r>
              <w:rPr>
                <w:b w:val="false"/>
                <w:bCs w:val="false"/>
                <w:color w:val="12181C"/>
                <w:sz w:val="19"/>
                <w:szCs w:val="19"/>
              </w:rPr>
              <w:t xml:space="preserve">Explainability</w:t>
            </w:r>
          </w:p>
        </w:tc>
        <w:tc>
          <w:tcPr>
            <w:tcW w:type="dxa" w:w="2808"/>
            <w:tcMar>
              <w:top w:type="dxa" w:w="80"/>
              <w:left w:type="dxa" w:w="100"/>
              <w:bottom w:type="dxa" w:w="80"/>
              <w:right w:type="dxa" w:w="100"/>
            </w:tcMar>
            <w:vAlign w:val="center"/>
          </w:tcPr>
          <w:p>
            <w:pPr>
              <w:spacing w:after="0"/>
            </w:pPr>
            <w:r>
              <w:rPr>
                <w:b w:val="false"/>
                <w:bCs w:val="false"/>
                <w:color w:val="12181C"/>
                <w:sz w:val="19"/>
                <w:szCs w:val="19"/>
              </w:rPr>
              <w:t xml:space="preserve">SHAP, LIME</w:t>
            </w:r>
          </w:p>
        </w:tc>
        <w:tc>
          <w:tcPr>
            <w:tcW w:type="dxa" w:w="4118"/>
            <w:tcMar>
              <w:top w:type="dxa" w:w="80"/>
              <w:left w:type="dxa" w:w="100"/>
              <w:bottom w:type="dxa" w:w="80"/>
              <w:right w:type="dxa" w:w="100"/>
            </w:tcMar>
            <w:vAlign w:val="center"/>
          </w:tcPr>
          <w:p>
            <w:pPr>
              <w:spacing w:after="0"/>
            </w:pPr>
            <w:r>
              <w:rPr>
                <w:b w:val="false"/>
                <w:bCs w:val="false"/>
                <w:color w:val="12181C"/>
                <w:sz w:val="19"/>
                <w:szCs w:val="19"/>
              </w:rPr>
              <w:t xml:space="preserve">Feature attribution for every prediction, both paradigms</w:t>
            </w:r>
          </w:p>
        </w:tc>
      </w:tr>
    </w:tbl>
    <w:p>
      <w:pPr>
        <w:pStyle w:val="Heading2"/>
        <w:spacing w:after="140" w:before="320"/>
      </w:pPr>
      <w:r>
        <w:rPr>
          <w:b/>
          <w:bCs/>
          <w:color w:val="12181C"/>
          <w:sz w:val="24"/>
          <w:szCs w:val="24"/>
        </w:rPr>
        <w:t xml:space="preserve">Quantum model, in brief</w:t>
      </w:r>
    </w:p>
    <w:p>
      <w:pPr>
        <w:spacing w:after="160" w:line="276"/>
      </w:pPr>
      <w:r>
        <w:rPr>
          <w:b w:val="false"/>
          <w:bCs w:val="false"/>
          <w:i w:val="false"/>
          <w:iCs w:val="false"/>
          <w:color w:val="12181C"/>
          <w:sz w:val="21"/>
          <w:szCs w:val="21"/>
        </w:rPr>
        <w:t xml:space="preserve">Each VQC encodes 4 SELECTED features (real clinical measurements, not abstract PCA components — see below) as qubit rotation angles, re-uploading the encoding at every one of 2–3 variational layers (rather than once at the start) and mapping trainable weights through a periodic function before use — two published techniques verified here to genuinely improve accuracy. Each quantum-kernel SVM instead computes a similarity measure between patients using a quantum circuit, then hands that similarity matrix to a standard support vector machine — no iterative training loop required. Six such models (4 VQC + 2 kernel), varying in structure, are combined by weighting each model's vote by the inverse of its validation error. Full technical detail, including verified-working code patterns for both, is in architecture.md.</w:t>
      </w:r>
    </w:p>
    <w:p>
      <w:pPr>
        <w:pStyle w:val="Heading2"/>
        <w:spacing w:after="140" w:before="320"/>
      </w:pPr>
      <w:r>
        <w:rPr>
          <w:b/>
          <w:bCs/>
          <w:color w:val="12181C"/>
          <w:sz w:val="24"/>
          <w:szCs w:val="24"/>
        </w:rPr>
        <w:t xml:space="preserve">Feature selection, not PCA — and why that decision matters</w:t>
      </w:r>
    </w:p>
    <w:p>
      <w:pPr>
        <w:spacing w:after="160" w:line="276"/>
      </w:pPr>
      <w:r>
        <w:rPr>
          <w:b w:val="false"/>
          <w:bCs w:val="false"/>
          <w:i w:val="false"/>
          <w:iCs w:val="false"/>
          <w:color w:val="12181C"/>
          <w:sz w:val="21"/>
          <w:szCs w:val="21"/>
        </w:rPr>
        <w:t xml:space="preserve">The quantum path deliberately uses feature SELECTION (choosing 4 of the original 30 named measurements) rather than PCA (which would combine all 30 into 4 synthetic components with no clinical meaning). This does three things at once: it matches the problem statement's objective 5 wording literally (“feature selection,” not extraction); it means SHAP's explanations use real names — verified selections on this dataset were mean concave points, worst radius, worst perimeter, and worst concave points — rather than uninterpretable labels like “PC1”; and, measured directly, it slightly improved the quantum-kernel SVM's accuracy rather than costing anything.</w:t>
      </w:r>
    </w:p>
    <w:p>
      <w:pPr>
        <w:pStyle w:val="Heading2"/>
        <w:spacing w:after="140" w:before="320"/>
      </w:pPr>
      <w:r>
        <w:rPr>
          <w:b/>
          <w:bCs/>
          <w:color w:val="12181C"/>
          <w:sz w:val="24"/>
          <w:szCs w:val="24"/>
        </w:rPr>
        <w:t xml:space="preserve">A note on a bug we found and fixed</w:t>
      </w:r>
    </w:p>
    <w:p>
      <w:pPr>
        <w:spacing w:after="160" w:line="276"/>
      </w:pPr>
      <w:r>
        <w:rPr>
          <w:b w:val="false"/>
          <w:bCs w:val="false"/>
          <w:i w:val="false"/>
          <w:iCs w:val="false"/>
          <w:color w:val="12181C"/>
          <w:sz w:val="21"/>
          <w:szCs w:val="21"/>
        </w:rPr>
        <w:t xml:space="preserve">While preparing this blueprint, the originally sketched training code was actually executed, not just reviewed. It ran without any error — and trained nothing: the cost stayed frozen for 60 straight epochs due to a mismatch between a PyTorch interface flag and PennyLane's native optimizer. The fix was verified to work (cost dropped, test accuracy reached 86% in a 60-epoch smoke test). A second, independent review pass found four more real defects: a weight-indexing collision between circuit layers, an amplitude-embedding qubit count that would have failed outright, a classical-model comparison that wasn't apples-to-apples, and a dataset label convention (0=malignant, 1=benign) that's easy to invert silently since accuracy metrics look identical either way. All four are fixed and each now has an explicit regression test. Full detail on every one is recorded in decisions.md so the team builds from the corrected version, not any earlier sketch.</w:t>
      </w:r>
    </w:p>
    <w:p>
      <w:pPr>
        <w:pStyle w:val="Heading2"/>
        <w:spacing w:after="140" w:before="320"/>
      </w:pPr>
      <w:r>
        <w:rPr>
          <w:b/>
          <w:bCs/>
          <w:color w:val="12181C"/>
          <w:sz w:val="24"/>
          <w:szCs w:val="24"/>
        </w:rPr>
        <w:t xml:space="preserve">What the judge-facing screen actually looks like</w:t>
      </w:r>
    </w:p>
    <w:p>
      <w:pPr>
        <w:spacing w:after="160" w:line="276"/>
      </w:pPr>
      <w:r>
        <w:rPr>
          <w:b w:val="false"/>
          <w:bCs w:val="false"/>
          <w:i w:val="false"/>
          <w:iCs w:val="false"/>
          <w:color w:val="12181C"/>
          <w:sz w:val="21"/>
          <w:szCs w:val="21"/>
        </w:rPr>
        <w:t xml:space="preserve">A rendered mockup of the results screen was produced alongside this document: a thin circuit-rail progress indicator across the top (Data → Select → Model → Explain), two equal-sized measurement-dial gauges side by side — quantum in indigo, classical in teal — each showing a label and confidence reading, and a compact panel beneath listing the top features behind the prediction as horizontal bars, using real selected feature names. Every element maps to a real, working piece of the pipeline described in this document; nothing in the mockup is aspirational beyond what architecture.md specifies. One measured detail worth planning around: the prediction itself returns in under two seconds, but a full explanation that includes the quantum-kernel model takes closer to a minute — the interface defaults to a fast explanation and offers the fuller one as a clearly-labeled, slower option, rather than making every demo click wait.</w:t>
      </w:r>
    </w:p>
    <w:p>
      <w:pPr>
        <w:pStyle w:val="Heading1"/>
        <w:pBdr>
          <w:bottom w:val="single" w:color="0E7C7B" w:sz="12" w:space="4"/>
        </w:pBdr>
        <w:spacing w:after="200" w:before="480"/>
      </w:pPr>
      <w:r>
        <w:rPr>
          <w:b/>
          <w:bCs/>
          <w:color w:val="0E7C7B"/>
          <w:sz w:val="30"/>
          <w:szCs w:val="30"/>
        </w:rPr>
        <w:t xml:space="preserve">4. Research Grounding &amp; Feasibility</w:t>
      </w:r>
    </w:p>
    <w:p>
      <w:pPr>
        <w:spacing w:after="160" w:line="276"/>
      </w:pPr>
      <w:r>
        <w:rPr>
          <w:b w:val="false"/>
          <w:bCs w:val="false"/>
          <w:i w:val="false"/>
          <w:iCs w:val="false"/>
          <w:color w:val="12181C"/>
          <w:sz w:val="21"/>
          <w:szCs w:val="21"/>
        </w:rPr>
        <w:t xml:space="preserve">Before adopting any published figure, we independently checked it rather than taking the original concept draft's citation list at face value — a meaningful share of AI-assisted research summaries carry approximate or unverifiable citations, and presenting one to a judge that doesn't hold up is a bigger credibility risk than not citing a number at all.</w:t>
      </w:r>
    </w:p>
    <w:p>
      <w:pPr>
        <w:pStyle w:val="Heading2"/>
        <w:spacing w:after="140" w:before="320"/>
      </w:pPr>
      <w:r>
        <w:rPr>
          <w:b/>
          <w:bCs/>
          <w:color w:val="12181C"/>
          <w:sz w:val="24"/>
          <w:szCs w:val="24"/>
        </w:rPr>
        <w:t xml:space="preserve">Checked and corroborated</w:t>
      </w:r>
    </w:p>
    <w:p>
      <w:pPr>
        <w:pStyle w:val="ListParagraph"/>
        <w:numPr>
          <w:ilvl w:val="0"/>
          <w:numId w:val="2"/>
        </w:numPr>
        <w:spacing w:after="80" w:line="276"/>
      </w:pPr>
      <w:r>
        <w:rPr>
          <w:color w:val="12181C"/>
          <w:sz w:val="21"/>
          <w:szCs w:val="21"/>
        </w:rPr>
        <w:t xml:space="preserve">Independent published results on this exact dataset report VQC accuracy in the roughly 94–96% range — consistent with, not exceeding, classical baselines on the same data.</w:t>
      </w:r>
    </w:p>
    <w:p>
      <w:pPr>
        <w:pStyle w:val="ListParagraph"/>
        <w:numPr>
          <w:ilvl w:val="0"/>
          <w:numId w:val="2"/>
        </w:numPr>
        <w:spacing w:after="80" w:line="276"/>
      </w:pPr>
      <w:r>
        <w:rPr>
          <w:color w:val="12181C"/>
          <w:sz w:val="21"/>
          <w:szCs w:val="21"/>
        </w:rPr>
        <w:t xml:space="preserve">“Q RadFusion,” a real 2025 preprint fusing mammography and genomic data via a VQC and QAOA-based feature selection, reports an AUC of 0.96 and 94% accuracy — matching the figures cited for it.</w:t>
      </w:r>
    </w:p>
    <w:p>
      <w:pPr>
        <w:pStyle w:val="ListParagraph"/>
        <w:numPr>
          <w:ilvl w:val="0"/>
          <w:numId w:val="2"/>
        </w:numPr>
        <w:spacing w:after="80" w:line="276"/>
      </w:pPr>
      <w:r>
        <w:rPr>
          <w:color w:val="12181C"/>
          <w:sz w:val="21"/>
          <w:szCs w:val="21"/>
        </w:rPr>
        <w:t xml:space="preserve">Published work on data re-uploading (Pérez-Salinas et al. and follow-on studies) and weight re-mapping (Kölle et al.) both report real accuracy and convergence gains from these techniques on benchmark datasets; we independently re-verified the effect on our own dataset rather than taking the literature's word for it — see below.</w:t>
      </w:r>
    </w:p>
    <w:p>
      <w:pPr>
        <w:pStyle w:val="ListParagraph"/>
        <w:numPr>
          <w:ilvl w:val="0"/>
          <w:numId w:val="2"/>
        </w:numPr>
        <w:spacing w:after="80" w:line="276"/>
      </w:pPr>
      <w:r>
        <w:rPr>
          <w:color w:val="12181C"/>
          <w:sz w:val="21"/>
          <w:szCs w:val="21"/>
        </w:rPr>
        <w:t xml:space="preserve">Multiple independent studies note that quantum kernel methods (QSVM) are particularly well suited to small datasets — directly relevant here, since the benchmark dataset is only 569 patients.</w:t>
      </w:r>
    </w:p>
    <w:p>
      <w:pPr>
        <w:pStyle w:val="ListParagraph"/>
        <w:numPr>
          <w:ilvl w:val="0"/>
          <w:numId w:val="2"/>
        </w:numPr>
        <w:spacing w:after="80" w:line="276"/>
      </w:pPr>
      <w:r>
        <w:rPr>
          <w:color w:val="12181C"/>
          <w:sz w:val="21"/>
          <w:szCs w:val="21"/>
        </w:rPr>
        <w:t xml:space="preserve">A hybrid QSVM→QNN(VQC) methodology on this exact dataset appears in a peer-reviewed-track publication (PeerJ Computer Science, March 2026) — independent confirmation that combining these two quantum paradigms here is an active, credible published approach, not just this project's own idea.</w:t>
      </w:r>
    </w:p>
    <w:p>
      <w:pPr>
        <w:pStyle w:val="Heading2"/>
        <w:spacing w:after="140" w:before="320"/>
      </w:pPr>
      <w:r>
        <w:rPr>
          <w:b/>
          <w:bCs/>
          <w:color w:val="12181C"/>
          <w:sz w:val="24"/>
          <w:szCs w:val="24"/>
        </w:rPr>
        <w:t xml:space="preserve">Verified with our own test runs, not just cited</w:t>
      </w:r>
    </w:p>
    <w:p>
      <w:pPr>
        <w:pStyle w:val="ListParagraph"/>
        <w:numPr>
          <w:ilvl w:val="0"/>
          <w:numId w:val="2"/>
        </w:numPr>
        <w:spacing w:after="80" w:line="276"/>
      </w:pPr>
      <w:r>
        <w:rPr>
          <w:color w:val="12181C"/>
          <w:sz w:val="21"/>
          <w:szCs w:val="21"/>
        </w:rPr>
        <w:t xml:space="preserve">A quantum-kernel SVM, implemented using PennyLane's own documented pattern, reached 95.6% test accuracy on the benchmark dataset in our sandbox — the strongest quantum result in this project so far, and the closest to classical performance.</w:t>
      </w:r>
    </w:p>
    <w:p>
      <w:pPr>
        <w:pStyle w:val="ListParagraph"/>
        <w:numPr>
          <w:ilvl w:val="0"/>
          <w:numId w:val="2"/>
        </w:numPr>
        <w:spacing w:after="80" w:line="276"/>
      </w:pPr>
      <w:r>
        <w:rPr>
          <w:color w:val="12181C"/>
          <w:sz w:val="21"/>
          <w:szCs w:val="21"/>
        </w:rPr>
        <w:t xml:space="preserve">A VQC upgraded with data re-uploading and weight re-mapping reached ~93% accuracy versus ~92% for the simpler original design, trained head-to-head on identical data and settings — a modest, real, honestly-reported gain, not a dramatic one.</w:t>
      </w:r>
    </w:p>
    <w:p>
      <w:pPr>
        <w:pStyle w:val="Heading2"/>
        <w:spacing w:after="140" w:before="320"/>
      </w:pPr>
      <w:r>
        <w:rPr>
          <w:b/>
          <w:bCs/>
          <w:color w:val="12181C"/>
          <w:sz w:val="24"/>
          <w:szCs w:val="24"/>
        </w:rPr>
        <w:t xml:space="preserve">A second review pass, and what it found</w:t>
      </w:r>
    </w:p>
    <w:p>
      <w:pPr>
        <w:spacing w:after="160" w:line="276"/>
      </w:pPr>
      <w:r>
        <w:rPr>
          <w:b w:val="false"/>
          <w:bCs w:val="false"/>
          <w:i w:val="false"/>
          <w:iCs w:val="false"/>
          <w:color w:val="12181C"/>
          <w:sz w:val="21"/>
          <w:szCs w:val="21"/>
        </w:rPr>
        <w:t xml:space="preserve">A further independent check of this project's own design — not just the original source document — surfaced a genuinely important issue: classical baselines were being compared against quantum models on unequal terms, 30 input features versus 4. Retraining a classical model on the identical 4 features the quantum models see dropped its accuracy from 98.25% to 92.98% — tied with the VQC on those same features. Both comparisons are now reported together, always. The same review also caught that the pipeline extracted features via PCA rather than selecting them, which conflicted with the problem statement's literal wording (“feature selection”) and with this project's own requirement that SHAP output be clinically readable; switching to genuine feature selection fixed both issues and is what produced the 95.6% figure above.</w:t>
      </w:r>
    </w:p>
    <w:p>
      <w:pPr>
        <w:pStyle w:val="Heading2"/>
        <w:spacing w:after="140" w:before="320"/>
      </w:pPr>
      <w:r>
        <w:rPr>
          <w:b/>
          <w:bCs/>
          <w:color w:val="12181C"/>
          <w:sz w:val="24"/>
          <w:szCs w:val="24"/>
        </w:rPr>
        <w:t xml:space="preserve">Not independently verifiable in the form originally cited</w:t>
      </w:r>
    </w:p>
    <w:p>
      <w:pPr>
        <w:pStyle w:val="ListParagraph"/>
        <w:numPr>
          <w:ilvl w:val="0"/>
          <w:numId w:val="2"/>
        </w:numPr>
        <w:spacing w:after="80" w:line="276"/>
      </w:pPr>
      <w:r>
        <w:rPr>
          <w:color w:val="12181C"/>
          <w:sz w:val="21"/>
          <w:szCs w:val="21"/>
        </w:rPr>
        <w:t xml:space="preserve">A specific “95.71–96.43%” ensemble figure, a “99% recall” claim, and “100% accuracy” claims attributed to specific studies could not be traced to a checkable source (author / venue / DOI) in the form given.</w:t>
      </w:r>
    </w:p>
    <w:p>
      <w:pPr>
        <w:pStyle w:val="ListParagraph"/>
        <w:numPr>
          <w:ilvl w:val="0"/>
          <w:numId w:val="2"/>
        </w:numPr>
        <w:spacing w:after="80" w:line="276"/>
      </w:pPr>
      <w:r>
        <w:rPr>
          <w:color w:val="12181C"/>
          <w:sz w:val="21"/>
          <w:szCs w:val="21"/>
        </w:rPr>
        <w:t xml:space="preserve">100%-accuracy claims on small medical datasets are, on their own, a known overfitting red flag rather than a strong result — worth treating with skepticism regardless of citation.</w:t>
      </w:r>
    </w:p>
    <w:p>
      <w:pPr>
        <w:spacing w:after="160" w:line="276"/>
      </w:pPr>
      <w:r>
        <w:rPr>
          <w:b w:val="false"/>
          <w:bCs w:val="false"/>
          <w:i w:val="false"/>
          <w:iCs w:val="false"/>
          <w:color w:val="12181C"/>
          <w:sz w:val="21"/>
          <w:szCs w:val="21"/>
        </w:rPr>
        <w:t xml:space="preserve">Working policy going forward: nothing goes on a slide or in this document unless a team member has personally opened the source. Where a figure couldn't be verified, it is stated as a range (“prior work reports accuracy in the low-to-mid 90s”) rather than a fabricated-looking precise number. Full policy in decisions.md, item D-08.</w:t>
      </w:r>
    </w:p>
    <w:p>
      <w:pPr>
        <w:pStyle w:val="Heading2"/>
        <w:spacing w:after="140" w:before="320"/>
      </w:pPr>
      <w:r>
        <w:rPr>
          <w:b/>
          <w:bCs/>
          <w:color w:val="12181C"/>
          <w:sz w:val="24"/>
          <w:szCs w:val="24"/>
        </w:rPr>
        <w:t xml:space="preserve">The honest “why quantum” answer</w:t>
      </w:r>
    </w:p>
    <w:p>
      <w:pPr>
        <w:spacing w:after="160" w:line="276"/>
      </w:pPr>
      <w:r>
        <w:rPr>
          <w:b w:val="false"/>
          <w:bCs w:val="false"/>
          <w:i w:val="false"/>
          <w:iCs w:val="false"/>
          <w:color w:val="12181C"/>
          <w:sz w:val="21"/>
          <w:szCs w:val="21"/>
        </w:rPr>
        <w:t xml:space="preserve">Classical models still lead when using all available information (98.25% on all 30 features), but when the comparison is made fair — same 4 features on both sides — classical and quantum are statistically tied (both ~93%). This project does not claim to beat classical outright. Its case is that it delivers the hybrid, interpretable, rigorously-benchmarked system the problem statement explicitly asks for, spanning both quantum paradigms it names, benchmarked honestly in both directions — which is a more defensible position under technical questioning than either an unsupported superiority claim or an unfairly-stacked comparison would be.</w:t>
      </w:r>
    </w:p>
    <w:p>
      <w:pPr>
        <w:pStyle w:val="Heading1"/>
        <w:pBdr>
          <w:bottom w:val="single" w:color="0E7C7B" w:sz="12" w:space="4"/>
        </w:pBdr>
        <w:spacing w:after="200" w:before="480"/>
      </w:pPr>
      <w:r>
        <w:rPr>
          <w:b/>
          <w:bCs/>
          <w:color w:val="0E7C7B"/>
          <w:sz w:val="30"/>
          <w:szCs w:val="30"/>
        </w:rPr>
        <w:t xml:space="preserve">5. Roadmap Summary</w:t>
      </w:r>
    </w:p>
    <w:p>
      <w:pPr>
        <w:spacing w:after="160" w:line="276"/>
      </w:pPr>
      <w:r>
        <w:rPr>
          <w:b w:val="false"/>
          <w:bCs w:val="false"/>
          <w:i w:val="false"/>
          <w:iCs w:val="false"/>
          <w:color w:val="12181C"/>
          <w:sz w:val="21"/>
          <w:szCs w:val="21"/>
        </w:rPr>
        <w:t xml:space="preserve">Full detail, exit criteria, and cut-lines are in roadmap.md. Summary below, mapped to the real SIH 2026 calendar (launched Aug 21, 2026; SIH26139's internal-round deadline is Sept 20, 2026; national screening in October; Grand Finale in December).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3744"/>
        <w:gridCol w:w="4306"/>
      </w:tblGrid>
      <w:tr>
        <w:trPr>
          <w:tblHeader/>
        </w:trPr>
        <w:tc>
          <w:tcPr>
            <w:tcW w:type="dxa" w:w="1310"/>
            <w:shd w:fill="0E7C7B" w:color="auto" w:val="clear"/>
            <w:tcMar>
              <w:top w:type="dxa" w:w="80"/>
              <w:left w:type="dxa" w:w="100"/>
              <w:bottom w:type="dxa" w:w="80"/>
              <w:right w:type="dxa" w:w="100"/>
            </w:tcMar>
            <w:vAlign w:val="center"/>
          </w:tcPr>
          <w:p>
            <w:r>
              <w:rPr>
                <w:b/>
                <w:bCs/>
                <w:color w:val="FFFFFF"/>
                <w:sz w:val="19"/>
                <w:szCs w:val="19"/>
              </w:rPr>
              <w:t xml:space="preserve">Phase</w:t>
            </w:r>
          </w:p>
        </w:tc>
        <w:tc>
          <w:tcPr>
            <w:tcW w:type="dxa" w:w="3744"/>
            <w:shd w:fill="0E7C7B" w:color="auto" w:val="clear"/>
            <w:tcMar>
              <w:top w:type="dxa" w:w="80"/>
              <w:left w:type="dxa" w:w="100"/>
              <w:bottom w:type="dxa" w:w="80"/>
              <w:right w:type="dxa" w:w="100"/>
            </w:tcMar>
            <w:vAlign w:val="center"/>
          </w:tcPr>
          <w:p>
            <w:r>
              <w:rPr>
                <w:b/>
                <w:bCs/>
                <w:color w:val="FFFFFF"/>
                <w:sz w:val="19"/>
                <w:szCs w:val="19"/>
              </w:rPr>
              <w:t xml:space="preserve">Focus</w:t>
            </w:r>
          </w:p>
        </w:tc>
        <w:tc>
          <w:tcPr>
            <w:tcW w:type="dxa" w:w="4306"/>
            <w:shd w:fill="0E7C7B" w:color="auto" w:val="clear"/>
            <w:tcMar>
              <w:top w:type="dxa" w:w="80"/>
              <w:left w:type="dxa" w:w="100"/>
              <w:bottom w:type="dxa" w:w="80"/>
              <w:right w:type="dxa" w:w="100"/>
            </w:tcMar>
            <w:vAlign w:val="center"/>
          </w:tcPr>
          <w:p>
            <w:r>
              <w:rPr>
                <w:b/>
                <w:bCs/>
                <w:color w:val="FFFFFF"/>
                <w:sz w:val="19"/>
                <w:szCs w:val="19"/>
              </w:rPr>
              <w:t xml:space="preserve">Exit criteria</w:t>
            </w:r>
          </w:p>
        </w:tc>
      </w:tr>
      <w:tr>
        <w:tc>
          <w:tcPr>
            <w:tcW w:type="dxa" w:w="1310"/>
            <w:tcMar>
              <w:top w:type="dxa" w:w="80"/>
              <w:left w:type="dxa" w:w="100"/>
              <w:bottom w:type="dxa" w:w="80"/>
              <w:right w:type="dxa" w:w="100"/>
            </w:tcMar>
            <w:vAlign w:val="center"/>
          </w:tcPr>
          <w:p>
            <w:pPr>
              <w:spacing w:after="0"/>
            </w:pPr>
            <w:r>
              <w:rPr>
                <w:b w:val="false"/>
                <w:bCs w:val="false"/>
                <w:color w:val="12181C"/>
                <w:sz w:val="19"/>
                <w:szCs w:val="19"/>
              </w:rPr>
              <w:t xml:space="preserve">0</w:t>
            </w:r>
          </w:p>
        </w:tc>
        <w:tc>
          <w:tcPr>
            <w:tcW w:type="dxa" w:w="3744"/>
            <w:tcMar>
              <w:top w:type="dxa" w:w="80"/>
              <w:left w:type="dxa" w:w="100"/>
              <w:bottom w:type="dxa" w:w="80"/>
              <w:right w:type="dxa" w:w="100"/>
            </w:tcMar>
            <w:vAlign w:val="center"/>
          </w:tcPr>
          <w:p>
            <w:pPr>
              <w:spacing w:after="0"/>
            </w:pPr>
            <w:r>
              <w:rPr>
                <w:b w:val="false"/>
                <w:bCs w:val="false"/>
                <w:color w:val="12181C"/>
                <w:sz w:val="19"/>
                <w:szCs w:val="19"/>
              </w:rPr>
              <w:t xml:space="preserve">Setup</w:t>
            </w:r>
          </w:p>
        </w:tc>
        <w:tc>
          <w:tcPr>
            <w:tcW w:type="dxa" w:w="4306"/>
            <w:tcMar>
              <w:top w:type="dxa" w:w="80"/>
              <w:left w:type="dxa" w:w="100"/>
              <w:bottom w:type="dxa" w:w="80"/>
              <w:right w:type="dxa" w:w="100"/>
            </w:tcMar>
            <w:vAlign w:val="center"/>
          </w:tcPr>
          <w:p>
            <w:pPr>
              <w:spacing w:after="0"/>
            </w:pPr>
            <w:r>
              <w:rPr>
                <w:b w:val="false"/>
                <w:bCs w:val="false"/>
                <w:color w:val="12181C"/>
                <w:sz w:val="19"/>
                <w:szCs w:val="19"/>
              </w:rPr>
              <w:t xml:space="preserve">Environment installs cleanly from requirements.txt</w:t>
            </w:r>
          </w:p>
        </w:tc>
      </w:tr>
      <w:tr>
        <w:tc>
          <w:tcPr>
            <w:tcW w:type="dxa" w:w="1310"/>
            <w:shd w:fill="F5F6F5" w:color="auto" w:val="clear"/>
            <w:tcMar>
              <w:top w:type="dxa" w:w="80"/>
              <w:left w:type="dxa" w:w="100"/>
              <w:bottom w:type="dxa" w:w="80"/>
              <w:right w:type="dxa" w:w="100"/>
            </w:tcMar>
            <w:vAlign w:val="center"/>
          </w:tcPr>
          <w:p>
            <w:pPr>
              <w:spacing w:after="0"/>
            </w:pPr>
            <w:r>
              <w:rPr>
                <w:b w:val="false"/>
                <w:bCs w:val="false"/>
                <w:color w:val="12181C"/>
                <w:sz w:val="19"/>
                <w:szCs w:val="19"/>
              </w:rPr>
              <w:t xml:space="preserve">1 (Days 1–2)</w:t>
            </w:r>
          </w:p>
        </w:tc>
        <w:tc>
          <w:tcPr>
            <w:tcW w:type="dxa" w:w="3744"/>
            <w:shd w:fill="F5F6F5" w:color="auto" w:val="clear"/>
            <w:tcMar>
              <w:top w:type="dxa" w:w="80"/>
              <w:left w:type="dxa" w:w="100"/>
              <w:bottom w:type="dxa" w:w="80"/>
              <w:right w:type="dxa" w:w="100"/>
            </w:tcMar>
            <w:vAlign w:val="center"/>
          </w:tcPr>
          <w:p>
            <w:pPr>
              <w:spacing w:after="0"/>
            </w:pPr>
            <w:r>
              <w:rPr>
                <w:b w:val="false"/>
                <w:bCs w:val="false"/>
                <w:color w:val="12181C"/>
                <w:sz w:val="19"/>
                <w:szCs w:val="19"/>
              </w:rPr>
              <w:t xml:space="preserve">Core VQC + baselines</w:t>
            </w:r>
          </w:p>
        </w:tc>
        <w:tc>
          <w:tcPr>
            <w:tcW w:type="dxa" w:w="4306"/>
            <w:shd w:fill="F5F6F5" w:color="auto" w:val="clear"/>
            <w:tcMar>
              <w:top w:type="dxa" w:w="80"/>
              <w:left w:type="dxa" w:w="100"/>
              <w:bottom w:type="dxa" w:w="80"/>
              <w:right w:type="dxa" w:w="100"/>
            </w:tcMar>
            <w:vAlign w:val="center"/>
          </w:tcPr>
          <w:p>
            <w:pPr>
              <w:spacing w:after="0"/>
            </w:pPr>
            <w:r>
              <w:rPr>
                <w:b w:val="false"/>
                <w:bCs w:val="false"/>
                <w:color w:val="12181C"/>
                <w:sz w:val="19"/>
                <w:szCs w:val="19"/>
              </w:rPr>
              <w:t xml:space="preserve">Cost curve decreases; accuracy in a plausible range</w:t>
            </w:r>
          </w:p>
        </w:tc>
      </w:tr>
      <w:tr>
        <w:tc>
          <w:tcPr>
            <w:tcW w:type="dxa" w:w="1310"/>
            <w:tcMar>
              <w:top w:type="dxa" w:w="80"/>
              <w:left w:type="dxa" w:w="100"/>
              <w:bottom w:type="dxa" w:w="80"/>
              <w:right w:type="dxa" w:w="100"/>
            </w:tcMar>
            <w:vAlign w:val="center"/>
          </w:tcPr>
          <w:p>
            <w:pPr>
              <w:spacing w:after="0"/>
            </w:pPr>
            <w:r>
              <w:rPr>
                <w:b w:val="false"/>
                <w:bCs w:val="false"/>
                <w:color w:val="12181C"/>
                <w:sz w:val="19"/>
                <w:szCs w:val="19"/>
              </w:rPr>
              <w:t xml:space="preserve">2 (Days 3–4)</w:t>
            </w:r>
          </w:p>
        </w:tc>
        <w:tc>
          <w:tcPr>
            <w:tcW w:type="dxa" w:w="3744"/>
            <w:tcMar>
              <w:top w:type="dxa" w:w="80"/>
              <w:left w:type="dxa" w:w="100"/>
              <w:bottom w:type="dxa" w:w="80"/>
              <w:right w:type="dxa" w:w="100"/>
            </w:tcMar>
            <w:vAlign w:val="center"/>
          </w:tcPr>
          <w:p>
            <w:pPr>
              <w:spacing w:after="0"/>
            </w:pPr>
            <w:r>
              <w:rPr>
                <w:b w:val="false"/>
                <w:bCs w:val="false"/>
                <w:color w:val="12181C"/>
                <w:sz w:val="19"/>
                <w:szCs w:val="19"/>
              </w:rPr>
              <w:t xml:space="preserve">6-model ensemble: 4 VQC + 2 QSVM</w:t>
            </w:r>
          </w:p>
        </w:tc>
        <w:tc>
          <w:tcPr>
            <w:tcW w:type="dxa" w:w="4306"/>
            <w:tcMar>
              <w:top w:type="dxa" w:w="80"/>
              <w:left w:type="dxa" w:w="100"/>
              <w:bottom w:type="dxa" w:w="80"/>
              <w:right w:type="dxa" w:w="100"/>
            </w:tcMar>
            <w:vAlign w:val="center"/>
          </w:tcPr>
          <w:p>
            <w:pPr>
              <w:spacing w:after="0"/>
            </w:pPr>
            <w:r>
              <w:rPr>
                <w:b w:val="false"/>
                <w:bCs w:val="false"/>
                <w:color w:val="12181C"/>
                <w:sz w:val="19"/>
                <w:szCs w:val="19"/>
              </w:rPr>
              <w:t xml:space="preserve">Ensemble ≥ best single model, both paradigms represented</w:t>
            </w:r>
          </w:p>
        </w:tc>
      </w:tr>
      <w:tr>
        <w:tc>
          <w:tcPr>
            <w:tcW w:type="dxa" w:w="1310"/>
            <w:shd w:fill="F5F6F5" w:color="auto" w:val="clear"/>
            <w:tcMar>
              <w:top w:type="dxa" w:w="80"/>
              <w:left w:type="dxa" w:w="100"/>
              <w:bottom w:type="dxa" w:w="80"/>
              <w:right w:type="dxa" w:w="100"/>
            </w:tcMar>
            <w:vAlign w:val="center"/>
          </w:tcPr>
          <w:p>
            <w:pPr>
              <w:spacing w:after="0"/>
            </w:pPr>
            <w:r>
              <w:rPr>
                <w:b w:val="false"/>
                <w:bCs w:val="false"/>
                <w:color w:val="12181C"/>
                <w:sz w:val="19"/>
                <w:szCs w:val="19"/>
              </w:rPr>
              <w:t xml:space="preserve">3 (Day 5)</w:t>
            </w:r>
          </w:p>
        </w:tc>
        <w:tc>
          <w:tcPr>
            <w:tcW w:type="dxa" w:w="3744"/>
            <w:shd w:fill="F5F6F5" w:color="auto" w:val="clear"/>
            <w:tcMar>
              <w:top w:type="dxa" w:w="80"/>
              <w:left w:type="dxa" w:w="100"/>
              <w:bottom w:type="dxa" w:w="80"/>
              <w:right w:type="dxa" w:w="100"/>
            </w:tcMar>
            <w:vAlign w:val="center"/>
          </w:tcPr>
          <w:p>
            <w:pPr>
              <w:spacing w:after="0"/>
            </w:pPr>
            <w:r>
              <w:rPr>
                <w:b w:val="false"/>
                <w:bCs w:val="false"/>
                <w:color w:val="12181C"/>
                <w:sz w:val="19"/>
                <w:szCs w:val="19"/>
              </w:rPr>
              <w:t xml:space="preserve">SHAP + LIME</w:t>
            </w:r>
          </w:p>
        </w:tc>
        <w:tc>
          <w:tcPr>
            <w:tcW w:type="dxa" w:w="4306"/>
            <w:shd w:fill="F5F6F5" w:color="auto" w:val="clear"/>
            <w:tcMar>
              <w:top w:type="dxa" w:w="80"/>
              <w:left w:type="dxa" w:w="100"/>
              <w:bottom w:type="dxa" w:w="80"/>
              <w:right w:type="dxa" w:w="100"/>
            </w:tcMar>
            <w:vAlign w:val="center"/>
          </w:tcPr>
          <w:p>
            <w:pPr>
              <w:spacing w:after="0"/>
            </w:pPr>
            <w:r>
              <w:rPr>
                <w:b w:val="false"/>
                <w:bCs w:val="false"/>
                <w:color w:val="12181C"/>
                <w:sz w:val="19"/>
                <w:szCs w:val="19"/>
              </w:rPr>
              <w:t xml:space="preserve">Attributions match clinically plausible features</w:t>
            </w:r>
          </w:p>
        </w:tc>
      </w:tr>
      <w:tr>
        <w:tc>
          <w:tcPr>
            <w:tcW w:type="dxa" w:w="1310"/>
            <w:tcMar>
              <w:top w:type="dxa" w:w="80"/>
              <w:left w:type="dxa" w:w="100"/>
              <w:bottom w:type="dxa" w:w="80"/>
              <w:right w:type="dxa" w:w="100"/>
            </w:tcMar>
            <w:vAlign w:val="center"/>
          </w:tcPr>
          <w:p>
            <w:pPr>
              <w:spacing w:after="0"/>
            </w:pPr>
            <w:r>
              <w:rPr>
                <w:b w:val="false"/>
                <w:bCs w:val="false"/>
                <w:color w:val="12181C"/>
                <w:sz w:val="19"/>
                <w:szCs w:val="19"/>
              </w:rPr>
              <w:t xml:space="preserve">4–5 (Days 6–9)</w:t>
            </w:r>
          </w:p>
        </w:tc>
        <w:tc>
          <w:tcPr>
            <w:tcW w:type="dxa" w:w="3744"/>
            <w:tcMar>
              <w:top w:type="dxa" w:w="80"/>
              <w:left w:type="dxa" w:w="100"/>
              <w:bottom w:type="dxa" w:w="80"/>
              <w:right w:type="dxa" w:w="100"/>
            </w:tcMar>
            <w:vAlign w:val="center"/>
          </w:tcPr>
          <w:p>
            <w:pPr>
              <w:spacing w:after="0"/>
            </w:pPr>
            <w:r>
              <w:rPr>
                <w:b w:val="false"/>
                <w:bCs w:val="false"/>
                <w:color w:val="12181C"/>
                <w:sz w:val="19"/>
                <w:szCs w:val="19"/>
              </w:rPr>
              <w:t xml:space="preserve">API + both frontends</w:t>
            </w:r>
          </w:p>
        </w:tc>
        <w:tc>
          <w:tcPr>
            <w:tcW w:type="dxa" w:w="4306"/>
            <w:tcMar>
              <w:top w:type="dxa" w:w="80"/>
              <w:left w:type="dxa" w:w="100"/>
              <w:bottom w:type="dxa" w:w="80"/>
              <w:right w:type="dxa" w:w="100"/>
            </w:tcMar>
            <w:vAlign w:val="center"/>
          </w:tcPr>
          <w:p>
            <w:pPr>
              <w:spacing w:after="0"/>
            </w:pPr>
            <w:r>
              <w:rPr>
                <w:b w:val="false"/>
                <w:bCs w:val="false"/>
                <w:color w:val="12181C"/>
                <w:sz w:val="19"/>
                <w:szCs w:val="19"/>
              </w:rPr>
              <w:t xml:space="preserve">Judge-facing UI matches the design system</w:t>
            </w:r>
          </w:p>
        </w:tc>
      </w:tr>
      <w:tr>
        <w:tc>
          <w:tcPr>
            <w:tcW w:type="dxa" w:w="1310"/>
            <w:shd w:fill="F5F6F5" w:color="auto" w:val="clear"/>
            <w:tcMar>
              <w:top w:type="dxa" w:w="80"/>
              <w:left w:type="dxa" w:w="100"/>
              <w:bottom w:type="dxa" w:w="80"/>
              <w:right w:type="dxa" w:w="100"/>
            </w:tcMar>
            <w:vAlign w:val="center"/>
          </w:tcPr>
          <w:p>
            <w:pPr>
              <w:spacing w:after="0"/>
            </w:pPr>
            <w:r>
              <w:rPr>
                <w:b w:val="false"/>
                <w:bCs w:val="false"/>
                <w:color w:val="12181C"/>
                <w:sz w:val="19"/>
                <w:szCs w:val="19"/>
              </w:rPr>
              <w:t xml:space="preserve">6 (Day 10)</w:t>
            </w:r>
          </w:p>
        </w:tc>
        <w:tc>
          <w:tcPr>
            <w:tcW w:type="dxa" w:w="3744"/>
            <w:shd w:fill="F5F6F5" w:color="auto" w:val="clear"/>
            <w:tcMar>
              <w:top w:type="dxa" w:w="80"/>
              <w:left w:type="dxa" w:w="100"/>
              <w:bottom w:type="dxa" w:w="80"/>
              <w:right w:type="dxa" w:w="100"/>
            </w:tcMar>
            <w:vAlign w:val="center"/>
          </w:tcPr>
          <w:p>
            <w:pPr>
              <w:spacing w:after="0"/>
            </w:pPr>
            <w:r>
              <w:rPr>
                <w:b w:val="false"/>
                <w:bCs w:val="false"/>
                <w:color w:val="12181C"/>
                <w:sz w:val="19"/>
                <w:szCs w:val="19"/>
              </w:rPr>
              <w:t xml:space="preserve">Integration + rehearsal</w:t>
            </w:r>
          </w:p>
        </w:tc>
        <w:tc>
          <w:tcPr>
            <w:tcW w:type="dxa" w:w="4306"/>
            <w:shd w:fill="F5F6F5" w:color="auto" w:val="clear"/>
            <w:tcMar>
              <w:top w:type="dxa" w:w="80"/>
              <w:left w:type="dxa" w:w="100"/>
              <w:bottom w:type="dxa" w:w="80"/>
              <w:right w:type="dxa" w:w="100"/>
            </w:tcMar>
            <w:vAlign w:val="center"/>
          </w:tcPr>
          <w:p>
            <w:pPr>
              <w:spacing w:after="0"/>
            </w:pPr>
            <w:r>
              <w:rPr>
                <w:b w:val="false"/>
                <w:bCs w:val="false"/>
                <w:color w:val="12181C"/>
                <w:sz w:val="19"/>
                <w:szCs w:val="19"/>
              </w:rPr>
              <w:t xml:space="preserve">One-command Docker run; live demo with real inputs</w:t>
            </w:r>
          </w:p>
        </w:tc>
      </w:tr>
      <w:tr>
        <w:tc>
          <w:tcPr>
            <w:tcW w:type="dxa" w:w="1310"/>
            <w:tcMar>
              <w:top w:type="dxa" w:w="80"/>
              <w:left w:type="dxa" w:w="100"/>
              <w:bottom w:type="dxa" w:w="80"/>
              <w:right w:type="dxa" w:w="100"/>
            </w:tcMar>
            <w:vAlign w:val="center"/>
          </w:tcPr>
          <w:p>
            <w:pPr>
              <w:spacing w:after="0"/>
            </w:pPr>
            <w:r>
              <w:rPr>
                <w:b w:val="false"/>
                <w:bCs w:val="false"/>
                <w:color w:val="12181C"/>
                <w:sz w:val="19"/>
                <w:szCs w:val="19"/>
              </w:rPr>
              <w:t xml:space="preserve">7 (buffer)</w:t>
            </w:r>
          </w:p>
        </w:tc>
        <w:tc>
          <w:tcPr>
            <w:tcW w:type="dxa" w:w="3744"/>
            <w:tcMar>
              <w:top w:type="dxa" w:w="80"/>
              <w:left w:type="dxa" w:w="100"/>
              <w:bottom w:type="dxa" w:w="80"/>
              <w:right w:type="dxa" w:w="100"/>
            </w:tcMar>
            <w:vAlign w:val="center"/>
          </w:tcPr>
          <w:p>
            <w:pPr>
              <w:spacing w:after="0"/>
            </w:pPr>
            <w:r>
              <w:rPr>
                <w:b w:val="false"/>
                <w:bCs w:val="false"/>
                <w:color w:val="12181C"/>
                <w:sz w:val="19"/>
                <w:szCs w:val="19"/>
              </w:rPr>
              <w:t xml:space="preserve">Polish, optional multimodal</w:t>
            </w:r>
          </w:p>
        </w:tc>
        <w:tc>
          <w:tcPr>
            <w:tcW w:type="dxa" w:w="4306"/>
            <w:tcMar>
              <w:top w:type="dxa" w:w="80"/>
              <w:left w:type="dxa" w:w="100"/>
              <w:bottom w:type="dxa" w:w="80"/>
              <w:right w:type="dxa" w:w="100"/>
            </w:tcMar>
            <w:vAlign w:val="center"/>
          </w:tcPr>
          <w:p>
            <w:pPr>
              <w:spacing w:after="0"/>
            </w:pPr>
            <w:r>
              <w:rPr>
                <w:b w:val="false"/>
                <w:bCs w:val="false"/>
                <w:color w:val="12181C"/>
                <w:sz w:val="19"/>
                <w:szCs w:val="19"/>
              </w:rPr>
              <w:t xml:space="preserve">Core stays solid; bonus only if time allows</w:t>
            </w:r>
          </w:p>
        </w:tc>
      </w:tr>
    </w:tbl>
    <w:p>
      <w:pPr>
        <w:pStyle w:val="Heading1"/>
        <w:pBdr>
          <w:bottom w:val="single" w:color="0E7C7B" w:sz="12" w:space="4"/>
        </w:pBdr>
        <w:spacing w:after="200" w:before="480"/>
      </w:pPr>
      <w:r>
        <w:rPr>
          <w:b/>
          <w:bCs/>
          <w:color w:val="0E7C7B"/>
          <w:sz w:val="30"/>
          <w:szCs w:val="30"/>
        </w:rPr>
        <w:t xml:space="preserve">6. Risk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31"/>
        <w:gridCol w:w="5429"/>
      </w:tblGrid>
      <w:tr>
        <w:trPr>
          <w:tblHeader/>
        </w:trPr>
        <w:tc>
          <w:tcPr>
            <w:tcW w:type="dxa" w:w="3931"/>
            <w:shd w:fill="0E7C7B" w:color="auto" w:val="clear"/>
            <w:tcMar>
              <w:top w:type="dxa" w:w="80"/>
              <w:left w:type="dxa" w:w="100"/>
              <w:bottom w:type="dxa" w:w="80"/>
              <w:right w:type="dxa" w:w="100"/>
            </w:tcMar>
            <w:vAlign w:val="center"/>
          </w:tcPr>
          <w:p>
            <w:r>
              <w:rPr>
                <w:b/>
                <w:bCs/>
                <w:color w:val="FFFFFF"/>
                <w:sz w:val="19"/>
                <w:szCs w:val="19"/>
              </w:rPr>
              <w:t xml:space="preserve">Risk</w:t>
            </w:r>
          </w:p>
        </w:tc>
        <w:tc>
          <w:tcPr>
            <w:tcW w:type="dxa" w:w="5429"/>
            <w:shd w:fill="0E7C7B" w:color="auto" w:val="clear"/>
            <w:tcMar>
              <w:top w:type="dxa" w:w="80"/>
              <w:left w:type="dxa" w:w="100"/>
              <w:bottom w:type="dxa" w:w="80"/>
              <w:right w:type="dxa" w:w="100"/>
            </w:tcMar>
            <w:vAlign w:val="center"/>
          </w:tcPr>
          <w:p>
            <w:r>
              <w:rPr>
                <w:b/>
                <w:bCs/>
                <w:color w:val="FFFFFF"/>
                <w:sz w:val="19"/>
                <w:szCs w:val="19"/>
              </w:rPr>
              <w:t xml:space="preserve">Mitigation</w:t>
            </w:r>
          </w:p>
        </w:tc>
      </w:tr>
      <w:tr>
        <w:tc>
          <w:tcPr>
            <w:tcW w:type="dxa" w:w="3931"/>
            <w:tcMar>
              <w:top w:type="dxa" w:w="80"/>
              <w:left w:type="dxa" w:w="100"/>
              <w:bottom w:type="dxa" w:w="80"/>
              <w:right w:type="dxa" w:w="100"/>
            </w:tcMar>
            <w:vAlign w:val="center"/>
          </w:tcPr>
          <w:p>
            <w:pPr>
              <w:spacing w:after="0"/>
            </w:pPr>
            <w:r>
              <w:rPr>
                <w:b w:val="false"/>
                <w:bCs w:val="false"/>
                <w:color w:val="12181C"/>
                <w:sz w:val="19"/>
                <w:szCs w:val="19"/>
              </w:rPr>
              <w:t xml:space="preserve">Small dataset (569 rows) makes single-run accuracy noisy</w:t>
            </w:r>
          </w:p>
        </w:tc>
        <w:tc>
          <w:tcPr>
            <w:tcW w:type="dxa" w:w="5429"/>
            <w:tcMar>
              <w:top w:type="dxa" w:w="80"/>
              <w:left w:type="dxa" w:w="100"/>
              <w:bottom w:type="dxa" w:w="80"/>
              <w:right w:type="dxa" w:w="100"/>
            </w:tcMar>
            <w:vAlign w:val="center"/>
          </w:tcPr>
          <w:p>
            <w:pPr>
              <w:spacing w:after="0"/>
            </w:pPr>
            <w:r>
              <w:rPr>
                <w:b w:val="false"/>
                <w:bCs w:val="false"/>
                <w:color w:val="12181C"/>
                <w:sz w:val="19"/>
                <w:szCs w:val="19"/>
              </w:rPr>
              <w:t xml:space="preserve">Report a range across ≥ 3 seeds, never a single cherry-picked run</w:t>
            </w:r>
          </w:p>
        </w:tc>
      </w:tr>
      <w:tr>
        <w:tc>
          <w:tcPr>
            <w:tcW w:type="dxa" w:w="3931"/>
            <w:shd w:fill="F5F6F5" w:color="auto" w:val="clear"/>
            <w:tcMar>
              <w:top w:type="dxa" w:w="80"/>
              <w:left w:type="dxa" w:w="100"/>
              <w:bottom w:type="dxa" w:w="80"/>
              <w:right w:type="dxa" w:w="100"/>
            </w:tcMar>
            <w:vAlign w:val="center"/>
          </w:tcPr>
          <w:p>
            <w:pPr>
              <w:spacing w:after="0"/>
            </w:pPr>
            <w:r>
              <w:rPr>
                <w:b w:val="false"/>
                <w:bCs w:val="false"/>
                <w:color w:val="12181C"/>
                <w:sz w:val="19"/>
                <w:szCs w:val="19"/>
              </w:rPr>
              <w:t xml:space="preserve">An unfair classical-vs-quantum comparison (30 features vs. 4) overstates classical's advantage</w:t>
            </w:r>
          </w:p>
        </w:tc>
        <w:tc>
          <w:tcPr>
            <w:tcW w:type="dxa" w:w="5429"/>
            <w:shd w:fill="F5F6F5" w:color="auto" w:val="clear"/>
            <w:tcMar>
              <w:top w:type="dxa" w:w="80"/>
              <w:left w:type="dxa" w:w="100"/>
              <w:bottom w:type="dxa" w:w="80"/>
              <w:right w:type="dxa" w:w="100"/>
            </w:tcMar>
            <w:vAlign w:val="center"/>
          </w:tcPr>
          <w:p>
            <w:pPr>
              <w:spacing w:after="0"/>
            </w:pPr>
            <w:r>
              <w:rPr>
                <w:b w:val="false"/>
                <w:bCs w:val="false"/>
                <w:color w:val="12181C"/>
                <w:sz w:val="19"/>
                <w:szCs w:val="19"/>
              </w:rPr>
              <w:t xml:space="preserve">Always report classical on both full and same-4-feature configurations — verified they're much closer than they first looked</w:t>
            </w:r>
          </w:p>
        </w:tc>
      </w:tr>
      <w:tr>
        <w:tc>
          <w:tcPr>
            <w:tcW w:type="dxa" w:w="3931"/>
            <w:tcMar>
              <w:top w:type="dxa" w:w="80"/>
              <w:left w:type="dxa" w:w="100"/>
              <w:bottom w:type="dxa" w:w="80"/>
              <w:right w:type="dxa" w:w="100"/>
            </w:tcMar>
            <w:vAlign w:val="center"/>
          </w:tcPr>
          <w:p>
            <w:pPr>
              <w:spacing w:after="0"/>
            </w:pPr>
            <w:r>
              <w:rPr>
                <w:b w:val="false"/>
                <w:bCs w:val="false"/>
                <w:color w:val="12181C"/>
                <w:sz w:val="19"/>
                <w:szCs w:val="19"/>
              </w:rPr>
              <w:t xml:space="preserve">Silent, metric-invisible bugs (label direction, weight-index collisions)</w:t>
            </w:r>
          </w:p>
        </w:tc>
        <w:tc>
          <w:tcPr>
            <w:tcW w:type="dxa" w:w="5429"/>
            <w:tcMar>
              <w:top w:type="dxa" w:w="80"/>
              <w:left w:type="dxa" w:w="100"/>
              <w:bottom w:type="dxa" w:w="80"/>
              <w:right w:type="dxa" w:w="100"/>
            </w:tcMar>
            <w:vAlign w:val="center"/>
          </w:tcPr>
          <w:p>
            <w:pPr>
              <w:spacing w:after="0"/>
            </w:pPr>
            <w:r>
              <w:rPr>
                <w:b w:val="false"/>
                <w:bCs w:val="false"/>
                <w:color w:val="12181C"/>
                <w:sz w:val="19"/>
                <w:szCs w:val="19"/>
              </w:rPr>
              <w:t xml:space="preserve">Explicit regression tests for both (D-15, D-14) — an accuracy number alone doesn't catch these</w:t>
            </w:r>
          </w:p>
        </w:tc>
      </w:tr>
      <w:tr>
        <w:tc>
          <w:tcPr>
            <w:tcW w:type="dxa" w:w="3931"/>
            <w:shd w:fill="F5F6F5" w:color="auto" w:val="clear"/>
            <w:tcMar>
              <w:top w:type="dxa" w:w="80"/>
              <w:left w:type="dxa" w:w="100"/>
              <w:bottom w:type="dxa" w:w="80"/>
              <w:right w:type="dxa" w:w="100"/>
            </w:tcMar>
            <w:vAlign w:val="center"/>
          </w:tcPr>
          <w:p>
            <w:pPr>
              <w:spacing w:after="0"/>
            </w:pPr>
            <w:r>
              <w:rPr>
                <w:b w:val="false"/>
                <w:bCs w:val="false"/>
                <w:color w:val="12181C"/>
                <w:sz w:val="19"/>
                <w:szCs w:val="19"/>
              </w:rPr>
              <w:t xml:space="preserve">“100% accuracy” style claims read as overfitting, not strength, to technical judges</w:t>
            </w:r>
          </w:p>
        </w:tc>
        <w:tc>
          <w:tcPr>
            <w:tcW w:type="dxa" w:w="5429"/>
            <w:shd w:fill="F5F6F5" w:color="auto" w:val="clear"/>
            <w:tcMar>
              <w:top w:type="dxa" w:w="80"/>
              <w:left w:type="dxa" w:w="100"/>
              <w:bottom w:type="dxa" w:w="80"/>
              <w:right w:type="dxa" w:w="100"/>
            </w:tcMar>
            <w:vAlign w:val="center"/>
          </w:tcPr>
          <w:p>
            <w:pPr>
              <w:spacing w:after="0"/>
            </w:pPr>
            <w:r>
              <w:rPr>
                <w:b w:val="false"/>
                <w:bCs w:val="false"/>
                <w:color w:val="12181C"/>
                <w:sz w:val="19"/>
                <w:szCs w:val="19"/>
              </w:rPr>
              <w:t xml:space="preserve">Don't headline outlier numbers; report own measured results only</w:t>
            </w:r>
          </w:p>
        </w:tc>
      </w:tr>
      <w:tr>
        <w:tc>
          <w:tcPr>
            <w:tcW w:type="dxa" w:w="3931"/>
            <w:tcMar>
              <w:top w:type="dxa" w:w="80"/>
              <w:left w:type="dxa" w:w="100"/>
              <w:bottom w:type="dxa" w:w="80"/>
              <w:right w:type="dxa" w:w="100"/>
            </w:tcMar>
            <w:vAlign w:val="center"/>
          </w:tcPr>
          <w:p>
            <w:pPr>
              <w:spacing w:after="0"/>
            </w:pPr>
            <w:r>
              <w:rPr>
                <w:b w:val="false"/>
                <w:bCs w:val="false"/>
                <w:color w:val="12181C"/>
                <w:sz w:val="19"/>
                <w:szCs w:val="19"/>
              </w:rPr>
              <w:t xml:space="preserve">Multimodal bonus phase crowds out the required core</w:t>
            </w:r>
          </w:p>
        </w:tc>
        <w:tc>
          <w:tcPr>
            <w:tcW w:type="dxa" w:w="5429"/>
            <w:tcMar>
              <w:top w:type="dxa" w:w="80"/>
              <w:left w:type="dxa" w:w="100"/>
              <w:bottom w:type="dxa" w:w="80"/>
              <w:right w:type="dxa" w:w="100"/>
            </w:tcMar>
            <w:vAlign w:val="center"/>
          </w:tcPr>
          <w:p>
            <w:pPr>
              <w:spacing w:after="0"/>
            </w:pPr>
            <w:r>
              <w:rPr>
                <w:b w:val="false"/>
                <w:bCs w:val="false"/>
                <w:color w:val="12181C"/>
                <w:sz w:val="19"/>
                <w:szCs w:val="19"/>
              </w:rPr>
              <w:t xml:space="preserve">Explicit time-box and cut-line in roadmap.md Phase 7</w:t>
            </w:r>
          </w:p>
        </w:tc>
      </w:tr>
      <w:tr>
        <w:tc>
          <w:tcPr>
            <w:tcW w:type="dxa" w:w="3931"/>
            <w:shd w:fill="F5F6F5" w:color="auto" w:val="clear"/>
            <w:tcMar>
              <w:top w:type="dxa" w:w="80"/>
              <w:left w:type="dxa" w:w="100"/>
              <w:bottom w:type="dxa" w:w="80"/>
              <w:right w:type="dxa" w:w="100"/>
            </w:tcMar>
            <w:vAlign w:val="center"/>
          </w:tcPr>
          <w:p>
            <w:pPr>
              <w:spacing w:after="0"/>
            </w:pPr>
            <w:r>
              <w:rPr>
                <w:b w:val="false"/>
                <w:bCs w:val="false"/>
                <w:color w:val="12181C"/>
                <w:sz w:val="19"/>
                <w:szCs w:val="19"/>
              </w:rPr>
              <w:t xml:space="preserve">Unverified citations undermine credibility under questioning</w:t>
            </w:r>
          </w:p>
        </w:tc>
        <w:tc>
          <w:tcPr>
            <w:tcW w:type="dxa" w:w="5429"/>
            <w:shd w:fill="F5F6F5" w:color="auto" w:val="clear"/>
            <w:tcMar>
              <w:top w:type="dxa" w:w="80"/>
              <w:left w:type="dxa" w:w="100"/>
              <w:bottom w:type="dxa" w:w="80"/>
              <w:right w:type="dxa" w:w="100"/>
            </w:tcMar>
            <w:vAlign w:val="center"/>
          </w:tcPr>
          <w:p>
            <w:pPr>
              <w:spacing w:after="0"/>
            </w:pPr>
            <w:r>
              <w:rPr>
                <w:b w:val="false"/>
                <w:bCs w:val="false"/>
                <w:color w:val="12181C"/>
                <w:sz w:val="19"/>
                <w:szCs w:val="19"/>
              </w:rPr>
              <w:t xml:space="preserve">D-08 citation policy: verify before presenting, or state as a range</w:t>
            </w:r>
          </w:p>
        </w:tc>
      </w:tr>
      <w:tr>
        <w:tc>
          <w:tcPr>
            <w:tcW w:type="dxa" w:w="3931"/>
            <w:tcMar>
              <w:top w:type="dxa" w:w="80"/>
              <w:left w:type="dxa" w:w="100"/>
              <w:bottom w:type="dxa" w:w="80"/>
              <w:right w:type="dxa" w:w="100"/>
            </w:tcMar>
            <w:vAlign w:val="center"/>
          </w:tcPr>
          <w:p>
            <w:pPr>
              <w:spacing w:after="0"/>
            </w:pPr>
            <w:r>
              <w:rPr>
                <w:b w:val="false"/>
                <w:bCs w:val="false"/>
                <w:color w:val="12181C"/>
                <w:sz w:val="19"/>
                <w:szCs w:val="19"/>
              </w:rPr>
              <w:t xml:space="preserve">Team breadth (quantum + ML + full-stack) is wide for the timeline</w:t>
            </w:r>
          </w:p>
        </w:tc>
        <w:tc>
          <w:tcPr>
            <w:tcW w:type="dxa" w:w="5429"/>
            <w:tcMar>
              <w:top w:type="dxa" w:w="80"/>
              <w:left w:type="dxa" w:w="100"/>
              <w:bottom w:type="dxa" w:w="80"/>
              <w:right w:type="dxa" w:w="100"/>
            </w:tcMar>
            <w:vAlign w:val="center"/>
          </w:tcPr>
          <w:p>
            <w:pPr>
              <w:spacing w:after="0"/>
            </w:pPr>
            <w:r>
              <w:rPr>
                <w:b w:val="false"/>
                <w:bCs w:val="false"/>
                <w:color w:val="12181C"/>
                <w:sz w:val="19"/>
                <w:szCs w:val="19"/>
              </w:rPr>
              <w:t xml:space="preserve">≥ 2 people cross-trained specifically on the quantum circuits</w:t>
            </w:r>
          </w:p>
        </w:tc>
      </w:tr>
      <w:tr>
        <w:tc>
          <w:tcPr>
            <w:tcW w:type="dxa" w:w="3931"/>
            <w:shd w:fill="F5F6F5" w:color="auto" w:val="clear"/>
            <w:tcMar>
              <w:top w:type="dxa" w:w="80"/>
              <w:left w:type="dxa" w:w="100"/>
              <w:bottom w:type="dxa" w:w="80"/>
              <w:right w:type="dxa" w:w="100"/>
            </w:tcMar>
            <w:vAlign w:val="center"/>
          </w:tcPr>
          <w:p>
            <w:pPr>
              <w:spacing w:after="0"/>
            </w:pPr>
            <w:r>
              <w:rPr>
                <w:b w:val="false"/>
                <w:bCs w:val="false"/>
                <w:color w:val="12181C"/>
                <w:sz w:val="19"/>
                <w:szCs w:val="19"/>
              </w:rPr>
              <w:t xml:space="preserve">QSVM kernel-matrix cost grows O(n²) with sample count</w:t>
            </w:r>
          </w:p>
        </w:tc>
        <w:tc>
          <w:tcPr>
            <w:tcW w:type="dxa" w:w="5429"/>
            <w:shd w:fill="F5F6F5" w:color="auto" w:val="clear"/>
            <w:tcMar>
              <w:top w:type="dxa" w:w="80"/>
              <w:left w:type="dxa" w:w="100"/>
              <w:bottom w:type="dxa" w:w="80"/>
              <w:right w:type="dxa" w:w="100"/>
            </w:tcMar>
            <w:vAlign w:val="center"/>
          </w:tcPr>
          <w:p>
            <w:pPr>
              <w:spacing w:after="0"/>
            </w:pPr>
            <w:r>
              <w:rPr>
                <w:b w:val="false"/>
                <w:bCs w:val="false"/>
                <w:color w:val="12181C"/>
                <w:sz w:val="19"/>
                <w:szCs w:val="19"/>
              </w:rPr>
              <w:t xml:space="preserve">Budget minutes not seconds at full scale; subsample support vectors if needed</w:t>
            </w:r>
          </w:p>
        </w:tc>
      </w:tr>
    </w:tbl>
    <w:p>
      <w:pPr>
        <w:pStyle w:val="Heading1"/>
        <w:pBdr>
          <w:bottom w:val="single" w:color="0E7C7B" w:sz="12" w:space="4"/>
        </w:pBdr>
        <w:spacing w:after="200" w:before="480"/>
      </w:pPr>
      <w:r>
        <w:rPr>
          <w:b/>
          <w:bCs/>
          <w:color w:val="0E7C7B"/>
          <w:sz w:val="30"/>
          <w:szCs w:val="30"/>
        </w:rPr>
        <w:t xml:space="preserve">7.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blHeader/>
        </w:trPr>
        <w:tc>
          <w:tcPr>
            <w:tcW w:type="dxa" w:w="3744"/>
            <w:shd w:fill="0E7C7B" w:color="auto" w:val="clear"/>
            <w:tcMar>
              <w:top w:type="dxa" w:w="80"/>
              <w:left w:type="dxa" w:w="100"/>
              <w:bottom w:type="dxa" w:w="80"/>
              <w:right w:type="dxa" w:w="100"/>
            </w:tcMar>
            <w:vAlign w:val="center"/>
          </w:tcPr>
          <w:p>
            <w:r>
              <w:rPr>
                <w:b/>
                <w:bCs/>
                <w:color w:val="FFFFFF"/>
                <w:sz w:val="19"/>
                <w:szCs w:val="19"/>
              </w:rPr>
              <w:t xml:space="preserve">Criterion</w:t>
            </w:r>
          </w:p>
        </w:tc>
        <w:tc>
          <w:tcPr>
            <w:tcW w:type="dxa" w:w="5616"/>
            <w:shd w:fill="0E7C7B" w:color="auto" w:val="clear"/>
            <w:tcMar>
              <w:top w:type="dxa" w:w="80"/>
              <w:left w:type="dxa" w:w="100"/>
              <w:bottom w:type="dxa" w:w="80"/>
              <w:right w:type="dxa" w:w="100"/>
            </w:tcMar>
            <w:vAlign w:val="center"/>
          </w:tcPr>
          <w:p>
            <w:r>
              <w:rPr>
                <w:b/>
                <w:bCs/>
                <w:color w:val="FFFFFF"/>
                <w:sz w:val="19"/>
                <w:szCs w:val="19"/>
              </w:rPr>
              <w:t xml:space="preserve">Target</w:t>
            </w:r>
          </w:p>
        </w:tc>
      </w:tr>
      <w:tr>
        <w:tc>
          <w:tcPr>
            <w:tcW w:type="dxa" w:w="3744"/>
            <w:tcMar>
              <w:top w:type="dxa" w:w="80"/>
              <w:left w:type="dxa" w:w="100"/>
              <w:bottom w:type="dxa" w:w="80"/>
              <w:right w:type="dxa" w:w="100"/>
            </w:tcMar>
            <w:vAlign w:val="center"/>
          </w:tcPr>
          <w:p>
            <w:pPr>
              <w:spacing w:after="0"/>
            </w:pPr>
            <w:r>
              <w:rPr>
                <w:b w:val="false"/>
                <w:bCs w:val="false"/>
                <w:color w:val="12181C"/>
                <w:sz w:val="19"/>
                <w:szCs w:val="19"/>
              </w:rPr>
              <w:t xml:space="preserve">Quantum models train correctly</w:t>
            </w:r>
          </w:p>
        </w:tc>
        <w:tc>
          <w:tcPr>
            <w:tcW w:type="dxa" w:w="5616"/>
            <w:tcMar>
              <w:top w:type="dxa" w:w="80"/>
              <w:left w:type="dxa" w:w="100"/>
              <w:bottom w:type="dxa" w:w="80"/>
              <w:right w:type="dxa" w:w="100"/>
            </w:tcMar>
            <w:vAlign w:val="center"/>
          </w:tcPr>
          <w:p>
            <w:pPr>
              <w:spacing w:after="0"/>
            </w:pPr>
            <w:r>
              <w:rPr>
                <w:b w:val="false"/>
                <w:bCs w:val="false"/>
                <w:color w:val="12181C"/>
                <w:sz w:val="19"/>
                <w:szCs w:val="19"/>
              </w:rPr>
              <w:t xml:space="preserve">VQC cost decreases monotonically; QSVM kernel matrix is symmetric and valid — both verified via tests</w:t>
            </w:r>
          </w:p>
        </w:tc>
      </w:tr>
      <w:tr>
        <w:tc>
          <w:tcPr>
            <w:tcW w:type="dxa" w:w="3744"/>
            <w:shd w:fill="F5F6F5" w:color="auto" w:val="clear"/>
            <w:tcMar>
              <w:top w:type="dxa" w:w="80"/>
              <w:left w:type="dxa" w:w="100"/>
              <w:bottom w:type="dxa" w:w="80"/>
              <w:right w:type="dxa" w:w="100"/>
            </w:tcMar>
            <w:vAlign w:val="center"/>
          </w:tcPr>
          <w:p>
            <w:pPr>
              <w:spacing w:after="0"/>
            </w:pPr>
            <w:r>
              <w:rPr>
                <w:b w:val="false"/>
                <w:bCs w:val="false"/>
                <w:color w:val="12181C"/>
                <w:sz w:val="19"/>
                <w:szCs w:val="19"/>
              </w:rPr>
              <w:t xml:space="preserve">Quantum-kernel SVM accuracy</w:t>
            </w:r>
          </w:p>
        </w:tc>
        <w:tc>
          <w:tcPr>
            <w:tcW w:type="dxa" w:w="5616"/>
            <w:shd w:fill="F5F6F5" w:color="auto" w:val="clear"/>
            <w:tcMar>
              <w:top w:type="dxa" w:w="80"/>
              <w:left w:type="dxa" w:w="100"/>
              <w:bottom w:type="dxa" w:w="80"/>
              <w:right w:type="dxa" w:w="100"/>
            </w:tcMar>
            <w:vAlign w:val="center"/>
          </w:tcPr>
          <w:p>
            <w:pPr>
              <w:spacing w:after="0"/>
            </w:pPr>
            <w:r>
              <w:rPr>
                <w:b w:val="false"/>
                <w:bCs w:val="false"/>
                <w:color w:val="12181C"/>
                <w:sz w:val="19"/>
                <w:szCs w:val="19"/>
              </w:rPr>
              <w:t xml:space="preserve">Verified achievable: 95.6% on the benchmark dataset, using selected (not PCA) features</w:t>
            </w:r>
          </w:p>
        </w:tc>
      </w:tr>
      <w:tr>
        <w:tc>
          <w:tcPr>
            <w:tcW w:type="dxa" w:w="3744"/>
            <w:tcMar>
              <w:top w:type="dxa" w:w="80"/>
              <w:left w:type="dxa" w:w="100"/>
              <w:bottom w:type="dxa" w:w="80"/>
              <w:right w:type="dxa" w:w="100"/>
            </w:tcMar>
            <w:vAlign w:val="center"/>
          </w:tcPr>
          <w:p>
            <w:pPr>
              <w:spacing w:after="0"/>
            </w:pPr>
            <w:r>
              <w:rPr>
                <w:b w:val="false"/>
                <w:bCs w:val="false"/>
                <w:color w:val="12181C"/>
                <w:sz w:val="19"/>
                <w:szCs w:val="19"/>
              </w:rPr>
              <w:t xml:space="preserve">VQC accuracy</w:t>
            </w:r>
          </w:p>
        </w:tc>
        <w:tc>
          <w:tcPr>
            <w:tcW w:type="dxa" w:w="5616"/>
            <w:tcMar>
              <w:top w:type="dxa" w:w="80"/>
              <w:left w:type="dxa" w:w="100"/>
              <w:bottom w:type="dxa" w:w="80"/>
              <w:right w:type="dxa" w:w="100"/>
            </w:tcMar>
            <w:vAlign w:val="center"/>
          </w:tcPr>
          <w:p>
            <w:pPr>
              <w:spacing w:after="0"/>
            </w:pPr>
            <w:r>
              <w:rPr>
                <w:b w:val="false"/>
                <w:bCs w:val="false"/>
                <w:color w:val="12181C"/>
                <w:sz w:val="19"/>
                <w:szCs w:val="19"/>
              </w:rPr>
              <w:t xml:space="preserve">Verified achievable: ~93% with re-uploading + weight re-mapping</w:t>
            </w:r>
          </w:p>
        </w:tc>
      </w:tr>
      <w:tr>
        <w:tc>
          <w:tcPr>
            <w:tcW w:type="dxa" w:w="3744"/>
            <w:shd w:fill="F5F6F5" w:color="auto" w:val="clear"/>
            <w:tcMar>
              <w:top w:type="dxa" w:w="80"/>
              <w:left w:type="dxa" w:w="100"/>
              <w:bottom w:type="dxa" w:w="80"/>
              <w:right w:type="dxa" w:w="100"/>
            </w:tcMar>
            <w:vAlign w:val="center"/>
          </w:tcPr>
          <w:p>
            <w:pPr>
              <w:spacing w:after="0"/>
            </w:pPr>
            <w:r>
              <w:rPr>
                <w:b w:val="false"/>
                <w:bCs w:val="false"/>
                <w:color w:val="12181C"/>
                <w:sz w:val="19"/>
                <w:szCs w:val="19"/>
              </w:rPr>
              <w:t xml:space="preserve">Ensemble vs. single best model</w:t>
            </w:r>
          </w:p>
        </w:tc>
        <w:tc>
          <w:tcPr>
            <w:tcW w:type="dxa" w:w="5616"/>
            <w:shd w:fill="F5F6F5" w:color="auto" w:val="clear"/>
            <w:tcMar>
              <w:top w:type="dxa" w:w="80"/>
              <w:left w:type="dxa" w:w="100"/>
              <w:bottom w:type="dxa" w:w="80"/>
              <w:right w:type="dxa" w:w="100"/>
            </w:tcMar>
            <w:vAlign w:val="center"/>
          </w:tcPr>
          <w:p>
            <w:pPr>
              <w:spacing w:after="0"/>
            </w:pPr>
            <w:r>
              <w:rPr>
                <w:b w:val="false"/>
                <w:bCs w:val="false"/>
                <w:color w:val="12181C"/>
                <w:sz w:val="19"/>
                <w:szCs w:val="19"/>
              </w:rPr>
              <w:t xml:space="preserve">Ensemble performs at least as well, margin reported either way</w:t>
            </w:r>
          </w:p>
        </w:tc>
      </w:tr>
      <w:tr>
        <w:tc>
          <w:tcPr>
            <w:tcW w:type="dxa" w:w="3744"/>
            <w:tcMar>
              <w:top w:type="dxa" w:w="80"/>
              <w:left w:type="dxa" w:w="100"/>
              <w:bottom w:type="dxa" w:w="80"/>
              <w:right w:type="dxa" w:w="100"/>
            </w:tcMar>
            <w:vAlign w:val="center"/>
          </w:tcPr>
          <w:p>
            <w:pPr>
              <w:spacing w:after="0"/>
            </w:pPr>
            <w:r>
              <w:rPr>
                <w:b w:val="false"/>
                <w:bCs w:val="false"/>
                <w:color w:val="12181C"/>
                <w:sz w:val="19"/>
                <w:szCs w:val="19"/>
              </w:rPr>
              <w:t xml:space="preserve">Fair classical comparison</w:t>
            </w:r>
          </w:p>
        </w:tc>
        <w:tc>
          <w:tcPr>
            <w:tcW w:type="dxa" w:w="5616"/>
            <w:tcMar>
              <w:top w:type="dxa" w:w="80"/>
              <w:left w:type="dxa" w:w="100"/>
              <w:bottom w:type="dxa" w:w="80"/>
              <w:right w:type="dxa" w:w="100"/>
            </w:tcMar>
            <w:vAlign w:val="center"/>
          </w:tcPr>
          <w:p>
            <w:pPr>
              <w:spacing w:after="0"/>
            </w:pPr>
            <w:r>
              <w:rPr>
                <w:b w:val="false"/>
                <w:bCs w:val="false"/>
                <w:color w:val="12181C"/>
                <w:sz w:val="19"/>
                <w:szCs w:val="19"/>
              </w:rPr>
              <w:t xml:space="preserve">Classical reported on both all-30-features AND the same 4 features as quantum — verified: same-feature classical (92.98%) ties the VQC (92.98%)</w:t>
            </w:r>
          </w:p>
        </w:tc>
      </w:tr>
      <w:tr>
        <w:tc>
          <w:tcPr>
            <w:tcW w:type="dxa" w:w="3744"/>
            <w:shd w:fill="F5F6F5" w:color="auto" w:val="clear"/>
            <w:tcMar>
              <w:top w:type="dxa" w:w="80"/>
              <w:left w:type="dxa" w:w="100"/>
              <w:bottom w:type="dxa" w:w="80"/>
              <w:right w:type="dxa" w:w="100"/>
            </w:tcMar>
            <w:vAlign w:val="center"/>
          </w:tcPr>
          <w:p>
            <w:pPr>
              <w:spacing w:after="0"/>
            </w:pPr>
            <w:r>
              <w:rPr>
                <w:b w:val="false"/>
                <w:bCs w:val="false"/>
                <w:color w:val="12181C"/>
                <w:sz w:val="19"/>
                <w:szCs w:val="19"/>
              </w:rPr>
              <w:t xml:space="preserve">Label direction correct</w:t>
            </w:r>
          </w:p>
        </w:tc>
        <w:tc>
          <w:tcPr>
            <w:tcW w:type="dxa" w:w="5616"/>
            <w:shd w:fill="F5F6F5" w:color="auto" w:val="clear"/>
            <w:tcMar>
              <w:top w:type="dxa" w:w="80"/>
              <w:left w:type="dxa" w:w="100"/>
              <w:bottom w:type="dxa" w:w="80"/>
              <w:right w:type="dxa" w:w="100"/>
            </w:tcMar>
            <w:vAlign w:val="center"/>
          </w:tcPr>
          <w:p>
            <w:pPr>
              <w:spacing w:after="0"/>
            </w:pPr>
            <w:r>
              <w:rPr>
                <w:b w:val="false"/>
                <w:bCs w:val="false"/>
                <w:color w:val="12181C"/>
                <w:sz w:val="19"/>
                <w:szCs w:val="19"/>
              </w:rPr>
              <w:t xml:space="preserve">Explicit test confirms sklearn's 0=malignant/1=benign convention holds end-to-end — a silent-failure risk otherwise</w:t>
            </w:r>
          </w:p>
        </w:tc>
      </w:tr>
      <w:tr>
        <w:tc>
          <w:tcPr>
            <w:tcW w:type="dxa" w:w="3744"/>
            <w:tcMar>
              <w:top w:type="dxa" w:w="80"/>
              <w:left w:type="dxa" w:w="100"/>
              <w:bottom w:type="dxa" w:w="80"/>
              <w:right w:type="dxa" w:w="100"/>
            </w:tcMar>
            <w:vAlign w:val="center"/>
          </w:tcPr>
          <w:p>
            <w:pPr>
              <w:spacing w:after="0"/>
            </w:pPr>
            <w:r>
              <w:rPr>
                <w:b w:val="false"/>
                <w:bCs w:val="false"/>
                <w:color w:val="12181C"/>
                <w:sz w:val="19"/>
                <w:szCs w:val="19"/>
              </w:rPr>
              <w:t xml:space="preserve">Hybrid display</w:t>
            </w:r>
          </w:p>
        </w:tc>
        <w:tc>
          <w:tcPr>
            <w:tcW w:type="dxa" w:w="5616"/>
            <w:tcMar>
              <w:top w:type="dxa" w:w="80"/>
              <w:left w:type="dxa" w:w="100"/>
              <w:bottom w:type="dxa" w:w="80"/>
              <w:right w:type="dxa" w:w="100"/>
            </w:tcMar>
            <w:vAlign w:val="center"/>
          </w:tcPr>
          <w:p>
            <w:pPr>
              <w:spacing w:after="0"/>
            </w:pPr>
            <w:r>
              <w:rPr>
                <w:b w:val="false"/>
                <w:bCs w:val="false"/>
                <w:color w:val="12181C"/>
                <w:sz w:val="19"/>
                <w:szCs w:val="19"/>
              </w:rPr>
              <w:t xml:space="preserve">Every prediction shows quantum AND classical, equal visual weight — undeniable within 5 seconds of any demo</w:t>
            </w:r>
          </w:p>
        </w:tc>
      </w:tr>
      <w:tr>
        <w:tc>
          <w:tcPr>
            <w:tcW w:type="dxa" w:w="3744"/>
            <w:shd w:fill="F5F6F5" w:color="auto" w:val="clear"/>
            <w:tcMar>
              <w:top w:type="dxa" w:w="80"/>
              <w:left w:type="dxa" w:w="100"/>
              <w:bottom w:type="dxa" w:w="80"/>
              <w:right w:type="dxa" w:w="100"/>
            </w:tcMar>
            <w:vAlign w:val="center"/>
          </w:tcPr>
          <w:p>
            <w:pPr>
              <w:spacing w:after="0"/>
            </w:pPr>
            <w:r>
              <w:rPr>
                <w:b w:val="false"/>
                <w:bCs w:val="false"/>
                <w:color w:val="12181C"/>
                <w:sz w:val="19"/>
                <w:szCs w:val="19"/>
              </w:rPr>
              <w:t xml:space="preserve">Explainability</w:t>
            </w:r>
          </w:p>
        </w:tc>
        <w:tc>
          <w:tcPr>
            <w:tcW w:type="dxa" w:w="5616"/>
            <w:shd w:fill="F5F6F5" w:color="auto" w:val="clear"/>
            <w:tcMar>
              <w:top w:type="dxa" w:w="80"/>
              <w:left w:type="dxa" w:w="100"/>
              <w:bottom w:type="dxa" w:w="80"/>
              <w:right w:type="dxa" w:w="100"/>
            </w:tcMar>
            <w:vAlign w:val="center"/>
          </w:tcPr>
          <w:p>
            <w:pPr>
              <w:spacing w:after="0"/>
            </w:pPr>
            <w:r>
              <w:rPr>
                <w:b w:val="false"/>
                <w:bCs w:val="false"/>
                <w:color w:val="12181C"/>
                <w:sz w:val="19"/>
                <w:szCs w:val="19"/>
              </w:rPr>
              <w:t xml:space="preserve">SHAP output shown for a real prediction from both paradigms, using real clinical feature names (verified: mean concave points, worst radius, worst perimeter, worst concave points)</w:t>
            </w:r>
          </w:p>
        </w:tc>
      </w:tr>
      <w:tr>
        <w:tc>
          <w:tcPr>
            <w:tcW w:type="dxa" w:w="3744"/>
            <w:tcMar>
              <w:top w:type="dxa" w:w="80"/>
              <w:left w:type="dxa" w:w="100"/>
              <w:bottom w:type="dxa" w:w="80"/>
              <w:right w:type="dxa" w:w="100"/>
            </w:tcMar>
            <w:vAlign w:val="center"/>
          </w:tcPr>
          <w:p>
            <w:pPr>
              <w:spacing w:after="0"/>
            </w:pPr>
            <w:r>
              <w:rPr>
                <w:b w:val="false"/>
                <w:bCs w:val="false"/>
                <w:color w:val="12181C"/>
                <w:sz w:val="19"/>
                <w:szCs w:val="19"/>
              </w:rPr>
              <w:t xml:space="preserve">Web application</w:t>
            </w:r>
          </w:p>
        </w:tc>
        <w:tc>
          <w:tcPr>
            <w:tcW w:type="dxa" w:w="5616"/>
            <w:tcMar>
              <w:top w:type="dxa" w:w="80"/>
              <w:left w:type="dxa" w:w="100"/>
              <w:bottom w:type="dxa" w:w="80"/>
              <w:right w:type="dxa" w:w="100"/>
            </w:tcMar>
            <w:vAlign w:val="center"/>
          </w:tcPr>
          <w:p>
            <w:pPr>
              <w:spacing w:after="0"/>
            </w:pPr>
            <w:r>
              <w:rPr>
                <w:b w:val="false"/>
                <w:bCs w:val="false"/>
                <w:color w:val="12181C"/>
                <w:sz w:val="19"/>
                <w:szCs w:val="19"/>
              </w:rPr>
              <w:t xml:space="preserve">Fully working live demo matching the design system, with real inputs, not a mockup</w:t>
            </w:r>
          </w:p>
        </w:tc>
      </w:tr>
      <w:tr>
        <w:tc>
          <w:tcPr>
            <w:tcW w:type="dxa" w:w="3744"/>
            <w:shd w:fill="F5F6F5" w:color="auto" w:val="clear"/>
            <w:tcMar>
              <w:top w:type="dxa" w:w="80"/>
              <w:left w:type="dxa" w:w="100"/>
              <w:bottom w:type="dxa" w:w="80"/>
              <w:right w:type="dxa" w:w="100"/>
            </w:tcMar>
            <w:vAlign w:val="center"/>
          </w:tcPr>
          <w:p>
            <w:pPr>
              <w:spacing w:after="0"/>
            </w:pPr>
            <w:r>
              <w:rPr>
                <w:b w:val="false"/>
                <w:bCs w:val="false"/>
                <w:color w:val="12181C"/>
                <w:sz w:val="19"/>
                <w:szCs w:val="19"/>
              </w:rPr>
              <w:t xml:space="preserve">Reproducibility</w:t>
            </w:r>
          </w:p>
        </w:tc>
        <w:tc>
          <w:tcPr>
            <w:tcW w:type="dxa" w:w="5616"/>
            <w:shd w:fill="F5F6F5" w:color="auto" w:val="clear"/>
            <w:tcMar>
              <w:top w:type="dxa" w:w="80"/>
              <w:left w:type="dxa" w:w="100"/>
              <w:bottom w:type="dxa" w:w="80"/>
              <w:right w:type="dxa" w:w="100"/>
            </w:tcMar>
            <w:vAlign w:val="center"/>
          </w:tcPr>
          <w:p>
            <w:pPr>
              <w:spacing w:after="0"/>
            </w:pPr>
            <w:r>
              <w:rPr>
                <w:b w:val="false"/>
                <w:bCs w:val="false"/>
                <w:color w:val="12181C"/>
                <w:sz w:val="19"/>
                <w:szCs w:val="19"/>
              </w:rPr>
              <w:t xml:space="preserve">docker compose up works from a clean checkout</w:t>
            </w:r>
          </w:p>
        </w:tc>
      </w:tr>
    </w:tbl>
    <w:p>
      <w:pPr>
        <w:pStyle w:val="Heading1"/>
        <w:pBdr>
          <w:bottom w:val="single" w:color="0E7C7B" w:sz="12" w:space="4"/>
        </w:pBdr>
        <w:spacing w:after="200" w:before="480"/>
      </w:pPr>
      <w:r>
        <w:rPr>
          <w:b/>
          <w:bCs/>
          <w:color w:val="0E7C7B"/>
          <w:sz w:val="30"/>
          <w:szCs w:val="30"/>
        </w:rPr>
        <w:t xml:space="preserve">Appendix A — Verified Tool Stack</w:t>
      </w:r>
    </w:p>
    <w:p>
      <w:pPr>
        <w:spacing w:after="160" w:line="276"/>
      </w:pPr>
      <w:r>
        <w:rPr>
          <w:b w:val="false"/>
          <w:bCs w:val="false"/>
          <w:i w:val="false"/>
          <w:iCs w:val="false"/>
          <w:color w:val="12181C"/>
          <w:sz w:val="21"/>
          <w:szCs w:val="21"/>
        </w:rPr>
        <w:t xml:space="preserve">Every package below was installed together into one clean environment and confirmed to work with no conflicts; exact pins are in requirements.txt.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059"/>
        <w:gridCol w:w="2246"/>
        <w:gridCol w:w="2246"/>
      </w:tblGrid>
      <w:tr>
        <w:trPr>
          <w:tblHeader/>
        </w:trPr>
        <w:tc>
          <w:tcPr>
            <w:tcW w:type="dxa" w:w="2808"/>
            <w:shd w:fill="0E7C7B" w:color="auto" w:val="clear"/>
            <w:tcMar>
              <w:top w:type="dxa" w:w="80"/>
              <w:left w:type="dxa" w:w="100"/>
              <w:bottom w:type="dxa" w:w="80"/>
              <w:right w:type="dxa" w:w="100"/>
            </w:tcMar>
            <w:vAlign w:val="center"/>
          </w:tcPr>
          <w:p>
            <w:r>
              <w:rPr>
                <w:b/>
                <w:bCs/>
                <w:color w:val="FFFFFF"/>
                <w:sz w:val="19"/>
                <w:szCs w:val="19"/>
              </w:rPr>
              <w:t xml:space="preserve">Tool</w:t>
            </w:r>
          </w:p>
        </w:tc>
        <w:tc>
          <w:tcPr>
            <w:tcW w:type="dxa" w:w="2059"/>
            <w:shd w:fill="0E7C7B" w:color="auto" w:val="clear"/>
            <w:tcMar>
              <w:top w:type="dxa" w:w="80"/>
              <w:left w:type="dxa" w:w="100"/>
              <w:bottom w:type="dxa" w:w="80"/>
              <w:right w:type="dxa" w:w="100"/>
            </w:tcMar>
            <w:vAlign w:val="center"/>
          </w:tcPr>
          <w:p>
            <w:r>
              <w:rPr>
                <w:b/>
                <w:bCs/>
                <w:color w:val="FFFFFF"/>
                <w:sz w:val="19"/>
                <w:szCs w:val="19"/>
              </w:rPr>
              <w:t xml:space="preserve">Version</w:t>
            </w:r>
          </w:p>
        </w:tc>
        <w:tc>
          <w:tcPr>
            <w:tcW w:type="dxa" w:w="2246"/>
            <w:shd w:fill="0E7C7B" w:color="auto" w:val="clear"/>
            <w:tcMar>
              <w:top w:type="dxa" w:w="80"/>
              <w:left w:type="dxa" w:w="100"/>
              <w:bottom w:type="dxa" w:w="80"/>
              <w:right w:type="dxa" w:w="100"/>
            </w:tcMar>
            <w:vAlign w:val="center"/>
          </w:tcPr>
          <w:p>
            <w:r>
              <w:rPr>
                <w:b/>
                <w:bCs/>
                <w:color w:val="FFFFFF"/>
                <w:sz w:val="19"/>
                <w:szCs w:val="19"/>
              </w:rPr>
              <w:t xml:space="preserve">License</w:t>
            </w:r>
          </w:p>
        </w:tc>
        <w:tc>
          <w:tcPr>
            <w:tcW w:type="dxa" w:w="2246"/>
            <w:shd w:fill="0E7C7B" w:color="auto" w:val="clear"/>
            <w:tcMar>
              <w:top w:type="dxa" w:w="80"/>
              <w:left w:type="dxa" w:w="100"/>
              <w:bottom w:type="dxa" w:w="80"/>
              <w:right w:type="dxa" w:w="100"/>
            </w:tcMar>
            <w:vAlign w:val="center"/>
          </w:tcPr>
          <w:p>
            <w:r>
              <w:rPr>
                <w:b/>
                <w:bCs/>
                <w:color w:val="FFFFFF"/>
                <w:sz w:val="19"/>
                <w:szCs w:val="19"/>
              </w:rPr>
              <w:t xml:space="preserve">Cost</w:t>
            </w:r>
          </w:p>
        </w:tc>
      </w:tr>
      <w:tr>
        <w:tc>
          <w:tcPr>
            <w:tcW w:type="dxa" w:w="2808"/>
            <w:tcMar>
              <w:top w:type="dxa" w:w="80"/>
              <w:left w:type="dxa" w:w="100"/>
              <w:bottom w:type="dxa" w:w="80"/>
              <w:right w:type="dxa" w:w="100"/>
            </w:tcMar>
            <w:vAlign w:val="center"/>
          </w:tcPr>
          <w:p>
            <w:pPr>
              <w:spacing w:after="0"/>
            </w:pPr>
            <w:r>
              <w:rPr>
                <w:b w:val="false"/>
                <w:bCs w:val="false"/>
                <w:color w:val="12181C"/>
                <w:sz w:val="19"/>
                <w:szCs w:val="19"/>
              </w:rPr>
              <w:t xml:space="preserve">PennyLane</w:t>
            </w:r>
          </w:p>
        </w:tc>
        <w:tc>
          <w:tcPr>
            <w:tcW w:type="dxa" w:w="2059"/>
            <w:tcMar>
              <w:top w:type="dxa" w:w="80"/>
              <w:left w:type="dxa" w:w="100"/>
              <w:bottom w:type="dxa" w:w="80"/>
              <w:right w:type="dxa" w:w="100"/>
            </w:tcMar>
            <w:vAlign w:val="center"/>
          </w:tcPr>
          <w:p>
            <w:pPr>
              <w:spacing w:after="0"/>
            </w:pPr>
            <w:r>
              <w:rPr>
                <w:b w:val="false"/>
                <w:bCs w:val="false"/>
                <w:color w:val="12181C"/>
                <w:sz w:val="19"/>
                <w:szCs w:val="19"/>
              </w:rPr>
              <w:t xml:space="preserve">0.45.1</w:t>
            </w:r>
          </w:p>
        </w:tc>
        <w:tc>
          <w:tcPr>
            <w:tcW w:type="dxa" w:w="2246"/>
            <w:tcMar>
              <w:top w:type="dxa" w:w="80"/>
              <w:left w:type="dxa" w:w="100"/>
              <w:bottom w:type="dxa" w:w="80"/>
              <w:right w:type="dxa" w:w="100"/>
            </w:tcMar>
            <w:vAlign w:val="center"/>
          </w:tcPr>
          <w:p>
            <w:pPr>
              <w:spacing w:after="0"/>
            </w:pPr>
            <w:r>
              <w:rPr>
                <w:b w:val="false"/>
                <w:bCs w:val="false"/>
                <w:color w:val="12181C"/>
                <w:sz w:val="19"/>
                <w:szCs w:val="19"/>
              </w:rPr>
              <w:t xml:space="preserve">Apache 2.0</w:t>
            </w:r>
          </w:p>
        </w:tc>
        <w:tc>
          <w:tcPr>
            <w:tcW w:type="dxa" w:w="2246"/>
            <w:tcMar>
              <w:top w:type="dxa" w:w="80"/>
              <w:left w:type="dxa" w:w="100"/>
              <w:bottom w:type="dxa" w:w="80"/>
              <w:right w:type="dxa" w:w="100"/>
            </w:tcMar>
            <w:vAlign w:val="center"/>
          </w:tcPr>
          <w:p>
            <w:pPr>
              <w:spacing w:after="0"/>
            </w:pPr>
            <w:r>
              <w:rPr>
                <w:b w:val="false"/>
                <w:bCs w:val="false"/>
                <w:color w:val="12181C"/>
                <w:sz w:val="19"/>
                <w:szCs w:val="19"/>
              </w:rPr>
              <w:t xml:space="preserve">Free</w:t>
            </w:r>
          </w:p>
        </w:tc>
      </w:tr>
      <w:tr>
        <w:tc>
          <w:tcPr>
            <w:tcW w:type="dxa" w:w="2808"/>
            <w:shd w:fill="F5F6F5" w:color="auto" w:val="clear"/>
            <w:tcMar>
              <w:top w:type="dxa" w:w="80"/>
              <w:left w:type="dxa" w:w="100"/>
              <w:bottom w:type="dxa" w:w="80"/>
              <w:right w:type="dxa" w:w="100"/>
            </w:tcMar>
            <w:vAlign w:val="center"/>
          </w:tcPr>
          <w:p>
            <w:pPr>
              <w:spacing w:after="0"/>
            </w:pPr>
            <w:r>
              <w:rPr>
                <w:b w:val="false"/>
                <w:bCs w:val="false"/>
                <w:color w:val="12181C"/>
                <w:sz w:val="19"/>
                <w:szCs w:val="19"/>
              </w:rPr>
              <w:t xml:space="preserve">PennyLane-Lightning</w:t>
            </w:r>
          </w:p>
        </w:tc>
        <w:tc>
          <w:tcPr>
            <w:tcW w:type="dxa" w:w="2059"/>
            <w:shd w:fill="F5F6F5" w:color="auto" w:val="clear"/>
            <w:tcMar>
              <w:top w:type="dxa" w:w="80"/>
              <w:left w:type="dxa" w:w="100"/>
              <w:bottom w:type="dxa" w:w="80"/>
              <w:right w:type="dxa" w:w="100"/>
            </w:tcMar>
            <w:vAlign w:val="center"/>
          </w:tcPr>
          <w:p>
            <w:pPr>
              <w:spacing w:after="0"/>
            </w:pPr>
            <w:r>
              <w:rPr>
                <w:b w:val="false"/>
                <w:bCs w:val="false"/>
                <w:color w:val="12181C"/>
                <w:sz w:val="19"/>
                <w:szCs w:val="19"/>
              </w:rPr>
              <w:t xml:space="preserve">0.45.0</w:t>
            </w:r>
          </w:p>
        </w:tc>
        <w:tc>
          <w:tcPr>
            <w:tcW w:type="dxa" w:w="2246"/>
            <w:shd w:fill="F5F6F5" w:color="auto" w:val="clear"/>
            <w:tcMar>
              <w:top w:type="dxa" w:w="80"/>
              <w:left w:type="dxa" w:w="100"/>
              <w:bottom w:type="dxa" w:w="80"/>
              <w:right w:type="dxa" w:w="100"/>
            </w:tcMar>
            <w:vAlign w:val="center"/>
          </w:tcPr>
          <w:p>
            <w:pPr>
              <w:spacing w:after="0"/>
            </w:pPr>
            <w:r>
              <w:rPr>
                <w:b w:val="false"/>
                <w:bCs w:val="false"/>
                <w:color w:val="12181C"/>
                <w:sz w:val="19"/>
                <w:szCs w:val="19"/>
              </w:rPr>
              <w:t xml:space="preserve">Apache 2.0</w:t>
            </w:r>
          </w:p>
        </w:tc>
        <w:tc>
          <w:tcPr>
            <w:tcW w:type="dxa" w:w="2246"/>
            <w:shd w:fill="F5F6F5" w:color="auto" w:val="clear"/>
            <w:tcMar>
              <w:top w:type="dxa" w:w="80"/>
              <w:left w:type="dxa" w:w="100"/>
              <w:bottom w:type="dxa" w:w="80"/>
              <w:right w:type="dxa" w:w="100"/>
            </w:tcMar>
            <w:vAlign w:val="center"/>
          </w:tcPr>
          <w:p>
            <w:pPr>
              <w:spacing w:after="0"/>
            </w:pPr>
            <w:r>
              <w:rPr>
                <w:b w:val="false"/>
                <w:bCs w:val="false"/>
                <w:color w:val="12181C"/>
                <w:sz w:val="19"/>
                <w:szCs w:val="19"/>
              </w:rPr>
              <w:t xml:space="preserve">Free</w:t>
            </w:r>
          </w:p>
        </w:tc>
      </w:tr>
      <w:tr>
        <w:tc>
          <w:tcPr>
            <w:tcW w:type="dxa" w:w="2808"/>
            <w:tcMar>
              <w:top w:type="dxa" w:w="80"/>
              <w:left w:type="dxa" w:w="100"/>
              <w:bottom w:type="dxa" w:w="80"/>
              <w:right w:type="dxa" w:w="100"/>
            </w:tcMar>
            <w:vAlign w:val="center"/>
          </w:tcPr>
          <w:p>
            <w:pPr>
              <w:spacing w:after="0"/>
            </w:pPr>
            <w:r>
              <w:rPr>
                <w:b w:val="false"/>
                <w:bCs w:val="false"/>
                <w:color w:val="12181C"/>
                <w:sz w:val="19"/>
                <w:szCs w:val="19"/>
              </w:rPr>
              <w:t xml:space="preserve">scikit-learn</w:t>
            </w:r>
          </w:p>
        </w:tc>
        <w:tc>
          <w:tcPr>
            <w:tcW w:type="dxa" w:w="2059"/>
            <w:tcMar>
              <w:top w:type="dxa" w:w="80"/>
              <w:left w:type="dxa" w:w="100"/>
              <w:bottom w:type="dxa" w:w="80"/>
              <w:right w:type="dxa" w:w="100"/>
            </w:tcMar>
            <w:vAlign w:val="center"/>
          </w:tcPr>
          <w:p>
            <w:pPr>
              <w:spacing w:after="0"/>
            </w:pPr>
            <w:r>
              <w:rPr>
                <w:b w:val="false"/>
                <w:bCs w:val="false"/>
                <w:color w:val="12181C"/>
                <w:sz w:val="19"/>
                <w:szCs w:val="19"/>
              </w:rPr>
              <w:t xml:space="preserve">1.9.0</w:t>
            </w:r>
          </w:p>
        </w:tc>
        <w:tc>
          <w:tcPr>
            <w:tcW w:type="dxa" w:w="2246"/>
            <w:tcMar>
              <w:top w:type="dxa" w:w="80"/>
              <w:left w:type="dxa" w:w="100"/>
              <w:bottom w:type="dxa" w:w="80"/>
              <w:right w:type="dxa" w:w="100"/>
            </w:tcMar>
            <w:vAlign w:val="center"/>
          </w:tcPr>
          <w:p>
            <w:pPr>
              <w:spacing w:after="0"/>
            </w:pPr>
            <w:r>
              <w:rPr>
                <w:b w:val="false"/>
                <w:bCs w:val="false"/>
                <w:color w:val="12181C"/>
                <w:sz w:val="19"/>
                <w:szCs w:val="19"/>
              </w:rPr>
              <w:t xml:space="preserve">BSD</w:t>
            </w:r>
          </w:p>
        </w:tc>
        <w:tc>
          <w:tcPr>
            <w:tcW w:type="dxa" w:w="2246"/>
            <w:tcMar>
              <w:top w:type="dxa" w:w="80"/>
              <w:left w:type="dxa" w:w="100"/>
              <w:bottom w:type="dxa" w:w="80"/>
              <w:right w:type="dxa" w:w="100"/>
            </w:tcMar>
            <w:vAlign w:val="center"/>
          </w:tcPr>
          <w:p>
            <w:pPr>
              <w:spacing w:after="0"/>
            </w:pPr>
            <w:r>
              <w:rPr>
                <w:b w:val="false"/>
                <w:bCs w:val="false"/>
                <w:color w:val="12181C"/>
                <w:sz w:val="19"/>
                <w:szCs w:val="19"/>
              </w:rPr>
              <w:t xml:space="preserve">Free</w:t>
            </w:r>
          </w:p>
        </w:tc>
      </w:tr>
      <w:tr>
        <w:tc>
          <w:tcPr>
            <w:tcW w:type="dxa" w:w="2808"/>
            <w:shd w:fill="F5F6F5" w:color="auto" w:val="clear"/>
            <w:tcMar>
              <w:top w:type="dxa" w:w="80"/>
              <w:left w:type="dxa" w:w="100"/>
              <w:bottom w:type="dxa" w:w="80"/>
              <w:right w:type="dxa" w:w="100"/>
            </w:tcMar>
            <w:vAlign w:val="center"/>
          </w:tcPr>
          <w:p>
            <w:pPr>
              <w:spacing w:after="0"/>
            </w:pPr>
            <w:r>
              <w:rPr>
                <w:b w:val="false"/>
                <w:bCs w:val="false"/>
                <w:color w:val="12181C"/>
                <w:sz w:val="19"/>
                <w:szCs w:val="19"/>
              </w:rPr>
              <w:t xml:space="preserve">XGBoost</w:t>
            </w:r>
          </w:p>
        </w:tc>
        <w:tc>
          <w:tcPr>
            <w:tcW w:type="dxa" w:w="2059"/>
            <w:shd w:fill="F5F6F5" w:color="auto" w:val="clear"/>
            <w:tcMar>
              <w:top w:type="dxa" w:w="80"/>
              <w:left w:type="dxa" w:w="100"/>
              <w:bottom w:type="dxa" w:w="80"/>
              <w:right w:type="dxa" w:w="100"/>
            </w:tcMar>
            <w:vAlign w:val="center"/>
          </w:tcPr>
          <w:p>
            <w:pPr>
              <w:spacing w:after="0"/>
            </w:pPr>
            <w:r>
              <w:rPr>
                <w:b w:val="false"/>
                <w:bCs w:val="false"/>
                <w:color w:val="12181C"/>
                <w:sz w:val="19"/>
                <w:szCs w:val="19"/>
              </w:rPr>
              <w:t xml:space="preserve">3.4.1</w:t>
            </w:r>
          </w:p>
        </w:tc>
        <w:tc>
          <w:tcPr>
            <w:tcW w:type="dxa" w:w="2246"/>
            <w:shd w:fill="F5F6F5" w:color="auto" w:val="clear"/>
            <w:tcMar>
              <w:top w:type="dxa" w:w="80"/>
              <w:left w:type="dxa" w:w="100"/>
              <w:bottom w:type="dxa" w:w="80"/>
              <w:right w:type="dxa" w:w="100"/>
            </w:tcMar>
            <w:vAlign w:val="center"/>
          </w:tcPr>
          <w:p>
            <w:pPr>
              <w:spacing w:after="0"/>
            </w:pPr>
            <w:r>
              <w:rPr>
                <w:b w:val="false"/>
                <w:bCs w:val="false"/>
                <w:color w:val="12181C"/>
                <w:sz w:val="19"/>
                <w:szCs w:val="19"/>
              </w:rPr>
              <w:t xml:space="preserve">Apache 2.0</w:t>
            </w:r>
          </w:p>
        </w:tc>
        <w:tc>
          <w:tcPr>
            <w:tcW w:type="dxa" w:w="2246"/>
            <w:shd w:fill="F5F6F5" w:color="auto" w:val="clear"/>
            <w:tcMar>
              <w:top w:type="dxa" w:w="80"/>
              <w:left w:type="dxa" w:w="100"/>
              <w:bottom w:type="dxa" w:w="80"/>
              <w:right w:type="dxa" w:w="100"/>
            </w:tcMar>
            <w:vAlign w:val="center"/>
          </w:tcPr>
          <w:p>
            <w:pPr>
              <w:spacing w:after="0"/>
            </w:pPr>
            <w:r>
              <w:rPr>
                <w:b w:val="false"/>
                <w:bCs w:val="false"/>
                <w:color w:val="12181C"/>
                <w:sz w:val="19"/>
                <w:szCs w:val="19"/>
              </w:rPr>
              <w:t xml:space="preserve">Free</w:t>
            </w:r>
          </w:p>
        </w:tc>
      </w:tr>
      <w:tr>
        <w:tc>
          <w:tcPr>
            <w:tcW w:type="dxa" w:w="2808"/>
            <w:tcMar>
              <w:top w:type="dxa" w:w="80"/>
              <w:left w:type="dxa" w:w="100"/>
              <w:bottom w:type="dxa" w:w="80"/>
              <w:right w:type="dxa" w:w="100"/>
            </w:tcMar>
            <w:vAlign w:val="center"/>
          </w:tcPr>
          <w:p>
            <w:pPr>
              <w:spacing w:after="0"/>
            </w:pPr>
            <w:r>
              <w:rPr>
                <w:b w:val="false"/>
                <w:bCs w:val="false"/>
                <w:color w:val="12181C"/>
                <w:sz w:val="19"/>
                <w:szCs w:val="19"/>
              </w:rPr>
              <w:t xml:space="preserve">SHAP</w:t>
            </w:r>
          </w:p>
        </w:tc>
        <w:tc>
          <w:tcPr>
            <w:tcW w:type="dxa" w:w="2059"/>
            <w:tcMar>
              <w:top w:type="dxa" w:w="80"/>
              <w:left w:type="dxa" w:w="100"/>
              <w:bottom w:type="dxa" w:w="80"/>
              <w:right w:type="dxa" w:w="100"/>
            </w:tcMar>
            <w:vAlign w:val="center"/>
          </w:tcPr>
          <w:p>
            <w:pPr>
              <w:spacing w:after="0"/>
            </w:pPr>
            <w:r>
              <w:rPr>
                <w:b w:val="false"/>
                <w:bCs w:val="false"/>
                <w:color w:val="12181C"/>
                <w:sz w:val="19"/>
                <w:szCs w:val="19"/>
              </w:rPr>
              <w:t xml:space="preserve">0.52.0</w:t>
            </w:r>
          </w:p>
        </w:tc>
        <w:tc>
          <w:tcPr>
            <w:tcW w:type="dxa" w:w="2246"/>
            <w:tcMar>
              <w:top w:type="dxa" w:w="80"/>
              <w:left w:type="dxa" w:w="100"/>
              <w:bottom w:type="dxa" w:w="80"/>
              <w:right w:type="dxa" w:w="100"/>
            </w:tcMar>
            <w:vAlign w:val="center"/>
          </w:tcPr>
          <w:p>
            <w:pPr>
              <w:spacing w:after="0"/>
            </w:pPr>
            <w:r>
              <w:rPr>
                <w:b w:val="false"/>
                <w:bCs w:val="false"/>
                <w:color w:val="12181C"/>
                <w:sz w:val="19"/>
                <w:szCs w:val="19"/>
              </w:rPr>
              <w:t xml:space="preserve">MIT</w:t>
            </w:r>
          </w:p>
        </w:tc>
        <w:tc>
          <w:tcPr>
            <w:tcW w:type="dxa" w:w="2246"/>
            <w:tcMar>
              <w:top w:type="dxa" w:w="80"/>
              <w:left w:type="dxa" w:w="100"/>
              <w:bottom w:type="dxa" w:w="80"/>
              <w:right w:type="dxa" w:w="100"/>
            </w:tcMar>
            <w:vAlign w:val="center"/>
          </w:tcPr>
          <w:p>
            <w:pPr>
              <w:spacing w:after="0"/>
            </w:pPr>
            <w:r>
              <w:rPr>
                <w:b w:val="false"/>
                <w:bCs w:val="false"/>
                <w:color w:val="12181C"/>
                <w:sz w:val="19"/>
                <w:szCs w:val="19"/>
              </w:rPr>
              <w:t xml:space="preserve">Free</w:t>
            </w:r>
          </w:p>
        </w:tc>
      </w:tr>
      <w:tr>
        <w:tc>
          <w:tcPr>
            <w:tcW w:type="dxa" w:w="2808"/>
            <w:shd w:fill="F5F6F5" w:color="auto" w:val="clear"/>
            <w:tcMar>
              <w:top w:type="dxa" w:w="80"/>
              <w:left w:type="dxa" w:w="100"/>
              <w:bottom w:type="dxa" w:w="80"/>
              <w:right w:type="dxa" w:w="100"/>
            </w:tcMar>
            <w:vAlign w:val="center"/>
          </w:tcPr>
          <w:p>
            <w:pPr>
              <w:spacing w:after="0"/>
            </w:pPr>
            <w:r>
              <w:rPr>
                <w:b w:val="false"/>
                <w:bCs w:val="false"/>
                <w:color w:val="12181C"/>
                <w:sz w:val="19"/>
                <w:szCs w:val="19"/>
              </w:rPr>
              <w:t xml:space="preserve">LIME</w:t>
            </w:r>
          </w:p>
        </w:tc>
        <w:tc>
          <w:tcPr>
            <w:tcW w:type="dxa" w:w="2059"/>
            <w:shd w:fill="F5F6F5" w:color="auto" w:val="clear"/>
            <w:tcMar>
              <w:top w:type="dxa" w:w="80"/>
              <w:left w:type="dxa" w:w="100"/>
              <w:bottom w:type="dxa" w:w="80"/>
              <w:right w:type="dxa" w:w="100"/>
            </w:tcMar>
            <w:vAlign w:val="center"/>
          </w:tcPr>
          <w:p>
            <w:pPr>
              <w:spacing w:after="0"/>
            </w:pPr>
            <w:r>
              <w:rPr>
                <w:b w:val="false"/>
                <w:bCs w:val="false"/>
                <w:color w:val="12181C"/>
                <w:sz w:val="19"/>
                <w:szCs w:val="19"/>
              </w:rPr>
              <w:t xml:space="preserve">0.2.0.1</w:t>
            </w:r>
          </w:p>
        </w:tc>
        <w:tc>
          <w:tcPr>
            <w:tcW w:type="dxa" w:w="2246"/>
            <w:shd w:fill="F5F6F5" w:color="auto" w:val="clear"/>
            <w:tcMar>
              <w:top w:type="dxa" w:w="80"/>
              <w:left w:type="dxa" w:w="100"/>
              <w:bottom w:type="dxa" w:w="80"/>
              <w:right w:type="dxa" w:w="100"/>
            </w:tcMar>
            <w:vAlign w:val="center"/>
          </w:tcPr>
          <w:p>
            <w:pPr>
              <w:spacing w:after="0"/>
            </w:pPr>
            <w:r>
              <w:rPr>
                <w:b w:val="false"/>
                <w:bCs w:val="false"/>
                <w:color w:val="12181C"/>
                <w:sz w:val="19"/>
                <w:szCs w:val="19"/>
              </w:rPr>
              <w:t xml:space="preserve">BSD</w:t>
            </w:r>
          </w:p>
        </w:tc>
        <w:tc>
          <w:tcPr>
            <w:tcW w:type="dxa" w:w="2246"/>
            <w:shd w:fill="F5F6F5" w:color="auto" w:val="clear"/>
            <w:tcMar>
              <w:top w:type="dxa" w:w="80"/>
              <w:left w:type="dxa" w:w="100"/>
              <w:bottom w:type="dxa" w:w="80"/>
              <w:right w:type="dxa" w:w="100"/>
            </w:tcMar>
            <w:vAlign w:val="center"/>
          </w:tcPr>
          <w:p>
            <w:pPr>
              <w:spacing w:after="0"/>
            </w:pPr>
            <w:r>
              <w:rPr>
                <w:b w:val="false"/>
                <w:bCs w:val="false"/>
                <w:color w:val="12181C"/>
                <w:sz w:val="19"/>
                <w:szCs w:val="19"/>
              </w:rPr>
              <w:t xml:space="preserve">Free</w:t>
            </w:r>
          </w:p>
        </w:tc>
      </w:tr>
      <w:tr>
        <w:tc>
          <w:tcPr>
            <w:tcW w:type="dxa" w:w="2808"/>
            <w:tcMar>
              <w:top w:type="dxa" w:w="80"/>
              <w:left w:type="dxa" w:w="100"/>
              <w:bottom w:type="dxa" w:w="80"/>
              <w:right w:type="dxa" w:w="100"/>
            </w:tcMar>
            <w:vAlign w:val="center"/>
          </w:tcPr>
          <w:p>
            <w:pPr>
              <w:spacing w:after="0"/>
            </w:pPr>
            <w:r>
              <w:rPr>
                <w:b w:val="false"/>
                <w:bCs w:val="false"/>
                <w:color w:val="12181C"/>
                <w:sz w:val="19"/>
                <w:szCs w:val="19"/>
              </w:rPr>
              <w:t xml:space="preserve">Streamlit</w:t>
            </w:r>
          </w:p>
        </w:tc>
        <w:tc>
          <w:tcPr>
            <w:tcW w:type="dxa" w:w="2059"/>
            <w:tcMar>
              <w:top w:type="dxa" w:w="80"/>
              <w:left w:type="dxa" w:w="100"/>
              <w:bottom w:type="dxa" w:w="80"/>
              <w:right w:type="dxa" w:w="100"/>
            </w:tcMar>
            <w:vAlign w:val="center"/>
          </w:tcPr>
          <w:p>
            <w:pPr>
              <w:spacing w:after="0"/>
            </w:pPr>
            <w:r>
              <w:rPr>
                <w:b w:val="false"/>
                <w:bCs w:val="false"/>
                <w:color w:val="12181C"/>
                <w:sz w:val="19"/>
                <w:szCs w:val="19"/>
              </w:rPr>
              <w:t xml:space="preserve">1.62.0</w:t>
            </w:r>
          </w:p>
        </w:tc>
        <w:tc>
          <w:tcPr>
            <w:tcW w:type="dxa" w:w="2246"/>
            <w:tcMar>
              <w:top w:type="dxa" w:w="80"/>
              <w:left w:type="dxa" w:w="100"/>
              <w:bottom w:type="dxa" w:w="80"/>
              <w:right w:type="dxa" w:w="100"/>
            </w:tcMar>
            <w:vAlign w:val="center"/>
          </w:tcPr>
          <w:p>
            <w:pPr>
              <w:spacing w:after="0"/>
            </w:pPr>
            <w:r>
              <w:rPr>
                <w:b w:val="false"/>
                <w:bCs w:val="false"/>
                <w:color w:val="12181C"/>
                <w:sz w:val="19"/>
                <w:szCs w:val="19"/>
              </w:rPr>
              <w:t xml:space="preserve">Apache 2.0</w:t>
            </w:r>
          </w:p>
        </w:tc>
        <w:tc>
          <w:tcPr>
            <w:tcW w:type="dxa" w:w="2246"/>
            <w:tcMar>
              <w:top w:type="dxa" w:w="80"/>
              <w:left w:type="dxa" w:w="100"/>
              <w:bottom w:type="dxa" w:w="80"/>
              <w:right w:type="dxa" w:w="100"/>
            </w:tcMar>
            <w:vAlign w:val="center"/>
          </w:tcPr>
          <w:p>
            <w:pPr>
              <w:spacing w:after="0"/>
            </w:pPr>
            <w:r>
              <w:rPr>
                <w:b w:val="false"/>
                <w:bCs w:val="false"/>
                <w:color w:val="12181C"/>
                <w:sz w:val="19"/>
                <w:szCs w:val="19"/>
              </w:rPr>
              <w:t xml:space="preserve">Free</w:t>
            </w:r>
          </w:p>
        </w:tc>
      </w:tr>
      <w:tr>
        <w:tc>
          <w:tcPr>
            <w:tcW w:type="dxa" w:w="2808"/>
            <w:shd w:fill="F5F6F5" w:color="auto" w:val="clear"/>
            <w:tcMar>
              <w:top w:type="dxa" w:w="80"/>
              <w:left w:type="dxa" w:w="100"/>
              <w:bottom w:type="dxa" w:w="80"/>
              <w:right w:type="dxa" w:w="100"/>
            </w:tcMar>
            <w:vAlign w:val="center"/>
          </w:tcPr>
          <w:p>
            <w:pPr>
              <w:spacing w:after="0"/>
            </w:pPr>
            <w:r>
              <w:rPr>
                <w:b w:val="false"/>
                <w:bCs w:val="false"/>
                <w:color w:val="12181C"/>
                <w:sz w:val="19"/>
                <w:szCs w:val="19"/>
              </w:rPr>
              <w:t xml:space="preserve">FastAPI</w:t>
            </w:r>
          </w:p>
        </w:tc>
        <w:tc>
          <w:tcPr>
            <w:tcW w:type="dxa" w:w="2059"/>
            <w:shd w:fill="F5F6F5" w:color="auto" w:val="clear"/>
            <w:tcMar>
              <w:top w:type="dxa" w:w="80"/>
              <w:left w:type="dxa" w:w="100"/>
              <w:bottom w:type="dxa" w:w="80"/>
              <w:right w:type="dxa" w:w="100"/>
            </w:tcMar>
            <w:vAlign w:val="center"/>
          </w:tcPr>
          <w:p>
            <w:pPr>
              <w:spacing w:after="0"/>
            </w:pPr>
            <w:r>
              <w:rPr>
                <w:b w:val="false"/>
                <w:bCs w:val="false"/>
                <w:color w:val="12181C"/>
                <w:sz w:val="19"/>
                <w:szCs w:val="19"/>
              </w:rPr>
              <w:t xml:space="preserve">0.141.1</w:t>
            </w:r>
          </w:p>
        </w:tc>
        <w:tc>
          <w:tcPr>
            <w:tcW w:type="dxa" w:w="2246"/>
            <w:shd w:fill="F5F6F5" w:color="auto" w:val="clear"/>
            <w:tcMar>
              <w:top w:type="dxa" w:w="80"/>
              <w:left w:type="dxa" w:w="100"/>
              <w:bottom w:type="dxa" w:w="80"/>
              <w:right w:type="dxa" w:w="100"/>
            </w:tcMar>
            <w:vAlign w:val="center"/>
          </w:tcPr>
          <w:p>
            <w:pPr>
              <w:spacing w:after="0"/>
            </w:pPr>
            <w:r>
              <w:rPr>
                <w:b w:val="false"/>
                <w:bCs w:val="false"/>
                <w:color w:val="12181C"/>
                <w:sz w:val="19"/>
                <w:szCs w:val="19"/>
              </w:rPr>
              <w:t xml:space="preserve">MIT</w:t>
            </w:r>
          </w:p>
        </w:tc>
        <w:tc>
          <w:tcPr>
            <w:tcW w:type="dxa" w:w="2246"/>
            <w:shd w:fill="F5F6F5" w:color="auto" w:val="clear"/>
            <w:tcMar>
              <w:top w:type="dxa" w:w="80"/>
              <w:left w:type="dxa" w:w="100"/>
              <w:bottom w:type="dxa" w:w="80"/>
              <w:right w:type="dxa" w:w="100"/>
            </w:tcMar>
            <w:vAlign w:val="center"/>
          </w:tcPr>
          <w:p>
            <w:pPr>
              <w:spacing w:after="0"/>
            </w:pPr>
            <w:r>
              <w:rPr>
                <w:b w:val="false"/>
                <w:bCs w:val="false"/>
                <w:color w:val="12181C"/>
                <w:sz w:val="19"/>
                <w:szCs w:val="19"/>
              </w:rPr>
              <w:t xml:space="preserve">Free</w:t>
            </w:r>
          </w:p>
        </w:tc>
      </w:tr>
      <w:tr>
        <w:tc>
          <w:tcPr>
            <w:tcW w:type="dxa" w:w="2808"/>
            <w:tcMar>
              <w:top w:type="dxa" w:w="80"/>
              <w:left w:type="dxa" w:w="100"/>
              <w:bottom w:type="dxa" w:w="80"/>
              <w:right w:type="dxa" w:w="100"/>
            </w:tcMar>
            <w:vAlign w:val="center"/>
          </w:tcPr>
          <w:p>
            <w:pPr>
              <w:spacing w:after="0"/>
            </w:pPr>
            <w:r>
              <w:rPr>
                <w:b w:val="false"/>
                <w:bCs w:val="false"/>
                <w:color w:val="12181C"/>
                <w:sz w:val="19"/>
                <w:szCs w:val="19"/>
              </w:rPr>
              <w:t xml:space="preserve">Docker</w:t>
            </w:r>
          </w:p>
        </w:tc>
        <w:tc>
          <w:tcPr>
            <w:tcW w:type="dxa" w:w="2059"/>
            <w:tcMar>
              <w:top w:type="dxa" w:w="80"/>
              <w:left w:type="dxa" w:w="100"/>
              <w:bottom w:type="dxa" w:w="80"/>
              <w:right w:type="dxa" w:w="100"/>
            </w:tcMar>
            <w:vAlign w:val="center"/>
          </w:tcPr>
          <w:p>
            <w:pPr>
              <w:spacing w:after="0"/>
            </w:pPr>
            <w:r>
              <w:rPr>
                <w:b w:val="false"/>
                <w:bCs w:val="false"/>
                <w:color w:val="12181C"/>
                <w:sz w:val="19"/>
                <w:szCs w:val="19"/>
              </w:rPr>
              <w:t xml:space="preserve">—</w:t>
            </w:r>
          </w:p>
        </w:tc>
        <w:tc>
          <w:tcPr>
            <w:tcW w:type="dxa" w:w="2246"/>
            <w:tcMar>
              <w:top w:type="dxa" w:w="80"/>
              <w:left w:type="dxa" w:w="100"/>
              <w:bottom w:type="dxa" w:w="80"/>
              <w:right w:type="dxa" w:w="100"/>
            </w:tcMar>
            <w:vAlign w:val="center"/>
          </w:tcPr>
          <w:p>
            <w:pPr>
              <w:spacing w:after="0"/>
            </w:pPr>
            <w:r>
              <w:rPr>
                <w:b w:val="false"/>
                <w:bCs w:val="false"/>
                <w:color w:val="12181C"/>
                <w:sz w:val="19"/>
                <w:szCs w:val="19"/>
              </w:rPr>
              <w:t xml:space="preserve">Apache 2.0</w:t>
            </w:r>
          </w:p>
        </w:tc>
        <w:tc>
          <w:tcPr>
            <w:tcW w:type="dxa" w:w="2246"/>
            <w:tcMar>
              <w:top w:type="dxa" w:w="80"/>
              <w:left w:type="dxa" w:w="100"/>
              <w:bottom w:type="dxa" w:w="80"/>
              <w:right w:type="dxa" w:w="100"/>
            </w:tcMar>
            <w:vAlign w:val="center"/>
          </w:tcPr>
          <w:p>
            <w:pPr>
              <w:spacing w:after="0"/>
            </w:pPr>
            <w:r>
              <w:rPr>
                <w:b w:val="false"/>
                <w:bCs w:val="false"/>
                <w:color w:val="12181C"/>
                <w:sz w:val="19"/>
                <w:szCs w:val="19"/>
              </w:rPr>
              <w:t xml:space="preserve">Free</w:t>
            </w:r>
          </w:p>
        </w:tc>
      </w:tr>
    </w:tbl>
    <w:p>
      <w:pPr>
        <w:pStyle w:val="Heading1"/>
        <w:pBdr>
          <w:bottom w:val="single" w:color="0E7C7B" w:sz="12" w:space="4"/>
        </w:pBdr>
        <w:spacing w:after="200" w:before="480"/>
      </w:pPr>
      <w:r>
        <w:rPr>
          <w:b/>
          <w:bCs/>
          <w:color w:val="0E7C7B"/>
          <w:sz w:val="30"/>
          <w:szCs w:val="30"/>
        </w:rPr>
        <w:t xml:space="preserve">Appendix B — Companion Documents</w:t>
      </w:r>
    </w:p>
    <w:p>
      <w:pPr>
        <w:pStyle w:val="ListParagraph"/>
        <w:numPr>
          <w:ilvl w:val="0"/>
          <w:numId w:val="2"/>
        </w:numPr>
        <w:spacing w:after="80" w:line="276"/>
      </w:pPr>
      <w:r>
        <w:rPr>
          <w:color w:val="12181C"/>
          <w:sz w:val="21"/>
          <w:szCs w:val="21"/>
        </w:rPr>
        <w:t xml:space="preserve">prd.md — scope, requirements, and the success criteria this document summarizes</w:t>
      </w:r>
    </w:p>
    <w:p>
      <w:pPr>
        <w:pStyle w:val="ListParagraph"/>
        <w:numPr>
          <w:ilvl w:val="0"/>
          <w:numId w:val="2"/>
        </w:numPr>
        <w:spacing w:after="80" w:line="276"/>
      </w:pPr>
      <w:r>
        <w:rPr>
          <w:color w:val="12181C"/>
          <w:sz w:val="21"/>
          <w:szCs w:val="21"/>
        </w:rPr>
        <w:t xml:space="preserve">architecture.md — full technical specification, verified code patterns, API contract, design system</w:t>
      </w:r>
    </w:p>
    <w:p>
      <w:pPr>
        <w:pStyle w:val="ListParagraph"/>
        <w:numPr>
          <w:ilvl w:val="0"/>
          <w:numId w:val="2"/>
        </w:numPr>
        <w:spacing w:after="80" w:line="276"/>
      </w:pPr>
      <w:r>
        <w:rPr>
          <w:color w:val="12181C"/>
          <w:sz w:val="21"/>
          <w:szCs w:val="21"/>
        </w:rPr>
        <w:t xml:space="preserve">roadmap.md — full phase-by-phase plan with exit criteria and cut-lines</w:t>
      </w:r>
    </w:p>
    <w:p>
      <w:pPr>
        <w:pStyle w:val="ListParagraph"/>
        <w:numPr>
          <w:ilvl w:val="0"/>
          <w:numId w:val="2"/>
        </w:numPr>
        <w:spacing w:after="80" w:line="276"/>
      </w:pPr>
      <w:r>
        <w:rPr>
          <w:color w:val="12181C"/>
          <w:sz w:val="21"/>
          <w:szCs w:val="21"/>
        </w:rPr>
        <w:t xml:space="preserve">decisions.md — the reasoning behind every non-obvious choice, including all verified defects and their fixes</w:t>
      </w:r>
    </w:p>
    <w:p>
      <w:pPr>
        <w:pStyle w:val="ListParagraph"/>
        <w:numPr>
          <w:ilvl w:val="0"/>
          <w:numId w:val="2"/>
        </w:numPr>
        <w:spacing w:after="80" w:line="276"/>
      </w:pPr>
      <w:r>
        <w:rPr>
          <w:color w:val="12181C"/>
          <w:sz w:val="21"/>
          <w:szCs w:val="21"/>
        </w:rPr>
        <w:t xml:space="preserve">AGENTS.md — standing instructions for AI coding agents (e.g. Antigravity) working in this repo</w:t>
      </w:r>
    </w:p>
    <w:p>
      <w:pPr>
        <w:pStyle w:val="ListParagraph"/>
        <w:numPr>
          <w:ilvl w:val="0"/>
          <w:numId w:val="2"/>
        </w:numPr>
        <w:spacing w:after="80" w:line="276"/>
      </w:pPr>
      <w:r>
        <w:rPr>
          <w:color w:val="12181C"/>
          <w:sz w:val="21"/>
          <w:szCs w:val="21"/>
        </w:rPr>
        <w:t xml:space="preserve">requirements.txt — the exact, tested dependency versions</w:t>
      </w:r>
    </w:p>
    <w:p>
      <w:pPr>
        <w:pBdr>
          <w:bottom w:val="single" w:color="D7DCDD" w:sz="6" w:space="1"/>
        </w:pBdr>
        <w:spacing w:after="200" w:before="100"/>
      </w:pPr>
      <w:r>
        <w:t xml:space="preserve"/>
      </w:r>
    </w:p>
    <w:p>
      <w:pPr>
        <w:spacing w:after="160" w:line="276"/>
      </w:pPr>
      <w:r>
        <w:rPr>
          <w:b w:val="false"/>
          <w:bCs w:val="false"/>
          <w:i/>
          <w:iCs/>
          <w:color w:val="12181C"/>
          <w:sz w:val="21"/>
          <w:szCs w:val="21"/>
        </w:rPr>
        <w:t xml:space="preserve">This document and its companions were prepared by cross-checking the original project concept against the live SIH26139 listing, independently verifiable research, the real SIH 2026 calendar, and multiple rounds of actual working builds in a live sandbox — including two independent review passes that each found and fixed real defects (bad gradients, index collisions, an inverted-label risk, an unfair model comparison) by testing, not assuming — rather than by taking any draft at face value.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DCDD" w:sz="4" w:space="4"/>
      </w:pBdr>
      <w:jc w:val="center"/>
    </w:pPr>
    <w:r>
      <w:rPr>
        <w:color w:val="5A6266"/>
        <w:sz w:val="16"/>
        <w:szCs w:val="16"/>
      </w:rPr>
      <w:t xml:space="preserve">SIH26139 — Hybrid Quantum ML for Early Disease Detection   ·   Page </w:t>
    </w:r>
    <w:r>
      <w:rPr>
        <w:color w:val="5A6266"/>
        <w:sz w:val="16"/>
        <w:szCs w:val="16"/>
      </w:rPr>
      <w:fldChar w:fldCharType="begin"/>
      <w:instrText xml:space="preserve">PAGE</w:instrText>
      <w:fldChar w:fldCharType="separate"/>
      <w:fldChar w:fldCharType="end"/>
    </w:r>
    <w:r>
      <w:rPr>
        <w:color w:val="5A6266"/>
        <w:sz w:val="16"/>
        <w:szCs w:val="16"/>
      </w:rPr>
      <w:t xml:space="preserve"> of </w:t>
    </w:r>
    <w:r>
      <w:rPr>
        <w:color w:val="5A62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2026-08-29T04:46:26.333Z</dcterms:created>
  <dcterms:modified xsi:type="dcterms:W3CDTF">2026-08-29T04:46:26.342Z</dcterms:modified>
</cp:coreProperties>
</file>

<file path=docProps/custom.xml><?xml version="1.0" encoding="utf-8"?>
<Properties xmlns="http://schemas.openxmlformats.org/officeDocument/2006/custom-properties" xmlns:vt="http://schemas.openxmlformats.org/officeDocument/2006/docPropsVTypes"/>
</file>