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6AD4" w14:textId="77777777" w:rsidR="00687DB0" w:rsidRDefault="00000000">
      <w:pPr>
        <w:spacing w:after="60"/>
        <w:jc w:val="center"/>
      </w:pPr>
      <w:r>
        <w:rPr>
          <w:rFonts w:ascii="Calibri" w:eastAsia="Calibri" w:hAnsi="Calibri" w:cs="Calibri"/>
          <w:b/>
          <w:bCs/>
          <w:color w:val="1F3864"/>
          <w:sz w:val="36"/>
          <w:szCs w:val="36"/>
        </w:rPr>
        <w:t>BENEFIT-RISK ASSESSMENT</w:t>
      </w:r>
    </w:p>
    <w:p w14:paraId="4D2D0475" w14:textId="77777777" w:rsidR="00687DB0" w:rsidRDefault="00000000">
      <w:pPr>
        <w:spacing w:after="320"/>
        <w:jc w:val="center"/>
      </w:pPr>
      <w:r>
        <w:rPr>
          <w:rFonts w:ascii="Calibri" w:eastAsia="Calibri" w:hAnsi="Calibri" w:cs="Calibri"/>
          <w:i/>
          <w:iCs/>
          <w:color w:val="555555"/>
          <w:sz w:val="24"/>
          <w:szCs w:val="24"/>
        </w:rPr>
        <w:t>Semaglutide — Cardiometabolic Benefit vs. Suicidality Signal and Known Risks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87DB0" w14:paraId="10403B08" w14:textId="77777777">
        <w:tc>
          <w:tcPr>
            <w:tcW w:w="2600" w:type="dxa"/>
            <w:shd w:val="clear" w:color="auto" w:fill="F2F2F2"/>
            <w:tcMar>
              <w:top w:w="80" w:type="dxa"/>
              <w:left w:w="100" w:type="dxa"/>
              <w:bottom w:w="80" w:type="dxa"/>
              <w:right w:w="100" w:type="dxa"/>
            </w:tcMar>
            <w:vAlign w:val="center"/>
          </w:tcPr>
          <w:p w14:paraId="5310D43E" w14:textId="77777777" w:rsidR="00687DB0" w:rsidRDefault="00000000">
            <w:r>
              <w:rPr>
                <w:rFonts w:ascii="Calibri" w:eastAsia="Calibri" w:hAnsi="Calibri" w:cs="Calibri"/>
                <w:b/>
                <w:bCs/>
                <w:color w:val="000000"/>
              </w:rPr>
              <w:t>Drug of interest</w:t>
            </w:r>
          </w:p>
        </w:tc>
        <w:tc>
          <w:tcPr>
            <w:tcW w:w="6750" w:type="dxa"/>
            <w:tcMar>
              <w:top w:w="80" w:type="dxa"/>
              <w:left w:w="100" w:type="dxa"/>
              <w:bottom w:w="80" w:type="dxa"/>
              <w:right w:w="100" w:type="dxa"/>
            </w:tcMar>
            <w:vAlign w:val="center"/>
          </w:tcPr>
          <w:p w14:paraId="47AB4343" w14:textId="77777777" w:rsidR="00687DB0" w:rsidRDefault="00000000">
            <w:r>
              <w:rPr>
                <w:rFonts w:ascii="Calibri" w:eastAsia="Calibri" w:hAnsi="Calibri" w:cs="Calibri"/>
                <w:color w:val="000000"/>
              </w:rPr>
              <w:t>Semaglutide (Ozempic / Wegovy / Rybelsus) — GLP-1 receptor agonist</w:t>
            </w:r>
          </w:p>
        </w:tc>
      </w:tr>
      <w:tr w:rsidR="00687DB0" w14:paraId="3DFBB318" w14:textId="77777777">
        <w:tc>
          <w:tcPr>
            <w:tcW w:w="2600" w:type="dxa"/>
            <w:shd w:val="clear" w:color="auto" w:fill="F2F2F2"/>
            <w:tcMar>
              <w:top w:w="80" w:type="dxa"/>
              <w:left w:w="100" w:type="dxa"/>
              <w:bottom w:w="80" w:type="dxa"/>
              <w:right w:w="100" w:type="dxa"/>
            </w:tcMar>
            <w:vAlign w:val="center"/>
          </w:tcPr>
          <w:p w14:paraId="0B2565A5" w14:textId="77777777" w:rsidR="00687DB0" w:rsidRDefault="00000000">
            <w:r>
              <w:rPr>
                <w:rFonts w:ascii="Calibri" w:eastAsia="Calibri" w:hAnsi="Calibri" w:cs="Calibri"/>
                <w:b/>
                <w:bCs/>
                <w:color w:val="000000"/>
              </w:rPr>
              <w:t>Indications covered</w:t>
            </w:r>
          </w:p>
        </w:tc>
        <w:tc>
          <w:tcPr>
            <w:tcW w:w="6750" w:type="dxa"/>
            <w:tcMar>
              <w:top w:w="80" w:type="dxa"/>
              <w:left w:w="100" w:type="dxa"/>
              <w:bottom w:w="80" w:type="dxa"/>
              <w:right w:w="100" w:type="dxa"/>
            </w:tcMar>
            <w:vAlign w:val="center"/>
          </w:tcPr>
          <w:p w14:paraId="34B92636" w14:textId="77777777" w:rsidR="00687DB0" w:rsidRDefault="00000000">
            <w:r>
              <w:rPr>
                <w:rFonts w:ascii="Calibri" w:eastAsia="Calibri" w:hAnsi="Calibri" w:cs="Calibri"/>
                <w:color w:val="000000"/>
              </w:rPr>
              <w:t>Type 2 diabetes (Ozempic, Rybelsus); chronic weight management (Wegovy); cardiovascular risk reduction in overweight/obese adults with established CVD (Wegovy, per SELECT trial label expansion)</w:t>
            </w:r>
          </w:p>
        </w:tc>
      </w:tr>
      <w:tr w:rsidR="00687DB0" w14:paraId="62EAAF6D" w14:textId="77777777">
        <w:tc>
          <w:tcPr>
            <w:tcW w:w="2600" w:type="dxa"/>
            <w:shd w:val="clear" w:color="auto" w:fill="F2F2F2"/>
            <w:tcMar>
              <w:top w:w="80" w:type="dxa"/>
              <w:left w:w="100" w:type="dxa"/>
              <w:bottom w:w="80" w:type="dxa"/>
              <w:right w:w="100" w:type="dxa"/>
            </w:tcMar>
            <w:vAlign w:val="center"/>
          </w:tcPr>
          <w:p w14:paraId="7C127283" w14:textId="77777777" w:rsidR="00687DB0" w:rsidRDefault="00000000">
            <w:r>
              <w:rPr>
                <w:rFonts w:ascii="Calibri" w:eastAsia="Calibri" w:hAnsi="Calibri" w:cs="Calibri"/>
                <w:b/>
                <w:bCs/>
                <w:color w:val="000000"/>
              </w:rPr>
              <w:t>Framework</w:t>
            </w:r>
          </w:p>
        </w:tc>
        <w:tc>
          <w:tcPr>
            <w:tcW w:w="6750" w:type="dxa"/>
            <w:tcMar>
              <w:top w:w="80" w:type="dxa"/>
              <w:left w:w="100" w:type="dxa"/>
              <w:bottom w:w="80" w:type="dxa"/>
              <w:right w:w="100" w:type="dxa"/>
            </w:tcMar>
            <w:vAlign w:val="center"/>
          </w:tcPr>
          <w:p w14:paraId="6AC000C7" w14:textId="77777777" w:rsidR="00687DB0" w:rsidRDefault="00000000">
            <w:r>
              <w:rPr>
                <w:rFonts w:ascii="Calibri" w:eastAsia="Calibri" w:hAnsi="Calibri" w:cs="Calibri"/>
                <w:color w:val="000000"/>
              </w:rPr>
              <w:t xml:space="preserve">Multi-Criteria Decision Analysis (MCDA), informed by the BRAT (Benefit-Risk Action Team) and </w:t>
            </w:r>
            <w:proofErr w:type="spellStart"/>
            <w:r>
              <w:rPr>
                <w:rFonts w:ascii="Calibri" w:eastAsia="Calibri" w:hAnsi="Calibri" w:cs="Calibri"/>
                <w:color w:val="000000"/>
              </w:rPr>
              <w:t>PrOACT</w:t>
            </w:r>
            <w:proofErr w:type="spellEnd"/>
            <w:r>
              <w:rPr>
                <w:rFonts w:ascii="Calibri" w:eastAsia="Calibri" w:hAnsi="Calibri" w:cs="Calibri"/>
                <w:color w:val="000000"/>
              </w:rPr>
              <w:t>-URL frameworks</w:t>
            </w:r>
          </w:p>
        </w:tc>
      </w:tr>
      <w:tr w:rsidR="00687DB0" w14:paraId="2460F130" w14:textId="77777777">
        <w:tc>
          <w:tcPr>
            <w:tcW w:w="2600" w:type="dxa"/>
            <w:shd w:val="clear" w:color="auto" w:fill="F2F2F2"/>
            <w:tcMar>
              <w:top w:w="80" w:type="dxa"/>
              <w:left w:w="100" w:type="dxa"/>
              <w:bottom w:w="80" w:type="dxa"/>
              <w:right w:w="100" w:type="dxa"/>
            </w:tcMar>
            <w:vAlign w:val="center"/>
          </w:tcPr>
          <w:p w14:paraId="6058E055" w14:textId="77777777" w:rsidR="00687DB0" w:rsidRDefault="00000000">
            <w:r>
              <w:rPr>
                <w:rFonts w:ascii="Calibri" w:eastAsia="Calibri" w:hAnsi="Calibri" w:cs="Calibri"/>
                <w:b/>
                <w:bCs/>
                <w:color w:val="000000"/>
              </w:rPr>
              <w:t>Inputs</w:t>
            </w:r>
          </w:p>
        </w:tc>
        <w:tc>
          <w:tcPr>
            <w:tcW w:w="6750" w:type="dxa"/>
            <w:tcMar>
              <w:top w:w="80" w:type="dxa"/>
              <w:left w:w="100" w:type="dxa"/>
              <w:bottom w:w="80" w:type="dxa"/>
              <w:right w:w="100" w:type="dxa"/>
            </w:tcMar>
            <w:vAlign w:val="center"/>
          </w:tcPr>
          <w:p w14:paraId="4CA300C2" w14:textId="77777777" w:rsidR="00687DB0" w:rsidRDefault="00000000">
            <w:r>
              <w:rPr>
                <w:rFonts w:ascii="Calibri" w:eastAsia="Calibri" w:hAnsi="Calibri" w:cs="Calibri"/>
                <w:color w:val="000000"/>
              </w:rPr>
              <w:t>Benefit data: SELECT and STEP randomized controlled trials (real, cited). Risk data: FAERS/</w:t>
            </w:r>
            <w:proofErr w:type="spellStart"/>
            <w:r>
              <w:rPr>
                <w:rFonts w:ascii="Calibri" w:eastAsia="Calibri" w:hAnsi="Calibri" w:cs="Calibri"/>
                <w:color w:val="000000"/>
              </w:rPr>
              <w:t>VigiBase</w:t>
            </w:r>
            <w:proofErr w:type="spellEnd"/>
            <w:r>
              <w:rPr>
                <w:rFonts w:ascii="Calibri" w:eastAsia="Calibri" w:hAnsi="Calibri" w:cs="Calibri"/>
                <w:color w:val="000000"/>
              </w:rPr>
              <w:t xml:space="preserve"> disproportionality findings from Phase 1–2 of this project (real, cited).</w:t>
            </w:r>
          </w:p>
        </w:tc>
      </w:tr>
      <w:tr w:rsidR="00687DB0" w14:paraId="2DD47E5D" w14:textId="77777777">
        <w:tc>
          <w:tcPr>
            <w:tcW w:w="2600" w:type="dxa"/>
            <w:shd w:val="clear" w:color="auto" w:fill="F2F2F2"/>
            <w:tcMar>
              <w:top w:w="80" w:type="dxa"/>
              <w:left w:w="100" w:type="dxa"/>
              <w:bottom w:w="80" w:type="dxa"/>
              <w:right w:w="100" w:type="dxa"/>
            </w:tcMar>
            <w:vAlign w:val="center"/>
          </w:tcPr>
          <w:p w14:paraId="361188B1" w14:textId="77777777" w:rsidR="00687DB0" w:rsidRDefault="00000000">
            <w:r>
              <w:rPr>
                <w:rFonts w:ascii="Calibri" w:eastAsia="Calibri" w:hAnsi="Calibri" w:cs="Calibri"/>
                <w:b/>
                <w:bCs/>
                <w:color w:val="000000"/>
              </w:rPr>
              <w:t>Prepared by</w:t>
            </w:r>
          </w:p>
        </w:tc>
        <w:tc>
          <w:tcPr>
            <w:tcW w:w="6750" w:type="dxa"/>
            <w:tcMar>
              <w:top w:w="80" w:type="dxa"/>
              <w:left w:w="100" w:type="dxa"/>
              <w:bottom w:w="80" w:type="dxa"/>
              <w:right w:w="100" w:type="dxa"/>
            </w:tcMar>
            <w:vAlign w:val="center"/>
          </w:tcPr>
          <w:p w14:paraId="59B5C85D" w14:textId="02EADFDB" w:rsidR="00687DB0" w:rsidRDefault="008E6BB4">
            <w:r>
              <w:t xml:space="preserve">Munshi </w:t>
            </w:r>
            <w:proofErr w:type="spellStart"/>
            <w:r>
              <w:t>Zeehaan</w:t>
            </w:r>
            <w:proofErr w:type="spellEnd"/>
            <w:r>
              <w:t xml:space="preserve"> Aktar</w:t>
            </w:r>
          </w:p>
        </w:tc>
      </w:tr>
      <w:tr w:rsidR="00687DB0" w14:paraId="0BA5B633" w14:textId="77777777">
        <w:tc>
          <w:tcPr>
            <w:tcW w:w="2600" w:type="dxa"/>
            <w:shd w:val="clear" w:color="auto" w:fill="F2F2F2"/>
            <w:tcMar>
              <w:top w:w="80" w:type="dxa"/>
              <w:left w:w="100" w:type="dxa"/>
              <w:bottom w:w="80" w:type="dxa"/>
              <w:right w:w="100" w:type="dxa"/>
            </w:tcMar>
            <w:vAlign w:val="center"/>
          </w:tcPr>
          <w:p w14:paraId="4C0082D0" w14:textId="77777777" w:rsidR="00687DB0" w:rsidRDefault="00000000">
            <w:r>
              <w:rPr>
                <w:rFonts w:ascii="Calibri" w:eastAsia="Calibri" w:hAnsi="Calibri" w:cs="Calibri"/>
                <w:b/>
                <w:bCs/>
                <w:color w:val="000000"/>
              </w:rPr>
              <w:t>Date</w:t>
            </w:r>
          </w:p>
        </w:tc>
        <w:tc>
          <w:tcPr>
            <w:tcW w:w="6750" w:type="dxa"/>
            <w:tcMar>
              <w:top w:w="80" w:type="dxa"/>
              <w:left w:w="100" w:type="dxa"/>
              <w:bottom w:w="80" w:type="dxa"/>
              <w:right w:w="100" w:type="dxa"/>
            </w:tcMar>
            <w:vAlign w:val="center"/>
          </w:tcPr>
          <w:p w14:paraId="4AA734E9" w14:textId="1817EA22" w:rsidR="00687DB0" w:rsidRDefault="008E6BB4">
            <w:r>
              <w:t>08 / 09 / 2026</w:t>
            </w:r>
          </w:p>
        </w:tc>
      </w:tr>
      <w:tr w:rsidR="00687DB0" w14:paraId="05CBBB22" w14:textId="77777777">
        <w:tc>
          <w:tcPr>
            <w:tcW w:w="2600" w:type="dxa"/>
            <w:shd w:val="clear" w:color="auto" w:fill="F2F2F2"/>
            <w:tcMar>
              <w:top w:w="80" w:type="dxa"/>
              <w:left w:w="100" w:type="dxa"/>
              <w:bottom w:w="80" w:type="dxa"/>
              <w:right w:w="100" w:type="dxa"/>
            </w:tcMar>
            <w:vAlign w:val="center"/>
          </w:tcPr>
          <w:p w14:paraId="6F4B770D" w14:textId="77777777" w:rsidR="00687DB0" w:rsidRDefault="00000000">
            <w:r>
              <w:rPr>
                <w:rFonts w:ascii="Calibri" w:eastAsia="Calibri" w:hAnsi="Calibri" w:cs="Calibri"/>
                <w:b/>
                <w:bCs/>
                <w:color w:val="000000"/>
              </w:rPr>
              <w:t>Status</w:t>
            </w:r>
          </w:p>
        </w:tc>
        <w:tc>
          <w:tcPr>
            <w:tcW w:w="6750" w:type="dxa"/>
            <w:tcMar>
              <w:top w:w="80" w:type="dxa"/>
              <w:left w:w="100" w:type="dxa"/>
              <w:bottom w:w="80" w:type="dxa"/>
              <w:right w:w="100" w:type="dxa"/>
            </w:tcMar>
            <w:vAlign w:val="center"/>
          </w:tcPr>
          <w:p w14:paraId="3D23143A" w14:textId="77777777" w:rsidR="00687DB0" w:rsidRDefault="00000000">
            <w:r>
              <w:rPr>
                <w:rFonts w:ascii="Calibri" w:eastAsia="Calibri" w:hAnsi="Calibri" w:cs="Calibri"/>
                <w:color w:val="000000"/>
              </w:rPr>
              <w:t>DRAFT — criterion weights are illustrative; see Section 3 methodology note</w:t>
            </w:r>
          </w:p>
        </w:tc>
      </w:tr>
    </w:tbl>
    <w:p w14:paraId="73D6B475"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t>1. Purpose and Framework</w:t>
      </w:r>
    </w:p>
    <w:p w14:paraId="0ED5D3AF" w14:textId="77777777" w:rsidR="00687DB0" w:rsidRDefault="00000000">
      <w:pPr>
        <w:spacing w:after="160" w:line="276" w:lineRule="auto"/>
      </w:pPr>
      <w:r>
        <w:rPr>
          <w:rFonts w:ascii="Calibri" w:eastAsia="Calibri" w:hAnsi="Calibri" w:cs="Calibri"/>
          <w:sz w:val="22"/>
          <w:szCs w:val="22"/>
        </w:rPr>
        <w:t xml:space="preserve">This assessment weighs the established cardiometabolic benefits of semaglutide against its known and suspected risks, incorporating the suicidality signal characterized in this project's Phase 1 (signal detection) and Phase 2 (signal validation) work. It follows a Multi-Criteria Decision Analysis (MCDA) structure, informed by the BRAT framework's step of defining a value tree of benefit and risk criteria, and by </w:t>
      </w:r>
      <w:proofErr w:type="spellStart"/>
      <w:r>
        <w:rPr>
          <w:rFonts w:ascii="Calibri" w:eastAsia="Calibri" w:hAnsi="Calibri" w:cs="Calibri"/>
          <w:sz w:val="22"/>
          <w:szCs w:val="22"/>
        </w:rPr>
        <w:t>PrOACT</w:t>
      </w:r>
      <w:proofErr w:type="spellEnd"/>
      <w:r>
        <w:rPr>
          <w:rFonts w:ascii="Calibri" w:eastAsia="Calibri" w:hAnsi="Calibri" w:cs="Calibri"/>
          <w:sz w:val="22"/>
          <w:szCs w:val="22"/>
        </w:rPr>
        <w:t>-URL's emphasis on making trade-offs explicit and auditable rather than implicit.</w:t>
      </w:r>
    </w:p>
    <w:p w14:paraId="3C2698B2" w14:textId="77777777" w:rsidR="00687DB0" w:rsidRDefault="00000000">
      <w:pPr>
        <w:spacing w:after="160" w:line="276" w:lineRule="auto"/>
      </w:pPr>
      <w:r>
        <w:rPr>
          <w:rFonts w:ascii="Calibri" w:eastAsia="Calibri" w:hAnsi="Calibri" w:cs="Calibri"/>
          <w:sz w:val="22"/>
          <w:szCs w:val="22"/>
        </w:rPr>
        <w:t>Unlike Phases 1–2, this assessment necessarily involves judgment calls — specifically, the relative importance ("weight") assigned to each criterion. Those weights are not empirical facts to be looked up; they reflect a value judgment about how much a given clinical outcome matters relative to others. This memo makes its weighting explicit and flags it clearly so any reader can substitute their own judgment and see how the conclusion changes (Section 4).</w:t>
      </w:r>
    </w:p>
    <w:p w14:paraId="2FBCC061"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t>2. Benefit Summary</w:t>
      </w:r>
    </w:p>
    <w:p w14:paraId="772D094D" w14:textId="77777777" w:rsidR="00687DB0" w:rsidRDefault="00000000">
      <w:pPr>
        <w:spacing w:after="160" w:line="276" w:lineRule="auto"/>
      </w:pPr>
      <w:r>
        <w:rPr>
          <w:rFonts w:ascii="Calibri" w:eastAsia="Calibri" w:hAnsi="Calibri" w:cs="Calibri"/>
          <w:sz w:val="22"/>
          <w:szCs w:val="22"/>
        </w:rPr>
        <w:t>The benefits below are drawn from two large, real randomized controlled trials: SELECT (cardiovascular outcomes in overweight/obese adults with established CVD, without diabetes) and STEP 1 (weight management). Both are landmark trials for this drug and are the strongest tier of evidence available.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100"/>
        <w:gridCol w:w="1850"/>
      </w:tblGrid>
      <w:tr w:rsidR="00687DB0" w14:paraId="00AED71D" w14:textId="77777777">
        <w:trPr>
          <w:tblHeader/>
        </w:trPr>
        <w:tc>
          <w:tcPr>
            <w:tcW w:w="2200" w:type="dxa"/>
            <w:shd w:val="clear" w:color="auto" w:fill="1F3864"/>
            <w:tcMar>
              <w:top w:w="80" w:type="dxa"/>
              <w:left w:w="100" w:type="dxa"/>
              <w:bottom w:w="80" w:type="dxa"/>
              <w:right w:w="100" w:type="dxa"/>
            </w:tcMar>
            <w:vAlign w:val="center"/>
          </w:tcPr>
          <w:p w14:paraId="15CAB46E" w14:textId="77777777" w:rsidR="00687DB0" w:rsidRDefault="00000000">
            <w:pPr>
              <w:jc w:val="center"/>
            </w:pPr>
            <w:r>
              <w:rPr>
                <w:rFonts w:ascii="Calibri" w:eastAsia="Calibri" w:hAnsi="Calibri" w:cs="Calibri"/>
                <w:b/>
                <w:bCs/>
                <w:color w:val="FFFFFF"/>
              </w:rPr>
              <w:t>Benefit criterion</w:t>
            </w:r>
          </w:p>
        </w:tc>
        <w:tc>
          <w:tcPr>
            <w:tcW w:w="2200" w:type="dxa"/>
            <w:shd w:val="clear" w:color="auto" w:fill="1F3864"/>
            <w:tcMar>
              <w:top w:w="80" w:type="dxa"/>
              <w:left w:w="100" w:type="dxa"/>
              <w:bottom w:w="80" w:type="dxa"/>
              <w:right w:w="100" w:type="dxa"/>
            </w:tcMar>
            <w:vAlign w:val="center"/>
          </w:tcPr>
          <w:p w14:paraId="1C789157" w14:textId="77777777" w:rsidR="00687DB0" w:rsidRDefault="00000000">
            <w:pPr>
              <w:jc w:val="center"/>
            </w:pPr>
            <w:r>
              <w:rPr>
                <w:rFonts w:ascii="Calibri" w:eastAsia="Calibri" w:hAnsi="Calibri" w:cs="Calibri"/>
                <w:b/>
                <w:bCs/>
                <w:color w:val="FFFFFF"/>
              </w:rPr>
              <w:t>Trial (N)</w:t>
            </w:r>
          </w:p>
        </w:tc>
        <w:tc>
          <w:tcPr>
            <w:tcW w:w="3100" w:type="dxa"/>
            <w:shd w:val="clear" w:color="auto" w:fill="1F3864"/>
            <w:tcMar>
              <w:top w:w="80" w:type="dxa"/>
              <w:left w:w="100" w:type="dxa"/>
              <w:bottom w:w="80" w:type="dxa"/>
              <w:right w:w="100" w:type="dxa"/>
            </w:tcMar>
            <w:vAlign w:val="center"/>
          </w:tcPr>
          <w:p w14:paraId="586C84FB" w14:textId="77777777" w:rsidR="00687DB0" w:rsidRDefault="00000000">
            <w:pPr>
              <w:jc w:val="center"/>
            </w:pPr>
            <w:r>
              <w:rPr>
                <w:rFonts w:ascii="Calibri" w:eastAsia="Calibri" w:hAnsi="Calibri" w:cs="Calibri"/>
                <w:b/>
                <w:bCs/>
                <w:color w:val="FFFFFF"/>
              </w:rPr>
              <w:t>Result</w:t>
            </w:r>
          </w:p>
        </w:tc>
        <w:tc>
          <w:tcPr>
            <w:tcW w:w="1850" w:type="dxa"/>
            <w:shd w:val="clear" w:color="auto" w:fill="1F3864"/>
            <w:tcMar>
              <w:top w:w="80" w:type="dxa"/>
              <w:left w:w="100" w:type="dxa"/>
              <w:bottom w:w="80" w:type="dxa"/>
              <w:right w:w="100" w:type="dxa"/>
            </w:tcMar>
            <w:vAlign w:val="center"/>
          </w:tcPr>
          <w:p w14:paraId="56366ADF" w14:textId="77777777" w:rsidR="00687DB0" w:rsidRDefault="00000000">
            <w:pPr>
              <w:jc w:val="center"/>
            </w:pPr>
            <w:r>
              <w:rPr>
                <w:rFonts w:ascii="Calibri" w:eastAsia="Calibri" w:hAnsi="Calibri" w:cs="Calibri"/>
                <w:b/>
                <w:bCs/>
                <w:color w:val="FFFFFF"/>
              </w:rPr>
              <w:t>Certainty of evidence</w:t>
            </w:r>
          </w:p>
        </w:tc>
      </w:tr>
      <w:tr w:rsidR="00687DB0" w14:paraId="2222332F" w14:textId="77777777">
        <w:trPr>
          <w:cantSplit/>
        </w:trPr>
        <w:tc>
          <w:tcPr>
            <w:tcW w:w="2200" w:type="dxa"/>
            <w:shd w:val="clear" w:color="auto" w:fill="E2EFDA"/>
            <w:tcMar>
              <w:top w:w="80" w:type="dxa"/>
              <w:left w:w="100" w:type="dxa"/>
              <w:bottom w:w="80" w:type="dxa"/>
              <w:right w:w="100" w:type="dxa"/>
            </w:tcMar>
            <w:vAlign w:val="center"/>
          </w:tcPr>
          <w:p w14:paraId="4E7F2ECE" w14:textId="77777777" w:rsidR="00687DB0" w:rsidRDefault="00000000">
            <w:r>
              <w:rPr>
                <w:rFonts w:ascii="Calibri" w:eastAsia="Calibri" w:hAnsi="Calibri" w:cs="Calibri"/>
                <w:color w:val="000000"/>
              </w:rPr>
              <w:t>Major cardiovascular event reduction (MACE)</w:t>
            </w:r>
          </w:p>
        </w:tc>
        <w:tc>
          <w:tcPr>
            <w:tcW w:w="2200" w:type="dxa"/>
            <w:shd w:val="clear" w:color="auto" w:fill="E2EFDA"/>
            <w:tcMar>
              <w:top w:w="80" w:type="dxa"/>
              <w:left w:w="100" w:type="dxa"/>
              <w:bottom w:w="80" w:type="dxa"/>
              <w:right w:w="100" w:type="dxa"/>
            </w:tcMar>
            <w:vAlign w:val="center"/>
          </w:tcPr>
          <w:p w14:paraId="00336251" w14:textId="77777777" w:rsidR="00687DB0" w:rsidRDefault="00000000">
            <w:pPr>
              <w:jc w:val="center"/>
            </w:pPr>
            <w:r>
              <w:rPr>
                <w:rFonts w:ascii="Calibri" w:eastAsia="Calibri" w:hAnsi="Calibri" w:cs="Calibri"/>
                <w:color w:val="000000"/>
              </w:rPr>
              <w:t>SELECT (N=17,604)</w:t>
            </w:r>
          </w:p>
        </w:tc>
        <w:tc>
          <w:tcPr>
            <w:tcW w:w="3100" w:type="dxa"/>
            <w:shd w:val="clear" w:color="auto" w:fill="E2EFDA"/>
            <w:tcMar>
              <w:top w:w="80" w:type="dxa"/>
              <w:left w:w="100" w:type="dxa"/>
              <w:bottom w:w="80" w:type="dxa"/>
              <w:right w:w="100" w:type="dxa"/>
            </w:tcMar>
            <w:vAlign w:val="center"/>
          </w:tcPr>
          <w:p w14:paraId="4E4F7552" w14:textId="77777777" w:rsidR="00687DB0" w:rsidRDefault="00000000">
            <w:pPr>
              <w:jc w:val="center"/>
            </w:pPr>
            <w:r>
              <w:rPr>
                <w:rFonts w:ascii="Calibri" w:eastAsia="Calibri" w:hAnsi="Calibri" w:cs="Calibri"/>
                <w:color w:val="000000"/>
              </w:rPr>
              <w:t>20% relative risk reduction; HR 0.80 (95% CI 0.72–0.90), P&lt;0.001</w:t>
            </w:r>
          </w:p>
        </w:tc>
        <w:tc>
          <w:tcPr>
            <w:tcW w:w="1850" w:type="dxa"/>
            <w:shd w:val="clear" w:color="auto" w:fill="E2EFDA"/>
            <w:tcMar>
              <w:top w:w="80" w:type="dxa"/>
              <w:left w:w="100" w:type="dxa"/>
              <w:bottom w:w="80" w:type="dxa"/>
              <w:right w:w="100" w:type="dxa"/>
            </w:tcMar>
            <w:vAlign w:val="center"/>
          </w:tcPr>
          <w:p w14:paraId="5954B7F6" w14:textId="77777777" w:rsidR="00687DB0" w:rsidRDefault="00000000">
            <w:pPr>
              <w:jc w:val="center"/>
            </w:pPr>
            <w:r>
              <w:rPr>
                <w:rFonts w:ascii="Calibri" w:eastAsia="Calibri" w:hAnsi="Calibri" w:cs="Calibri"/>
                <w:color w:val="000000"/>
              </w:rPr>
              <w:t>High — large RCT, hard clinical endpoint</w:t>
            </w:r>
          </w:p>
        </w:tc>
      </w:tr>
      <w:tr w:rsidR="00687DB0" w14:paraId="561DA1B9" w14:textId="77777777">
        <w:trPr>
          <w:cantSplit/>
        </w:trPr>
        <w:tc>
          <w:tcPr>
            <w:tcW w:w="2200" w:type="dxa"/>
            <w:shd w:val="clear" w:color="auto" w:fill="E2EFDA"/>
            <w:tcMar>
              <w:top w:w="80" w:type="dxa"/>
              <w:left w:w="100" w:type="dxa"/>
              <w:bottom w:w="80" w:type="dxa"/>
              <w:right w:w="100" w:type="dxa"/>
            </w:tcMar>
            <w:vAlign w:val="center"/>
          </w:tcPr>
          <w:p w14:paraId="15124B3F" w14:textId="77777777" w:rsidR="00687DB0" w:rsidRDefault="00000000">
            <w:r>
              <w:rPr>
                <w:rFonts w:ascii="Calibri" w:eastAsia="Calibri" w:hAnsi="Calibri" w:cs="Calibri"/>
                <w:color w:val="000000"/>
              </w:rPr>
              <w:t>Body weight reduction</w:t>
            </w:r>
          </w:p>
        </w:tc>
        <w:tc>
          <w:tcPr>
            <w:tcW w:w="2200" w:type="dxa"/>
            <w:shd w:val="clear" w:color="auto" w:fill="E2EFDA"/>
            <w:tcMar>
              <w:top w:w="80" w:type="dxa"/>
              <w:left w:w="100" w:type="dxa"/>
              <w:bottom w:w="80" w:type="dxa"/>
              <w:right w:w="100" w:type="dxa"/>
            </w:tcMar>
            <w:vAlign w:val="center"/>
          </w:tcPr>
          <w:p w14:paraId="79DD7A10" w14:textId="77777777" w:rsidR="00687DB0" w:rsidRDefault="00000000">
            <w:pPr>
              <w:jc w:val="center"/>
            </w:pPr>
            <w:r>
              <w:rPr>
                <w:rFonts w:ascii="Calibri" w:eastAsia="Calibri" w:hAnsi="Calibri" w:cs="Calibri"/>
                <w:color w:val="000000"/>
              </w:rPr>
              <w:t>STEP 1 (N=1,961)</w:t>
            </w:r>
          </w:p>
        </w:tc>
        <w:tc>
          <w:tcPr>
            <w:tcW w:w="3100" w:type="dxa"/>
            <w:shd w:val="clear" w:color="auto" w:fill="E2EFDA"/>
            <w:tcMar>
              <w:top w:w="80" w:type="dxa"/>
              <w:left w:w="100" w:type="dxa"/>
              <w:bottom w:w="80" w:type="dxa"/>
              <w:right w:w="100" w:type="dxa"/>
            </w:tcMar>
            <w:vAlign w:val="center"/>
          </w:tcPr>
          <w:p w14:paraId="40A0B146" w14:textId="77777777" w:rsidR="00687DB0" w:rsidRDefault="00000000">
            <w:pPr>
              <w:jc w:val="center"/>
            </w:pPr>
            <w:r>
              <w:rPr>
                <w:rFonts w:ascii="Calibri" w:eastAsia="Calibri" w:hAnsi="Calibri" w:cs="Calibri"/>
                <w:color w:val="000000"/>
              </w:rPr>
              <w:t>~12.5 percentage-point placebo-adjusted reduction at 68 weeks</w:t>
            </w:r>
          </w:p>
        </w:tc>
        <w:tc>
          <w:tcPr>
            <w:tcW w:w="1850" w:type="dxa"/>
            <w:shd w:val="clear" w:color="auto" w:fill="E2EFDA"/>
            <w:tcMar>
              <w:top w:w="80" w:type="dxa"/>
              <w:left w:w="100" w:type="dxa"/>
              <w:bottom w:w="80" w:type="dxa"/>
              <w:right w:w="100" w:type="dxa"/>
            </w:tcMar>
            <w:vAlign w:val="center"/>
          </w:tcPr>
          <w:p w14:paraId="6FBD8ED6" w14:textId="77777777" w:rsidR="00687DB0" w:rsidRDefault="00000000">
            <w:pPr>
              <w:jc w:val="center"/>
            </w:pPr>
            <w:r>
              <w:rPr>
                <w:rFonts w:ascii="Calibri" w:eastAsia="Calibri" w:hAnsi="Calibri" w:cs="Calibri"/>
                <w:color w:val="000000"/>
              </w:rPr>
              <w:t>High — large RCT, primary endpoint</w:t>
            </w:r>
          </w:p>
        </w:tc>
      </w:tr>
      <w:tr w:rsidR="00687DB0" w14:paraId="7D7A76CE" w14:textId="77777777">
        <w:trPr>
          <w:cantSplit/>
        </w:trPr>
        <w:tc>
          <w:tcPr>
            <w:tcW w:w="2200" w:type="dxa"/>
            <w:shd w:val="clear" w:color="auto" w:fill="E2EFDA"/>
            <w:tcMar>
              <w:top w:w="80" w:type="dxa"/>
              <w:left w:w="100" w:type="dxa"/>
              <w:bottom w:w="80" w:type="dxa"/>
              <w:right w:w="100" w:type="dxa"/>
            </w:tcMar>
            <w:vAlign w:val="center"/>
          </w:tcPr>
          <w:p w14:paraId="49D22B52" w14:textId="77777777" w:rsidR="00687DB0" w:rsidRDefault="00000000">
            <w:r>
              <w:rPr>
                <w:rFonts w:ascii="Calibri" w:eastAsia="Calibri" w:hAnsi="Calibri" w:cs="Calibri"/>
                <w:color w:val="000000"/>
              </w:rPr>
              <w:lastRenderedPageBreak/>
              <w:t>Body weight reduction (long-term, CVD population)</w:t>
            </w:r>
          </w:p>
        </w:tc>
        <w:tc>
          <w:tcPr>
            <w:tcW w:w="2200" w:type="dxa"/>
            <w:shd w:val="clear" w:color="auto" w:fill="E2EFDA"/>
            <w:tcMar>
              <w:top w:w="80" w:type="dxa"/>
              <w:left w:w="100" w:type="dxa"/>
              <w:bottom w:w="80" w:type="dxa"/>
              <w:right w:w="100" w:type="dxa"/>
            </w:tcMar>
            <w:vAlign w:val="center"/>
          </w:tcPr>
          <w:p w14:paraId="1ED4BEF5" w14:textId="77777777" w:rsidR="00687DB0" w:rsidRDefault="00000000">
            <w:pPr>
              <w:jc w:val="center"/>
            </w:pPr>
            <w:r>
              <w:rPr>
                <w:rFonts w:ascii="Calibri" w:eastAsia="Calibri" w:hAnsi="Calibri" w:cs="Calibri"/>
                <w:color w:val="000000"/>
              </w:rPr>
              <w:t>SELECT (N=17,604)</w:t>
            </w:r>
          </w:p>
        </w:tc>
        <w:tc>
          <w:tcPr>
            <w:tcW w:w="3100" w:type="dxa"/>
            <w:shd w:val="clear" w:color="auto" w:fill="E2EFDA"/>
            <w:tcMar>
              <w:top w:w="80" w:type="dxa"/>
              <w:left w:w="100" w:type="dxa"/>
              <w:bottom w:w="80" w:type="dxa"/>
              <w:right w:w="100" w:type="dxa"/>
            </w:tcMar>
            <w:vAlign w:val="center"/>
          </w:tcPr>
          <w:p w14:paraId="62AE927F" w14:textId="77777777" w:rsidR="00687DB0" w:rsidRDefault="00000000">
            <w:pPr>
              <w:jc w:val="center"/>
            </w:pPr>
            <w:r>
              <w:rPr>
                <w:rFonts w:ascii="Calibri" w:eastAsia="Calibri" w:hAnsi="Calibri" w:cs="Calibri"/>
                <w:color w:val="000000"/>
              </w:rPr>
              <w:t>−10.2% at 208 weeks vs −1.5% placebo (P&lt;0.0001)</w:t>
            </w:r>
          </w:p>
        </w:tc>
        <w:tc>
          <w:tcPr>
            <w:tcW w:w="1850" w:type="dxa"/>
            <w:shd w:val="clear" w:color="auto" w:fill="E2EFDA"/>
            <w:tcMar>
              <w:top w:w="80" w:type="dxa"/>
              <w:left w:w="100" w:type="dxa"/>
              <w:bottom w:w="80" w:type="dxa"/>
              <w:right w:w="100" w:type="dxa"/>
            </w:tcMar>
            <w:vAlign w:val="center"/>
          </w:tcPr>
          <w:p w14:paraId="5E36F5A4" w14:textId="77777777" w:rsidR="00687DB0" w:rsidRDefault="00000000">
            <w:pPr>
              <w:jc w:val="center"/>
            </w:pPr>
            <w:r>
              <w:rPr>
                <w:rFonts w:ascii="Calibri" w:eastAsia="Calibri" w:hAnsi="Calibri" w:cs="Calibri"/>
                <w:color w:val="000000"/>
              </w:rPr>
              <w:t>High — large RCT, secondary endpoint</w:t>
            </w:r>
          </w:p>
        </w:tc>
      </w:tr>
      <w:tr w:rsidR="00687DB0" w14:paraId="5BE067BB" w14:textId="77777777">
        <w:trPr>
          <w:cantSplit/>
        </w:trPr>
        <w:tc>
          <w:tcPr>
            <w:tcW w:w="2200" w:type="dxa"/>
            <w:shd w:val="clear" w:color="auto" w:fill="E2EFDA"/>
            <w:tcMar>
              <w:top w:w="80" w:type="dxa"/>
              <w:left w:w="100" w:type="dxa"/>
              <w:bottom w:w="80" w:type="dxa"/>
              <w:right w:w="100" w:type="dxa"/>
            </w:tcMar>
            <w:vAlign w:val="center"/>
          </w:tcPr>
          <w:p w14:paraId="5E2CC20F" w14:textId="77777777" w:rsidR="00687DB0" w:rsidRDefault="00000000">
            <w:r>
              <w:rPr>
                <w:rFonts w:ascii="Calibri" w:eastAsia="Calibri" w:hAnsi="Calibri" w:cs="Calibri"/>
                <w:color w:val="000000"/>
              </w:rPr>
              <w:t>Incident type 2 diabetes prevention</w:t>
            </w:r>
          </w:p>
        </w:tc>
        <w:tc>
          <w:tcPr>
            <w:tcW w:w="2200" w:type="dxa"/>
            <w:shd w:val="clear" w:color="auto" w:fill="E2EFDA"/>
            <w:tcMar>
              <w:top w:w="80" w:type="dxa"/>
              <w:left w:w="100" w:type="dxa"/>
              <w:bottom w:w="80" w:type="dxa"/>
              <w:right w:w="100" w:type="dxa"/>
            </w:tcMar>
            <w:vAlign w:val="center"/>
          </w:tcPr>
          <w:p w14:paraId="761D91C9" w14:textId="77777777" w:rsidR="00687DB0" w:rsidRDefault="00000000">
            <w:pPr>
              <w:jc w:val="center"/>
            </w:pPr>
            <w:r>
              <w:rPr>
                <w:rFonts w:ascii="Calibri" w:eastAsia="Calibri" w:hAnsi="Calibri" w:cs="Calibri"/>
                <w:color w:val="000000"/>
              </w:rPr>
              <w:t>SELECT (N=17,604)</w:t>
            </w:r>
          </w:p>
        </w:tc>
        <w:tc>
          <w:tcPr>
            <w:tcW w:w="3100" w:type="dxa"/>
            <w:shd w:val="clear" w:color="auto" w:fill="E2EFDA"/>
            <w:tcMar>
              <w:top w:w="80" w:type="dxa"/>
              <w:left w:w="100" w:type="dxa"/>
              <w:bottom w:w="80" w:type="dxa"/>
              <w:right w:w="100" w:type="dxa"/>
            </w:tcMar>
            <w:vAlign w:val="center"/>
          </w:tcPr>
          <w:p w14:paraId="676ED224" w14:textId="77777777" w:rsidR="00687DB0" w:rsidRDefault="00000000">
            <w:pPr>
              <w:jc w:val="center"/>
            </w:pPr>
            <w:r>
              <w:rPr>
                <w:rFonts w:ascii="Calibri" w:eastAsia="Calibri" w:hAnsi="Calibri" w:cs="Calibri"/>
                <w:color w:val="000000"/>
              </w:rPr>
              <w:t>73% relative risk reduction in new-onset diabetes</w:t>
            </w:r>
          </w:p>
        </w:tc>
        <w:tc>
          <w:tcPr>
            <w:tcW w:w="1850" w:type="dxa"/>
            <w:shd w:val="clear" w:color="auto" w:fill="E2EFDA"/>
            <w:tcMar>
              <w:top w:w="80" w:type="dxa"/>
              <w:left w:w="100" w:type="dxa"/>
              <w:bottom w:w="80" w:type="dxa"/>
              <w:right w:w="100" w:type="dxa"/>
            </w:tcMar>
            <w:vAlign w:val="center"/>
          </w:tcPr>
          <w:p w14:paraId="21808E50" w14:textId="77777777" w:rsidR="00687DB0" w:rsidRDefault="00000000">
            <w:pPr>
              <w:jc w:val="center"/>
            </w:pPr>
            <w:r>
              <w:rPr>
                <w:rFonts w:ascii="Calibri" w:eastAsia="Calibri" w:hAnsi="Calibri" w:cs="Calibri"/>
                <w:color w:val="000000"/>
              </w:rPr>
              <w:t>High — large RCT, secondary endpoint</w:t>
            </w:r>
          </w:p>
        </w:tc>
      </w:tr>
      <w:tr w:rsidR="00687DB0" w14:paraId="648C6250" w14:textId="77777777">
        <w:trPr>
          <w:cantSplit/>
        </w:trPr>
        <w:tc>
          <w:tcPr>
            <w:tcW w:w="2200" w:type="dxa"/>
            <w:shd w:val="clear" w:color="auto" w:fill="E2EFDA"/>
            <w:tcMar>
              <w:top w:w="80" w:type="dxa"/>
              <w:left w:w="100" w:type="dxa"/>
              <w:bottom w:w="80" w:type="dxa"/>
              <w:right w:w="100" w:type="dxa"/>
            </w:tcMar>
            <w:vAlign w:val="center"/>
          </w:tcPr>
          <w:p w14:paraId="4AF85483" w14:textId="77777777" w:rsidR="00687DB0" w:rsidRDefault="00000000">
            <w:r>
              <w:rPr>
                <w:rFonts w:ascii="Calibri" w:eastAsia="Calibri" w:hAnsi="Calibri" w:cs="Calibri"/>
                <w:color w:val="000000"/>
              </w:rPr>
              <w:t>Kidney composite outcome</w:t>
            </w:r>
          </w:p>
        </w:tc>
        <w:tc>
          <w:tcPr>
            <w:tcW w:w="2200" w:type="dxa"/>
            <w:shd w:val="clear" w:color="auto" w:fill="E2EFDA"/>
            <w:tcMar>
              <w:top w:w="80" w:type="dxa"/>
              <w:left w:w="100" w:type="dxa"/>
              <w:bottom w:w="80" w:type="dxa"/>
              <w:right w:w="100" w:type="dxa"/>
            </w:tcMar>
            <w:vAlign w:val="center"/>
          </w:tcPr>
          <w:p w14:paraId="33CF0ECA" w14:textId="77777777" w:rsidR="00687DB0" w:rsidRDefault="00000000">
            <w:pPr>
              <w:jc w:val="center"/>
            </w:pPr>
            <w:r>
              <w:rPr>
                <w:rFonts w:ascii="Calibri" w:eastAsia="Calibri" w:hAnsi="Calibri" w:cs="Calibri"/>
                <w:color w:val="000000"/>
              </w:rPr>
              <w:t>SELECT (N=17,604)</w:t>
            </w:r>
          </w:p>
        </w:tc>
        <w:tc>
          <w:tcPr>
            <w:tcW w:w="3100" w:type="dxa"/>
            <w:shd w:val="clear" w:color="auto" w:fill="E2EFDA"/>
            <w:tcMar>
              <w:top w:w="80" w:type="dxa"/>
              <w:left w:w="100" w:type="dxa"/>
              <w:bottom w:w="80" w:type="dxa"/>
              <w:right w:w="100" w:type="dxa"/>
            </w:tcMar>
            <w:vAlign w:val="center"/>
          </w:tcPr>
          <w:p w14:paraId="2977361F" w14:textId="77777777" w:rsidR="00687DB0" w:rsidRDefault="00000000">
            <w:pPr>
              <w:jc w:val="center"/>
            </w:pPr>
            <w:r>
              <w:rPr>
                <w:rFonts w:ascii="Calibri" w:eastAsia="Calibri" w:hAnsi="Calibri" w:cs="Calibri"/>
                <w:color w:val="000000"/>
              </w:rPr>
              <w:t>22% relative risk reduction; HR 0.78 (95% CI 0.63–0.96), P=0.02</w:t>
            </w:r>
          </w:p>
        </w:tc>
        <w:tc>
          <w:tcPr>
            <w:tcW w:w="1850" w:type="dxa"/>
            <w:shd w:val="clear" w:color="auto" w:fill="E2EFDA"/>
            <w:tcMar>
              <w:top w:w="80" w:type="dxa"/>
              <w:left w:w="100" w:type="dxa"/>
              <w:bottom w:w="80" w:type="dxa"/>
              <w:right w:w="100" w:type="dxa"/>
            </w:tcMar>
            <w:vAlign w:val="center"/>
          </w:tcPr>
          <w:p w14:paraId="5D641BD3" w14:textId="77777777" w:rsidR="00687DB0" w:rsidRDefault="00000000">
            <w:pPr>
              <w:jc w:val="center"/>
            </w:pPr>
            <w:r>
              <w:rPr>
                <w:rFonts w:ascii="Calibri" w:eastAsia="Calibri" w:hAnsi="Calibri" w:cs="Calibri"/>
                <w:color w:val="000000"/>
              </w:rPr>
              <w:t>Moderate-high — prespecified secondary endpoint</w:t>
            </w:r>
          </w:p>
        </w:tc>
      </w:tr>
    </w:tbl>
    <w:p w14:paraId="78A49025"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t>3. Risk Summary</w:t>
      </w:r>
    </w:p>
    <w:p w14:paraId="5C3AC9A9" w14:textId="77777777" w:rsidR="00687DB0" w:rsidRDefault="00000000">
      <w:pPr>
        <w:spacing w:after="160" w:line="276" w:lineRule="auto"/>
      </w:pPr>
      <w:r>
        <w:rPr>
          <w:rFonts w:ascii="Calibri" w:eastAsia="Calibri" w:hAnsi="Calibri" w:cs="Calibri"/>
          <w:sz w:val="22"/>
          <w:szCs w:val="22"/>
        </w:rPr>
        <w:t>The suicidality-related rows below are carried forward directly from this project's Phase 1 worksheet and Phase 2 signal validation memo. The GI and other class-risk rows are included for completeness, since a benefit-risk assessment that omits a drug's most common adverse events would be incomplete, but they were not independently re-</w:t>
      </w:r>
      <w:proofErr w:type="spellStart"/>
      <w:r>
        <w:rPr>
          <w:rFonts w:ascii="Calibri" w:eastAsia="Calibri" w:hAnsi="Calibri" w:cs="Calibri"/>
          <w:sz w:val="22"/>
          <w:szCs w:val="22"/>
        </w:rPr>
        <w:t>analyzed</w:t>
      </w:r>
      <w:proofErr w:type="spellEnd"/>
      <w:r>
        <w:rPr>
          <w:rFonts w:ascii="Calibri" w:eastAsia="Calibri" w:hAnsi="Calibri" w:cs="Calibri"/>
          <w:sz w:val="22"/>
          <w:szCs w:val="22"/>
        </w:rPr>
        <w:t xml:space="preserve"> in this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100"/>
        <w:gridCol w:w="1850"/>
      </w:tblGrid>
      <w:tr w:rsidR="00687DB0" w14:paraId="4F117674" w14:textId="77777777">
        <w:trPr>
          <w:tblHeader/>
        </w:trPr>
        <w:tc>
          <w:tcPr>
            <w:tcW w:w="2200" w:type="dxa"/>
            <w:shd w:val="clear" w:color="auto" w:fill="1F3864"/>
            <w:tcMar>
              <w:top w:w="80" w:type="dxa"/>
              <w:left w:w="100" w:type="dxa"/>
              <w:bottom w:w="80" w:type="dxa"/>
              <w:right w:w="100" w:type="dxa"/>
            </w:tcMar>
            <w:vAlign w:val="center"/>
          </w:tcPr>
          <w:p w14:paraId="565739BA" w14:textId="77777777" w:rsidR="00687DB0" w:rsidRDefault="00000000">
            <w:pPr>
              <w:jc w:val="center"/>
            </w:pPr>
            <w:r>
              <w:rPr>
                <w:rFonts w:ascii="Calibri" w:eastAsia="Calibri" w:hAnsi="Calibri" w:cs="Calibri"/>
                <w:b/>
                <w:bCs/>
                <w:color w:val="FFFFFF"/>
              </w:rPr>
              <w:t>Risk criterion</w:t>
            </w:r>
          </w:p>
        </w:tc>
        <w:tc>
          <w:tcPr>
            <w:tcW w:w="2200" w:type="dxa"/>
            <w:shd w:val="clear" w:color="auto" w:fill="1F3864"/>
            <w:tcMar>
              <w:top w:w="80" w:type="dxa"/>
              <w:left w:w="100" w:type="dxa"/>
              <w:bottom w:w="80" w:type="dxa"/>
              <w:right w:w="100" w:type="dxa"/>
            </w:tcMar>
            <w:vAlign w:val="center"/>
          </w:tcPr>
          <w:p w14:paraId="6B4E6C89" w14:textId="77777777" w:rsidR="00687DB0" w:rsidRDefault="00000000">
            <w:pPr>
              <w:jc w:val="center"/>
            </w:pPr>
            <w:r>
              <w:rPr>
                <w:rFonts w:ascii="Calibri" w:eastAsia="Calibri" w:hAnsi="Calibri" w:cs="Calibri"/>
                <w:b/>
                <w:bCs/>
                <w:color w:val="FFFFFF"/>
              </w:rPr>
              <w:t>Source (N)</w:t>
            </w:r>
          </w:p>
        </w:tc>
        <w:tc>
          <w:tcPr>
            <w:tcW w:w="3100" w:type="dxa"/>
            <w:shd w:val="clear" w:color="auto" w:fill="1F3864"/>
            <w:tcMar>
              <w:top w:w="80" w:type="dxa"/>
              <w:left w:w="100" w:type="dxa"/>
              <w:bottom w:w="80" w:type="dxa"/>
              <w:right w:w="100" w:type="dxa"/>
            </w:tcMar>
            <w:vAlign w:val="center"/>
          </w:tcPr>
          <w:p w14:paraId="3AA6A70D" w14:textId="77777777" w:rsidR="00687DB0" w:rsidRDefault="00000000">
            <w:pPr>
              <w:jc w:val="center"/>
            </w:pPr>
            <w:r>
              <w:rPr>
                <w:rFonts w:ascii="Calibri" w:eastAsia="Calibri" w:hAnsi="Calibri" w:cs="Calibri"/>
                <w:b/>
                <w:bCs/>
                <w:color w:val="FFFFFF"/>
              </w:rPr>
              <w:t>Result</w:t>
            </w:r>
          </w:p>
        </w:tc>
        <w:tc>
          <w:tcPr>
            <w:tcW w:w="1850" w:type="dxa"/>
            <w:shd w:val="clear" w:color="auto" w:fill="1F3864"/>
            <w:tcMar>
              <w:top w:w="80" w:type="dxa"/>
              <w:left w:w="100" w:type="dxa"/>
              <w:bottom w:w="80" w:type="dxa"/>
              <w:right w:w="100" w:type="dxa"/>
            </w:tcMar>
            <w:vAlign w:val="center"/>
          </w:tcPr>
          <w:p w14:paraId="26636B20" w14:textId="77777777" w:rsidR="00687DB0" w:rsidRDefault="00000000">
            <w:pPr>
              <w:jc w:val="center"/>
            </w:pPr>
            <w:r>
              <w:rPr>
                <w:rFonts w:ascii="Calibri" w:eastAsia="Calibri" w:hAnsi="Calibri" w:cs="Calibri"/>
                <w:b/>
                <w:bCs/>
                <w:color w:val="FFFFFF"/>
              </w:rPr>
              <w:t>Certainty of evidence</w:t>
            </w:r>
          </w:p>
        </w:tc>
      </w:tr>
      <w:tr w:rsidR="00687DB0" w14:paraId="2799CF52" w14:textId="77777777">
        <w:trPr>
          <w:cantSplit/>
        </w:trPr>
        <w:tc>
          <w:tcPr>
            <w:tcW w:w="2200" w:type="dxa"/>
            <w:shd w:val="clear" w:color="auto" w:fill="FCE4E4"/>
            <w:tcMar>
              <w:top w:w="80" w:type="dxa"/>
              <w:left w:w="100" w:type="dxa"/>
              <w:bottom w:w="80" w:type="dxa"/>
              <w:right w:w="100" w:type="dxa"/>
            </w:tcMar>
            <w:vAlign w:val="center"/>
          </w:tcPr>
          <w:p w14:paraId="6BFA1315" w14:textId="77777777" w:rsidR="00687DB0" w:rsidRDefault="00000000">
            <w:r>
              <w:rPr>
                <w:rFonts w:ascii="Calibri" w:eastAsia="Calibri" w:hAnsi="Calibri" w:cs="Calibri"/>
                <w:color w:val="000000"/>
              </w:rPr>
              <w:t>Suicidal ideation (disproportionate reporting)</w:t>
            </w:r>
          </w:p>
        </w:tc>
        <w:tc>
          <w:tcPr>
            <w:tcW w:w="2200" w:type="dxa"/>
            <w:shd w:val="clear" w:color="auto" w:fill="FCE4E4"/>
            <w:tcMar>
              <w:top w:w="80" w:type="dxa"/>
              <w:left w:w="100" w:type="dxa"/>
              <w:bottom w:w="80" w:type="dxa"/>
              <w:right w:w="100" w:type="dxa"/>
            </w:tcMar>
            <w:vAlign w:val="center"/>
          </w:tcPr>
          <w:p w14:paraId="73BB0FC0" w14:textId="77777777" w:rsidR="00687DB0" w:rsidRDefault="00000000">
            <w:pPr>
              <w:jc w:val="center"/>
            </w:pPr>
            <w:r>
              <w:rPr>
                <w:rFonts w:ascii="Calibri" w:eastAsia="Calibri" w:hAnsi="Calibri" w:cs="Calibri"/>
                <w:color w:val="000000"/>
              </w:rPr>
              <w:t>FAERS (a=44)</w:t>
            </w:r>
          </w:p>
        </w:tc>
        <w:tc>
          <w:tcPr>
            <w:tcW w:w="3100" w:type="dxa"/>
            <w:shd w:val="clear" w:color="auto" w:fill="FCE4E4"/>
            <w:tcMar>
              <w:top w:w="80" w:type="dxa"/>
              <w:left w:w="100" w:type="dxa"/>
              <w:bottom w:w="80" w:type="dxa"/>
              <w:right w:w="100" w:type="dxa"/>
            </w:tcMar>
            <w:vAlign w:val="center"/>
          </w:tcPr>
          <w:p w14:paraId="6A583428" w14:textId="77777777" w:rsidR="00687DB0" w:rsidRDefault="00000000">
            <w:pPr>
              <w:jc w:val="center"/>
            </w:pPr>
            <w:r>
              <w:rPr>
                <w:rFonts w:ascii="Calibri" w:eastAsia="Calibri" w:hAnsi="Calibri" w:cs="Calibri"/>
                <w:color w:val="000000"/>
              </w:rPr>
              <w:t>ROR 1.39 (95% CI 0.99–1.96) — not statistically significant</w:t>
            </w:r>
          </w:p>
        </w:tc>
        <w:tc>
          <w:tcPr>
            <w:tcW w:w="1850" w:type="dxa"/>
            <w:shd w:val="clear" w:color="auto" w:fill="FCE4E4"/>
            <w:tcMar>
              <w:top w:w="80" w:type="dxa"/>
              <w:left w:w="100" w:type="dxa"/>
              <w:bottom w:w="80" w:type="dxa"/>
              <w:right w:w="100" w:type="dxa"/>
            </w:tcMar>
            <w:vAlign w:val="center"/>
          </w:tcPr>
          <w:p w14:paraId="54D5C2AA" w14:textId="77777777" w:rsidR="00687DB0" w:rsidRDefault="00000000">
            <w:pPr>
              <w:jc w:val="center"/>
            </w:pPr>
            <w:r>
              <w:rPr>
                <w:rFonts w:ascii="Calibri" w:eastAsia="Calibri" w:hAnsi="Calibri" w:cs="Calibri"/>
                <w:color w:val="000000"/>
              </w:rPr>
              <w:t>Low — spontaneous reports, CI crosses 1</w:t>
            </w:r>
          </w:p>
        </w:tc>
      </w:tr>
      <w:tr w:rsidR="00687DB0" w14:paraId="11E9AA80" w14:textId="77777777">
        <w:trPr>
          <w:cantSplit/>
        </w:trPr>
        <w:tc>
          <w:tcPr>
            <w:tcW w:w="2200" w:type="dxa"/>
            <w:shd w:val="clear" w:color="auto" w:fill="FCE4E4"/>
            <w:tcMar>
              <w:top w:w="80" w:type="dxa"/>
              <w:left w:w="100" w:type="dxa"/>
              <w:bottom w:w="80" w:type="dxa"/>
              <w:right w:w="100" w:type="dxa"/>
            </w:tcMar>
            <w:vAlign w:val="center"/>
          </w:tcPr>
          <w:p w14:paraId="52B35547" w14:textId="77777777" w:rsidR="00687DB0" w:rsidRDefault="00000000">
            <w:r>
              <w:rPr>
                <w:rFonts w:ascii="Calibri" w:eastAsia="Calibri" w:hAnsi="Calibri" w:cs="Calibri"/>
                <w:color w:val="000000"/>
              </w:rPr>
              <w:t>Suicidal ideation (disproportionate reporting)</w:t>
            </w:r>
          </w:p>
        </w:tc>
        <w:tc>
          <w:tcPr>
            <w:tcW w:w="2200" w:type="dxa"/>
            <w:shd w:val="clear" w:color="auto" w:fill="FCE4E4"/>
            <w:tcMar>
              <w:top w:w="80" w:type="dxa"/>
              <w:left w:w="100" w:type="dxa"/>
              <w:bottom w:w="80" w:type="dxa"/>
              <w:right w:w="100" w:type="dxa"/>
            </w:tcMar>
            <w:vAlign w:val="center"/>
          </w:tcPr>
          <w:p w14:paraId="44DB727D" w14:textId="77777777" w:rsidR="00687DB0" w:rsidRDefault="00000000">
            <w:pPr>
              <w:jc w:val="center"/>
            </w:pPr>
            <w:proofErr w:type="spellStart"/>
            <w:r>
              <w:rPr>
                <w:rFonts w:ascii="Calibri" w:eastAsia="Calibri" w:hAnsi="Calibri" w:cs="Calibri"/>
                <w:color w:val="000000"/>
              </w:rPr>
              <w:t>VigiBase</w:t>
            </w:r>
            <w:proofErr w:type="spellEnd"/>
            <w:r>
              <w:rPr>
                <w:rFonts w:ascii="Calibri" w:eastAsia="Calibri" w:hAnsi="Calibri" w:cs="Calibri"/>
                <w:color w:val="000000"/>
              </w:rPr>
              <w:t xml:space="preserve"> (a=94)</w:t>
            </w:r>
          </w:p>
        </w:tc>
        <w:tc>
          <w:tcPr>
            <w:tcW w:w="3100" w:type="dxa"/>
            <w:shd w:val="clear" w:color="auto" w:fill="FCE4E4"/>
            <w:tcMar>
              <w:top w:w="80" w:type="dxa"/>
              <w:left w:w="100" w:type="dxa"/>
              <w:bottom w:w="80" w:type="dxa"/>
              <w:right w:w="100" w:type="dxa"/>
            </w:tcMar>
            <w:vAlign w:val="center"/>
          </w:tcPr>
          <w:p w14:paraId="31C3FC41" w14:textId="77777777" w:rsidR="00687DB0" w:rsidRDefault="00000000">
            <w:pPr>
              <w:jc w:val="center"/>
            </w:pPr>
            <w:r>
              <w:rPr>
                <w:rFonts w:ascii="Calibri" w:eastAsia="Calibri" w:hAnsi="Calibri" w:cs="Calibri"/>
                <w:color w:val="000000"/>
              </w:rPr>
              <w:t>ROR 1.45 (95% CI 1.18–1.77) — statistically significant, modest magnitude</w:t>
            </w:r>
          </w:p>
        </w:tc>
        <w:tc>
          <w:tcPr>
            <w:tcW w:w="1850" w:type="dxa"/>
            <w:shd w:val="clear" w:color="auto" w:fill="FCE4E4"/>
            <w:tcMar>
              <w:top w:w="80" w:type="dxa"/>
              <w:left w:w="100" w:type="dxa"/>
              <w:bottom w:w="80" w:type="dxa"/>
              <w:right w:w="100" w:type="dxa"/>
            </w:tcMar>
            <w:vAlign w:val="center"/>
          </w:tcPr>
          <w:p w14:paraId="46B11118" w14:textId="77777777" w:rsidR="00687DB0" w:rsidRDefault="00000000">
            <w:pPr>
              <w:jc w:val="center"/>
            </w:pPr>
            <w:r>
              <w:rPr>
                <w:rFonts w:ascii="Calibri" w:eastAsia="Calibri" w:hAnsi="Calibri" w:cs="Calibri"/>
                <w:color w:val="000000"/>
              </w:rPr>
              <w:t>Low-moderate — spontaneous reports, unadjusted for confounding</w:t>
            </w:r>
          </w:p>
        </w:tc>
      </w:tr>
      <w:tr w:rsidR="00687DB0" w14:paraId="1055D8BC" w14:textId="77777777">
        <w:trPr>
          <w:cantSplit/>
        </w:trPr>
        <w:tc>
          <w:tcPr>
            <w:tcW w:w="2200" w:type="dxa"/>
            <w:shd w:val="clear" w:color="auto" w:fill="FCE4E4"/>
            <w:tcMar>
              <w:top w:w="80" w:type="dxa"/>
              <w:left w:w="100" w:type="dxa"/>
              <w:bottom w:w="80" w:type="dxa"/>
              <w:right w:w="100" w:type="dxa"/>
            </w:tcMar>
            <w:vAlign w:val="center"/>
          </w:tcPr>
          <w:p w14:paraId="4C3EAFBD" w14:textId="77777777" w:rsidR="00687DB0" w:rsidRDefault="00000000">
            <w:r>
              <w:rPr>
                <w:rFonts w:ascii="Calibri" w:eastAsia="Calibri" w:hAnsi="Calibri" w:cs="Calibri"/>
                <w:color w:val="000000"/>
              </w:rPr>
              <w:t>Suicide attempt (disproportionate reporting)</w:t>
            </w:r>
          </w:p>
        </w:tc>
        <w:tc>
          <w:tcPr>
            <w:tcW w:w="2200" w:type="dxa"/>
            <w:shd w:val="clear" w:color="auto" w:fill="FCE4E4"/>
            <w:tcMar>
              <w:top w:w="80" w:type="dxa"/>
              <w:left w:w="100" w:type="dxa"/>
              <w:bottom w:w="80" w:type="dxa"/>
              <w:right w:w="100" w:type="dxa"/>
            </w:tcMar>
            <w:vAlign w:val="center"/>
          </w:tcPr>
          <w:p w14:paraId="1BE8CB31" w14:textId="77777777" w:rsidR="00687DB0" w:rsidRDefault="00000000">
            <w:pPr>
              <w:jc w:val="center"/>
            </w:pPr>
            <w:proofErr w:type="spellStart"/>
            <w:r>
              <w:rPr>
                <w:rFonts w:ascii="Calibri" w:eastAsia="Calibri" w:hAnsi="Calibri" w:cs="Calibri"/>
                <w:color w:val="000000"/>
              </w:rPr>
              <w:t>VigiBase</w:t>
            </w:r>
            <w:proofErr w:type="spellEnd"/>
            <w:r>
              <w:rPr>
                <w:rFonts w:ascii="Calibri" w:eastAsia="Calibri" w:hAnsi="Calibri" w:cs="Calibri"/>
                <w:color w:val="000000"/>
              </w:rPr>
              <w:t xml:space="preserve"> (a=7) vs FAERS (a=4)</w:t>
            </w:r>
          </w:p>
        </w:tc>
        <w:tc>
          <w:tcPr>
            <w:tcW w:w="3100" w:type="dxa"/>
            <w:shd w:val="clear" w:color="auto" w:fill="FCE4E4"/>
            <w:tcMar>
              <w:top w:w="80" w:type="dxa"/>
              <w:left w:w="100" w:type="dxa"/>
              <w:bottom w:w="80" w:type="dxa"/>
              <w:right w:w="100" w:type="dxa"/>
            </w:tcMar>
            <w:vAlign w:val="center"/>
          </w:tcPr>
          <w:p w14:paraId="4CC7CEFF" w14:textId="77777777" w:rsidR="00687DB0" w:rsidRDefault="00000000">
            <w:pPr>
              <w:jc w:val="center"/>
            </w:pPr>
            <w:r>
              <w:rPr>
                <w:rFonts w:ascii="Calibri" w:eastAsia="Calibri" w:hAnsi="Calibri" w:cs="Calibri"/>
                <w:color w:val="000000"/>
              </w:rPr>
              <w:t>Databases disagree: ROR 0.16 (</w:t>
            </w:r>
            <w:proofErr w:type="spellStart"/>
            <w:r>
              <w:rPr>
                <w:rFonts w:ascii="Calibri" w:eastAsia="Calibri" w:hAnsi="Calibri" w:cs="Calibri"/>
                <w:color w:val="000000"/>
              </w:rPr>
              <w:t>VigiBase</w:t>
            </w:r>
            <w:proofErr w:type="spellEnd"/>
            <w:r>
              <w:rPr>
                <w:rFonts w:ascii="Calibri" w:eastAsia="Calibri" w:hAnsi="Calibri" w:cs="Calibri"/>
                <w:color w:val="000000"/>
              </w:rPr>
              <w:t>) vs ROR 1.39 (FAERS)</w:t>
            </w:r>
          </w:p>
        </w:tc>
        <w:tc>
          <w:tcPr>
            <w:tcW w:w="1850" w:type="dxa"/>
            <w:shd w:val="clear" w:color="auto" w:fill="FCE4E4"/>
            <w:tcMar>
              <w:top w:w="80" w:type="dxa"/>
              <w:left w:w="100" w:type="dxa"/>
              <w:bottom w:w="80" w:type="dxa"/>
              <w:right w:w="100" w:type="dxa"/>
            </w:tcMar>
            <w:vAlign w:val="center"/>
          </w:tcPr>
          <w:p w14:paraId="285CEF52" w14:textId="77777777" w:rsidR="00687DB0" w:rsidRDefault="00000000">
            <w:pPr>
              <w:jc w:val="center"/>
            </w:pPr>
            <w:r>
              <w:rPr>
                <w:rFonts w:ascii="Calibri" w:eastAsia="Calibri" w:hAnsi="Calibri" w:cs="Calibri"/>
                <w:color w:val="000000"/>
              </w:rPr>
              <w:t>Very low — small counts, contradictory direction across sources</w:t>
            </w:r>
          </w:p>
        </w:tc>
      </w:tr>
      <w:tr w:rsidR="00687DB0" w14:paraId="491B3C63" w14:textId="77777777">
        <w:trPr>
          <w:cantSplit/>
        </w:trPr>
        <w:tc>
          <w:tcPr>
            <w:tcW w:w="2200" w:type="dxa"/>
            <w:shd w:val="clear" w:color="auto" w:fill="FCE4E4"/>
            <w:tcMar>
              <w:top w:w="80" w:type="dxa"/>
              <w:left w:w="100" w:type="dxa"/>
              <w:bottom w:w="80" w:type="dxa"/>
              <w:right w:w="100" w:type="dxa"/>
            </w:tcMar>
            <w:vAlign w:val="center"/>
          </w:tcPr>
          <w:p w14:paraId="486863C3" w14:textId="77777777" w:rsidR="00687DB0" w:rsidRDefault="00000000">
            <w:r>
              <w:rPr>
                <w:rFonts w:ascii="Calibri" w:eastAsia="Calibri" w:hAnsi="Calibri" w:cs="Calibri"/>
                <w:color w:val="000000"/>
              </w:rPr>
              <w:t>Completed suicide (disproportionate reporting)</w:t>
            </w:r>
          </w:p>
        </w:tc>
        <w:tc>
          <w:tcPr>
            <w:tcW w:w="2200" w:type="dxa"/>
            <w:shd w:val="clear" w:color="auto" w:fill="FCE4E4"/>
            <w:tcMar>
              <w:top w:w="80" w:type="dxa"/>
              <w:left w:w="100" w:type="dxa"/>
              <w:bottom w:w="80" w:type="dxa"/>
              <w:right w:w="100" w:type="dxa"/>
            </w:tcMar>
            <w:vAlign w:val="center"/>
          </w:tcPr>
          <w:p w14:paraId="67C803E8" w14:textId="77777777" w:rsidR="00687DB0" w:rsidRDefault="00000000">
            <w:pPr>
              <w:jc w:val="center"/>
            </w:pPr>
            <w:r>
              <w:rPr>
                <w:rFonts w:ascii="Calibri" w:eastAsia="Calibri" w:hAnsi="Calibri" w:cs="Calibri"/>
                <w:color w:val="000000"/>
              </w:rPr>
              <w:t>FAERS (a=5)</w:t>
            </w:r>
          </w:p>
        </w:tc>
        <w:tc>
          <w:tcPr>
            <w:tcW w:w="3100" w:type="dxa"/>
            <w:shd w:val="clear" w:color="auto" w:fill="FCE4E4"/>
            <w:tcMar>
              <w:top w:w="80" w:type="dxa"/>
              <w:left w:w="100" w:type="dxa"/>
              <w:bottom w:w="80" w:type="dxa"/>
              <w:right w:w="100" w:type="dxa"/>
            </w:tcMar>
            <w:vAlign w:val="center"/>
          </w:tcPr>
          <w:p w14:paraId="7F4AD3D6" w14:textId="77777777" w:rsidR="00687DB0" w:rsidRDefault="00000000">
            <w:pPr>
              <w:jc w:val="center"/>
            </w:pPr>
            <w:r>
              <w:rPr>
                <w:rFonts w:ascii="Calibri" w:eastAsia="Calibri" w:hAnsi="Calibri" w:cs="Calibri"/>
                <w:color w:val="000000"/>
              </w:rPr>
              <w:t>ROR 1.73 (95% CI 0.61–4.93) — not statistically significant</w:t>
            </w:r>
          </w:p>
        </w:tc>
        <w:tc>
          <w:tcPr>
            <w:tcW w:w="1850" w:type="dxa"/>
            <w:shd w:val="clear" w:color="auto" w:fill="FCE4E4"/>
            <w:tcMar>
              <w:top w:w="80" w:type="dxa"/>
              <w:left w:w="100" w:type="dxa"/>
              <w:bottom w:w="80" w:type="dxa"/>
              <w:right w:w="100" w:type="dxa"/>
            </w:tcMar>
            <w:vAlign w:val="center"/>
          </w:tcPr>
          <w:p w14:paraId="74ADC2E8" w14:textId="77777777" w:rsidR="00687DB0" w:rsidRDefault="00000000">
            <w:pPr>
              <w:jc w:val="center"/>
            </w:pPr>
            <w:r>
              <w:rPr>
                <w:rFonts w:ascii="Calibri" w:eastAsia="Calibri" w:hAnsi="Calibri" w:cs="Calibri"/>
                <w:color w:val="000000"/>
              </w:rPr>
              <w:t>Low — very small case count</w:t>
            </w:r>
          </w:p>
        </w:tc>
      </w:tr>
      <w:tr w:rsidR="00687DB0" w14:paraId="1D3163CB" w14:textId="77777777">
        <w:trPr>
          <w:cantSplit/>
        </w:trPr>
        <w:tc>
          <w:tcPr>
            <w:tcW w:w="2200" w:type="dxa"/>
            <w:shd w:val="clear" w:color="auto" w:fill="FCE4E4"/>
            <w:tcMar>
              <w:top w:w="80" w:type="dxa"/>
              <w:left w:w="100" w:type="dxa"/>
              <w:bottom w:w="80" w:type="dxa"/>
              <w:right w:w="100" w:type="dxa"/>
            </w:tcMar>
            <w:vAlign w:val="center"/>
          </w:tcPr>
          <w:p w14:paraId="34E8706A" w14:textId="77777777" w:rsidR="00687DB0" w:rsidRDefault="00000000">
            <w:r>
              <w:rPr>
                <w:rFonts w:ascii="Calibri" w:eastAsia="Calibri" w:hAnsi="Calibri" w:cs="Calibri"/>
                <w:color w:val="000000"/>
              </w:rPr>
              <w:t xml:space="preserve">Gastrointestinal adverse events (nausea, vomiting, </w:t>
            </w:r>
            <w:proofErr w:type="spellStart"/>
            <w:r>
              <w:rPr>
                <w:rFonts w:ascii="Calibri" w:eastAsia="Calibri" w:hAnsi="Calibri" w:cs="Calibri"/>
                <w:color w:val="000000"/>
              </w:rPr>
              <w:t>diarrhea</w:t>
            </w:r>
            <w:proofErr w:type="spellEnd"/>
            <w:r>
              <w:rPr>
                <w:rFonts w:ascii="Calibri" w:eastAsia="Calibri" w:hAnsi="Calibri" w:cs="Calibri"/>
                <w:color w:val="000000"/>
              </w:rPr>
              <w:t>)</w:t>
            </w:r>
          </w:p>
        </w:tc>
        <w:tc>
          <w:tcPr>
            <w:tcW w:w="2200" w:type="dxa"/>
            <w:shd w:val="clear" w:color="auto" w:fill="FCE4E4"/>
            <w:tcMar>
              <w:top w:w="80" w:type="dxa"/>
              <w:left w:w="100" w:type="dxa"/>
              <w:bottom w:w="80" w:type="dxa"/>
              <w:right w:w="100" w:type="dxa"/>
            </w:tcMar>
            <w:vAlign w:val="center"/>
          </w:tcPr>
          <w:p w14:paraId="542D732A" w14:textId="77777777" w:rsidR="00687DB0" w:rsidRDefault="00000000">
            <w:pPr>
              <w:jc w:val="center"/>
            </w:pPr>
            <w:r>
              <w:rPr>
                <w:rFonts w:ascii="Calibri" w:eastAsia="Calibri" w:hAnsi="Calibri" w:cs="Calibri"/>
                <w:color w:val="000000"/>
              </w:rPr>
              <w:t>STEP/SUSTAIN trial programs</w:t>
            </w:r>
          </w:p>
        </w:tc>
        <w:tc>
          <w:tcPr>
            <w:tcW w:w="3100" w:type="dxa"/>
            <w:shd w:val="clear" w:color="auto" w:fill="FCE4E4"/>
            <w:tcMar>
              <w:top w:w="80" w:type="dxa"/>
              <w:left w:w="100" w:type="dxa"/>
              <w:bottom w:w="80" w:type="dxa"/>
              <w:right w:w="100" w:type="dxa"/>
            </w:tcMar>
            <w:vAlign w:val="center"/>
          </w:tcPr>
          <w:p w14:paraId="6EA7F83C" w14:textId="77777777" w:rsidR="00687DB0" w:rsidRDefault="00000000">
            <w:pPr>
              <w:jc w:val="center"/>
            </w:pPr>
            <w:r>
              <w:rPr>
                <w:rFonts w:ascii="Calibri" w:eastAsia="Calibri" w:hAnsi="Calibri" w:cs="Calibri"/>
                <w:color w:val="000000"/>
              </w:rPr>
              <w:t>Common (frequently &gt;20% incidence), predominantly mild-to-moderate and transient during dose escalation</w:t>
            </w:r>
          </w:p>
        </w:tc>
        <w:tc>
          <w:tcPr>
            <w:tcW w:w="1850" w:type="dxa"/>
            <w:shd w:val="clear" w:color="auto" w:fill="FCE4E4"/>
            <w:tcMar>
              <w:top w:w="80" w:type="dxa"/>
              <w:left w:w="100" w:type="dxa"/>
              <w:bottom w:w="80" w:type="dxa"/>
              <w:right w:w="100" w:type="dxa"/>
            </w:tcMar>
            <w:vAlign w:val="center"/>
          </w:tcPr>
          <w:p w14:paraId="3CEAF7CE" w14:textId="77777777" w:rsidR="00687DB0" w:rsidRDefault="00000000">
            <w:pPr>
              <w:jc w:val="center"/>
            </w:pPr>
            <w:r>
              <w:rPr>
                <w:rFonts w:ascii="Calibri" w:eastAsia="Calibri" w:hAnsi="Calibri" w:cs="Calibri"/>
                <w:color w:val="000000"/>
              </w:rPr>
              <w:t>High — consistent, well-established across trial program</w:t>
            </w:r>
          </w:p>
        </w:tc>
      </w:tr>
      <w:tr w:rsidR="00687DB0" w14:paraId="4CFDB000" w14:textId="77777777">
        <w:trPr>
          <w:cantSplit/>
        </w:trPr>
        <w:tc>
          <w:tcPr>
            <w:tcW w:w="2200" w:type="dxa"/>
            <w:shd w:val="clear" w:color="auto" w:fill="FCE4E4"/>
            <w:tcMar>
              <w:top w:w="80" w:type="dxa"/>
              <w:left w:w="100" w:type="dxa"/>
              <w:bottom w:w="80" w:type="dxa"/>
              <w:right w:w="100" w:type="dxa"/>
            </w:tcMar>
            <w:vAlign w:val="center"/>
          </w:tcPr>
          <w:p w14:paraId="0ACE20F1" w14:textId="77777777" w:rsidR="00687DB0" w:rsidRDefault="00000000">
            <w:r>
              <w:rPr>
                <w:rFonts w:ascii="Calibri" w:eastAsia="Calibri" w:hAnsi="Calibri" w:cs="Calibri"/>
                <w:color w:val="000000"/>
              </w:rPr>
              <w:t>Pancreatitis, gallbladder disease (established class risks)</w:t>
            </w:r>
          </w:p>
        </w:tc>
        <w:tc>
          <w:tcPr>
            <w:tcW w:w="2200" w:type="dxa"/>
            <w:shd w:val="clear" w:color="auto" w:fill="FCE4E4"/>
            <w:tcMar>
              <w:top w:w="80" w:type="dxa"/>
              <w:left w:w="100" w:type="dxa"/>
              <w:bottom w:w="80" w:type="dxa"/>
              <w:right w:w="100" w:type="dxa"/>
            </w:tcMar>
            <w:vAlign w:val="center"/>
          </w:tcPr>
          <w:p w14:paraId="20D267E3" w14:textId="77777777" w:rsidR="00687DB0" w:rsidRDefault="00000000">
            <w:pPr>
              <w:jc w:val="center"/>
            </w:pPr>
            <w:r>
              <w:rPr>
                <w:rFonts w:ascii="Calibri" w:eastAsia="Calibri" w:hAnsi="Calibri" w:cs="Calibri"/>
                <w:color w:val="000000"/>
              </w:rPr>
              <w:t xml:space="preserve">Product </w:t>
            </w:r>
            <w:proofErr w:type="spellStart"/>
            <w:r>
              <w:rPr>
                <w:rFonts w:ascii="Calibri" w:eastAsia="Calibri" w:hAnsi="Calibri" w:cs="Calibri"/>
                <w:color w:val="000000"/>
              </w:rPr>
              <w:t>labeling</w:t>
            </w:r>
            <w:proofErr w:type="spellEnd"/>
            <w:r>
              <w:rPr>
                <w:rFonts w:ascii="Calibri" w:eastAsia="Calibri" w:hAnsi="Calibri" w:cs="Calibri"/>
                <w:color w:val="000000"/>
              </w:rPr>
              <w:t xml:space="preserve"> / post-marketing</w:t>
            </w:r>
          </w:p>
        </w:tc>
        <w:tc>
          <w:tcPr>
            <w:tcW w:w="3100" w:type="dxa"/>
            <w:shd w:val="clear" w:color="auto" w:fill="FCE4E4"/>
            <w:tcMar>
              <w:top w:w="80" w:type="dxa"/>
              <w:left w:w="100" w:type="dxa"/>
              <w:bottom w:w="80" w:type="dxa"/>
              <w:right w:w="100" w:type="dxa"/>
            </w:tcMar>
            <w:vAlign w:val="center"/>
          </w:tcPr>
          <w:p w14:paraId="42E83AFE" w14:textId="77777777" w:rsidR="00687DB0" w:rsidRDefault="00000000">
            <w:pPr>
              <w:jc w:val="center"/>
            </w:pPr>
            <w:r>
              <w:rPr>
                <w:rFonts w:ascii="Calibri" w:eastAsia="Calibri" w:hAnsi="Calibri" w:cs="Calibri"/>
                <w:color w:val="000000"/>
              </w:rPr>
              <w:t>Uncommon but recognized risks across the GLP-1 RA class; routine monitoring recommended</w:t>
            </w:r>
          </w:p>
        </w:tc>
        <w:tc>
          <w:tcPr>
            <w:tcW w:w="1850" w:type="dxa"/>
            <w:shd w:val="clear" w:color="auto" w:fill="FCE4E4"/>
            <w:tcMar>
              <w:top w:w="80" w:type="dxa"/>
              <w:left w:w="100" w:type="dxa"/>
              <w:bottom w:w="80" w:type="dxa"/>
              <w:right w:w="100" w:type="dxa"/>
            </w:tcMar>
            <w:vAlign w:val="center"/>
          </w:tcPr>
          <w:p w14:paraId="622BFFB5" w14:textId="77777777" w:rsidR="00687DB0" w:rsidRDefault="00000000">
            <w:pPr>
              <w:jc w:val="center"/>
            </w:pPr>
            <w:r>
              <w:rPr>
                <w:rFonts w:ascii="Calibri" w:eastAsia="Calibri" w:hAnsi="Calibri" w:cs="Calibri"/>
                <w:color w:val="000000"/>
              </w:rPr>
              <w:t xml:space="preserve">Moderate — established in </w:t>
            </w:r>
            <w:proofErr w:type="spellStart"/>
            <w:r>
              <w:rPr>
                <w:rFonts w:ascii="Calibri" w:eastAsia="Calibri" w:hAnsi="Calibri" w:cs="Calibri"/>
                <w:color w:val="000000"/>
              </w:rPr>
              <w:t>labeling</w:t>
            </w:r>
            <w:proofErr w:type="spellEnd"/>
            <w:r>
              <w:rPr>
                <w:rFonts w:ascii="Calibri" w:eastAsia="Calibri" w:hAnsi="Calibri" w:cs="Calibri"/>
                <w:color w:val="000000"/>
              </w:rPr>
              <w:t>, not re-quantified in this project</w:t>
            </w:r>
          </w:p>
        </w:tc>
      </w:tr>
    </w:tbl>
    <w:p w14:paraId="6435D9E6" w14:textId="456EB0F6" w:rsidR="00687DB0" w:rsidRDefault="00000000" w:rsidP="00E65676">
      <w:pPr>
        <w:pStyle w:val="Heading1"/>
        <w:pBdr>
          <w:bottom w:val="single" w:sz="6" w:space="4" w:color="1F3864"/>
        </w:pBdr>
        <w:spacing w:before="320" w:after="160"/>
      </w:pPr>
      <w:r>
        <w:rPr>
          <w:rFonts w:ascii="Calibri" w:eastAsia="Calibri" w:hAnsi="Calibri" w:cs="Calibri"/>
          <w:b/>
          <w:bCs/>
          <w:color w:val="1F3864"/>
          <w:sz w:val="28"/>
          <w:szCs w:val="28"/>
        </w:rPr>
        <w:lastRenderedPageBreak/>
        <w:t>4. Weighted Scoring (MCDA)</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891"/>
        <w:gridCol w:w="1849"/>
        <w:gridCol w:w="776"/>
        <w:gridCol w:w="1011"/>
        <w:gridCol w:w="2200"/>
      </w:tblGrid>
      <w:tr w:rsidR="00687DB0" w14:paraId="1F71D90D" w14:textId="77777777">
        <w:trPr>
          <w:tblHeader/>
        </w:trPr>
        <w:tc>
          <w:tcPr>
            <w:tcW w:w="1900" w:type="dxa"/>
            <w:shd w:val="clear" w:color="auto" w:fill="1F3864"/>
            <w:tcMar>
              <w:top w:w="80" w:type="dxa"/>
              <w:left w:w="100" w:type="dxa"/>
              <w:bottom w:w="80" w:type="dxa"/>
              <w:right w:w="100" w:type="dxa"/>
            </w:tcMar>
            <w:vAlign w:val="center"/>
          </w:tcPr>
          <w:p w14:paraId="00F52F17" w14:textId="77777777" w:rsidR="00687DB0" w:rsidRDefault="00000000">
            <w:pPr>
              <w:jc w:val="center"/>
            </w:pPr>
            <w:r>
              <w:rPr>
                <w:rFonts w:ascii="Calibri" w:eastAsia="Calibri" w:hAnsi="Calibri" w:cs="Calibri"/>
                <w:b/>
                <w:bCs/>
                <w:color w:val="FFFFFF"/>
              </w:rPr>
              <w:t>Criterion</w:t>
            </w:r>
          </w:p>
        </w:tc>
        <w:tc>
          <w:tcPr>
            <w:tcW w:w="900" w:type="dxa"/>
            <w:shd w:val="clear" w:color="auto" w:fill="1F3864"/>
            <w:tcMar>
              <w:top w:w="80" w:type="dxa"/>
              <w:left w:w="100" w:type="dxa"/>
              <w:bottom w:w="80" w:type="dxa"/>
              <w:right w:w="100" w:type="dxa"/>
            </w:tcMar>
            <w:vAlign w:val="center"/>
          </w:tcPr>
          <w:p w14:paraId="591C335C" w14:textId="77777777" w:rsidR="00687DB0" w:rsidRDefault="00000000">
            <w:pPr>
              <w:jc w:val="center"/>
            </w:pPr>
            <w:r>
              <w:rPr>
                <w:rFonts w:ascii="Calibri" w:eastAsia="Calibri" w:hAnsi="Calibri" w:cs="Calibri"/>
                <w:b/>
                <w:bCs/>
                <w:color w:val="FFFFFF"/>
              </w:rPr>
              <w:t>Type</w:t>
            </w:r>
          </w:p>
        </w:tc>
        <w:tc>
          <w:tcPr>
            <w:tcW w:w="1500" w:type="dxa"/>
            <w:shd w:val="clear" w:color="auto" w:fill="1F3864"/>
            <w:tcMar>
              <w:top w:w="80" w:type="dxa"/>
              <w:left w:w="100" w:type="dxa"/>
              <w:bottom w:w="80" w:type="dxa"/>
              <w:right w:w="100" w:type="dxa"/>
            </w:tcMar>
            <w:vAlign w:val="center"/>
          </w:tcPr>
          <w:p w14:paraId="29EB3E7F" w14:textId="77777777" w:rsidR="00687DB0" w:rsidRDefault="00000000">
            <w:pPr>
              <w:jc w:val="center"/>
            </w:pPr>
            <w:r>
              <w:rPr>
                <w:rFonts w:ascii="Calibri" w:eastAsia="Calibri" w:hAnsi="Calibri" w:cs="Calibri"/>
                <w:b/>
                <w:bCs/>
                <w:color w:val="FFFFFF"/>
              </w:rPr>
              <w:t>Illustrative weight (0–100, sums to 100)</w:t>
            </w:r>
          </w:p>
        </w:tc>
        <w:tc>
          <w:tcPr>
            <w:tcW w:w="900" w:type="dxa"/>
            <w:shd w:val="clear" w:color="auto" w:fill="1F3864"/>
            <w:tcMar>
              <w:top w:w="80" w:type="dxa"/>
              <w:left w:w="100" w:type="dxa"/>
              <w:bottom w:w="80" w:type="dxa"/>
              <w:right w:w="100" w:type="dxa"/>
            </w:tcMar>
            <w:vAlign w:val="center"/>
          </w:tcPr>
          <w:p w14:paraId="40C9468F" w14:textId="77777777" w:rsidR="00687DB0" w:rsidRDefault="00000000">
            <w:pPr>
              <w:jc w:val="center"/>
            </w:pPr>
            <w:r>
              <w:rPr>
                <w:rFonts w:ascii="Calibri" w:eastAsia="Calibri" w:hAnsi="Calibri" w:cs="Calibri"/>
                <w:b/>
                <w:bCs/>
                <w:color w:val="FFFFFF"/>
              </w:rPr>
              <w:t>Score (0–4)</w:t>
            </w:r>
          </w:p>
        </w:tc>
        <w:tc>
          <w:tcPr>
            <w:tcW w:w="1000" w:type="dxa"/>
            <w:shd w:val="clear" w:color="auto" w:fill="1F3864"/>
            <w:tcMar>
              <w:top w:w="80" w:type="dxa"/>
              <w:left w:w="100" w:type="dxa"/>
              <w:bottom w:w="80" w:type="dxa"/>
              <w:right w:w="100" w:type="dxa"/>
            </w:tcMar>
            <w:vAlign w:val="center"/>
          </w:tcPr>
          <w:p w14:paraId="04A4AD2D" w14:textId="77777777" w:rsidR="00687DB0" w:rsidRDefault="00000000">
            <w:pPr>
              <w:jc w:val="center"/>
            </w:pPr>
            <w:r>
              <w:rPr>
                <w:rFonts w:ascii="Calibri" w:eastAsia="Calibri" w:hAnsi="Calibri" w:cs="Calibri"/>
                <w:b/>
                <w:bCs/>
                <w:color w:val="FFFFFF"/>
              </w:rPr>
              <w:t>Weighted score</w:t>
            </w:r>
          </w:p>
        </w:tc>
        <w:tc>
          <w:tcPr>
            <w:tcW w:w="2650" w:type="dxa"/>
            <w:shd w:val="clear" w:color="auto" w:fill="1F3864"/>
            <w:tcMar>
              <w:top w:w="80" w:type="dxa"/>
              <w:left w:w="100" w:type="dxa"/>
              <w:bottom w:w="80" w:type="dxa"/>
              <w:right w:w="100" w:type="dxa"/>
            </w:tcMar>
            <w:vAlign w:val="center"/>
          </w:tcPr>
          <w:p w14:paraId="3C9446ED" w14:textId="77777777" w:rsidR="00687DB0" w:rsidRDefault="00000000">
            <w:pPr>
              <w:jc w:val="center"/>
            </w:pPr>
            <w:r>
              <w:rPr>
                <w:rFonts w:ascii="Calibri" w:eastAsia="Calibri" w:hAnsi="Calibri" w:cs="Calibri"/>
                <w:b/>
                <w:bCs/>
                <w:color w:val="FFFFFF"/>
              </w:rPr>
              <w:t>Rationale for score</w:t>
            </w:r>
          </w:p>
        </w:tc>
      </w:tr>
      <w:tr w:rsidR="00687DB0" w14:paraId="2079016C" w14:textId="77777777">
        <w:trPr>
          <w:cantSplit/>
        </w:trPr>
        <w:tc>
          <w:tcPr>
            <w:tcW w:w="1900" w:type="dxa"/>
            <w:shd w:val="clear" w:color="auto" w:fill="E2EFDA"/>
            <w:tcMar>
              <w:top w:w="80" w:type="dxa"/>
              <w:left w:w="100" w:type="dxa"/>
              <w:bottom w:w="80" w:type="dxa"/>
              <w:right w:w="100" w:type="dxa"/>
            </w:tcMar>
            <w:vAlign w:val="center"/>
          </w:tcPr>
          <w:p w14:paraId="6DA0913A" w14:textId="77777777" w:rsidR="00687DB0" w:rsidRDefault="00000000">
            <w:r>
              <w:rPr>
                <w:rFonts w:ascii="Calibri" w:eastAsia="Calibri" w:hAnsi="Calibri" w:cs="Calibri"/>
                <w:color w:val="000000"/>
              </w:rPr>
              <w:t>MACE reduction</w:t>
            </w:r>
          </w:p>
        </w:tc>
        <w:tc>
          <w:tcPr>
            <w:tcW w:w="900" w:type="dxa"/>
            <w:shd w:val="clear" w:color="auto" w:fill="E2EFDA"/>
            <w:tcMar>
              <w:top w:w="80" w:type="dxa"/>
              <w:left w:w="100" w:type="dxa"/>
              <w:bottom w:w="80" w:type="dxa"/>
              <w:right w:w="100" w:type="dxa"/>
            </w:tcMar>
            <w:vAlign w:val="center"/>
          </w:tcPr>
          <w:p w14:paraId="43F03F2D" w14:textId="77777777" w:rsidR="00687DB0" w:rsidRDefault="00000000">
            <w:pPr>
              <w:jc w:val="center"/>
            </w:pPr>
            <w:r>
              <w:rPr>
                <w:rFonts w:ascii="Calibri" w:eastAsia="Calibri" w:hAnsi="Calibri" w:cs="Calibri"/>
                <w:color w:val="000000"/>
              </w:rPr>
              <w:t>Benefit</w:t>
            </w:r>
          </w:p>
        </w:tc>
        <w:tc>
          <w:tcPr>
            <w:tcW w:w="1500" w:type="dxa"/>
            <w:shd w:val="clear" w:color="auto" w:fill="E2EFDA"/>
            <w:tcMar>
              <w:top w:w="80" w:type="dxa"/>
              <w:left w:w="100" w:type="dxa"/>
              <w:bottom w:w="80" w:type="dxa"/>
              <w:right w:w="100" w:type="dxa"/>
            </w:tcMar>
            <w:vAlign w:val="center"/>
          </w:tcPr>
          <w:p w14:paraId="72B48AC5" w14:textId="77777777" w:rsidR="00687DB0" w:rsidRDefault="00000000">
            <w:pPr>
              <w:jc w:val="center"/>
            </w:pPr>
            <w:r>
              <w:rPr>
                <w:rFonts w:ascii="Calibri" w:eastAsia="Calibri" w:hAnsi="Calibri" w:cs="Calibri"/>
                <w:color w:val="000000"/>
              </w:rPr>
              <w:t>30</w:t>
            </w:r>
          </w:p>
        </w:tc>
        <w:tc>
          <w:tcPr>
            <w:tcW w:w="900" w:type="dxa"/>
            <w:shd w:val="clear" w:color="auto" w:fill="E2EFDA"/>
            <w:tcMar>
              <w:top w:w="80" w:type="dxa"/>
              <w:left w:w="100" w:type="dxa"/>
              <w:bottom w:w="80" w:type="dxa"/>
              <w:right w:w="100" w:type="dxa"/>
            </w:tcMar>
            <w:vAlign w:val="center"/>
          </w:tcPr>
          <w:p w14:paraId="133C9736" w14:textId="77777777" w:rsidR="00687DB0" w:rsidRDefault="00000000">
            <w:pPr>
              <w:jc w:val="center"/>
            </w:pPr>
            <w:r>
              <w:rPr>
                <w:rFonts w:ascii="Calibri" w:eastAsia="Calibri" w:hAnsi="Calibri" w:cs="Calibri"/>
                <w:color w:val="000000"/>
              </w:rPr>
              <w:t>4</w:t>
            </w:r>
          </w:p>
        </w:tc>
        <w:tc>
          <w:tcPr>
            <w:tcW w:w="1000" w:type="dxa"/>
            <w:shd w:val="clear" w:color="auto" w:fill="E2EFDA"/>
            <w:tcMar>
              <w:top w:w="80" w:type="dxa"/>
              <w:left w:w="100" w:type="dxa"/>
              <w:bottom w:w="80" w:type="dxa"/>
              <w:right w:w="100" w:type="dxa"/>
            </w:tcMar>
            <w:vAlign w:val="center"/>
          </w:tcPr>
          <w:p w14:paraId="1681BEF9" w14:textId="77777777" w:rsidR="00687DB0" w:rsidRDefault="00000000">
            <w:pPr>
              <w:jc w:val="center"/>
            </w:pPr>
            <w:r>
              <w:rPr>
                <w:rFonts w:ascii="Calibri" w:eastAsia="Calibri" w:hAnsi="Calibri" w:cs="Calibri"/>
                <w:color w:val="000000"/>
              </w:rPr>
              <w:t>1.20</w:t>
            </w:r>
          </w:p>
        </w:tc>
        <w:tc>
          <w:tcPr>
            <w:tcW w:w="2650" w:type="dxa"/>
            <w:shd w:val="clear" w:color="auto" w:fill="E2EFDA"/>
            <w:tcMar>
              <w:top w:w="80" w:type="dxa"/>
              <w:left w:w="100" w:type="dxa"/>
              <w:bottom w:w="80" w:type="dxa"/>
              <w:right w:w="100" w:type="dxa"/>
            </w:tcMar>
            <w:vAlign w:val="center"/>
          </w:tcPr>
          <w:p w14:paraId="0A880D75" w14:textId="77777777" w:rsidR="00687DB0" w:rsidRDefault="00000000">
            <w:r>
              <w:rPr>
                <w:rFonts w:ascii="Calibri" w:eastAsia="Calibri" w:hAnsi="Calibri" w:cs="Calibri"/>
                <w:color w:val="000000"/>
              </w:rPr>
              <w:t>Large, statistically robust effect on a hard clinical endpoint (death/MI/stroke)</w:t>
            </w:r>
          </w:p>
        </w:tc>
      </w:tr>
      <w:tr w:rsidR="00687DB0" w14:paraId="341FDC4F" w14:textId="77777777">
        <w:trPr>
          <w:cantSplit/>
        </w:trPr>
        <w:tc>
          <w:tcPr>
            <w:tcW w:w="1900" w:type="dxa"/>
            <w:shd w:val="clear" w:color="auto" w:fill="E2EFDA"/>
            <w:tcMar>
              <w:top w:w="80" w:type="dxa"/>
              <w:left w:w="100" w:type="dxa"/>
              <w:bottom w:w="80" w:type="dxa"/>
              <w:right w:w="100" w:type="dxa"/>
            </w:tcMar>
            <w:vAlign w:val="center"/>
          </w:tcPr>
          <w:p w14:paraId="5D383D63" w14:textId="77777777" w:rsidR="00687DB0" w:rsidRDefault="00000000">
            <w:r>
              <w:rPr>
                <w:rFonts w:ascii="Calibri" w:eastAsia="Calibri" w:hAnsi="Calibri" w:cs="Calibri"/>
                <w:color w:val="000000"/>
              </w:rPr>
              <w:t>Weight loss / metabolic benefit</w:t>
            </w:r>
          </w:p>
        </w:tc>
        <w:tc>
          <w:tcPr>
            <w:tcW w:w="900" w:type="dxa"/>
            <w:shd w:val="clear" w:color="auto" w:fill="E2EFDA"/>
            <w:tcMar>
              <w:top w:w="80" w:type="dxa"/>
              <w:left w:w="100" w:type="dxa"/>
              <w:bottom w:w="80" w:type="dxa"/>
              <w:right w:w="100" w:type="dxa"/>
            </w:tcMar>
            <w:vAlign w:val="center"/>
          </w:tcPr>
          <w:p w14:paraId="5197DECC" w14:textId="77777777" w:rsidR="00687DB0" w:rsidRDefault="00000000">
            <w:pPr>
              <w:jc w:val="center"/>
            </w:pPr>
            <w:r>
              <w:rPr>
                <w:rFonts w:ascii="Calibri" w:eastAsia="Calibri" w:hAnsi="Calibri" w:cs="Calibri"/>
                <w:color w:val="000000"/>
              </w:rPr>
              <w:t>Benefit</w:t>
            </w:r>
          </w:p>
        </w:tc>
        <w:tc>
          <w:tcPr>
            <w:tcW w:w="1500" w:type="dxa"/>
            <w:shd w:val="clear" w:color="auto" w:fill="E2EFDA"/>
            <w:tcMar>
              <w:top w:w="80" w:type="dxa"/>
              <w:left w:w="100" w:type="dxa"/>
              <w:bottom w:w="80" w:type="dxa"/>
              <w:right w:w="100" w:type="dxa"/>
            </w:tcMar>
            <w:vAlign w:val="center"/>
          </w:tcPr>
          <w:p w14:paraId="4A4B1E29" w14:textId="77777777" w:rsidR="00687DB0" w:rsidRDefault="00000000">
            <w:pPr>
              <w:jc w:val="center"/>
            </w:pPr>
            <w:r>
              <w:rPr>
                <w:rFonts w:ascii="Calibri" w:eastAsia="Calibri" w:hAnsi="Calibri" w:cs="Calibri"/>
                <w:color w:val="000000"/>
              </w:rPr>
              <w:t>20</w:t>
            </w:r>
          </w:p>
        </w:tc>
        <w:tc>
          <w:tcPr>
            <w:tcW w:w="900" w:type="dxa"/>
            <w:shd w:val="clear" w:color="auto" w:fill="E2EFDA"/>
            <w:tcMar>
              <w:top w:w="80" w:type="dxa"/>
              <w:left w:w="100" w:type="dxa"/>
              <w:bottom w:w="80" w:type="dxa"/>
              <w:right w:w="100" w:type="dxa"/>
            </w:tcMar>
            <w:vAlign w:val="center"/>
          </w:tcPr>
          <w:p w14:paraId="3ED0F3DF" w14:textId="77777777" w:rsidR="00687DB0" w:rsidRDefault="00000000">
            <w:pPr>
              <w:jc w:val="center"/>
            </w:pPr>
            <w:r>
              <w:rPr>
                <w:rFonts w:ascii="Calibri" w:eastAsia="Calibri" w:hAnsi="Calibri" w:cs="Calibri"/>
                <w:color w:val="000000"/>
              </w:rPr>
              <w:t>3</w:t>
            </w:r>
          </w:p>
        </w:tc>
        <w:tc>
          <w:tcPr>
            <w:tcW w:w="1000" w:type="dxa"/>
            <w:shd w:val="clear" w:color="auto" w:fill="E2EFDA"/>
            <w:tcMar>
              <w:top w:w="80" w:type="dxa"/>
              <w:left w:w="100" w:type="dxa"/>
              <w:bottom w:w="80" w:type="dxa"/>
              <w:right w:w="100" w:type="dxa"/>
            </w:tcMar>
            <w:vAlign w:val="center"/>
          </w:tcPr>
          <w:p w14:paraId="712877D8" w14:textId="77777777" w:rsidR="00687DB0" w:rsidRDefault="00000000">
            <w:pPr>
              <w:jc w:val="center"/>
            </w:pPr>
            <w:r>
              <w:rPr>
                <w:rFonts w:ascii="Calibri" w:eastAsia="Calibri" w:hAnsi="Calibri" w:cs="Calibri"/>
                <w:color w:val="000000"/>
              </w:rPr>
              <w:t>0.60</w:t>
            </w:r>
          </w:p>
        </w:tc>
        <w:tc>
          <w:tcPr>
            <w:tcW w:w="2650" w:type="dxa"/>
            <w:shd w:val="clear" w:color="auto" w:fill="E2EFDA"/>
            <w:tcMar>
              <w:top w:w="80" w:type="dxa"/>
              <w:left w:w="100" w:type="dxa"/>
              <w:bottom w:w="80" w:type="dxa"/>
              <w:right w:w="100" w:type="dxa"/>
            </w:tcMar>
            <w:vAlign w:val="center"/>
          </w:tcPr>
          <w:p w14:paraId="388A7E66" w14:textId="77777777" w:rsidR="00687DB0" w:rsidRDefault="00000000">
            <w:r>
              <w:rPr>
                <w:rFonts w:ascii="Calibri" w:eastAsia="Calibri" w:hAnsi="Calibri" w:cs="Calibri"/>
                <w:color w:val="000000"/>
              </w:rPr>
              <w:t>Large, consistent effect; primarily a surrogate/quality-of-life endpoint outside the CVD-outcome context</w:t>
            </w:r>
          </w:p>
        </w:tc>
      </w:tr>
      <w:tr w:rsidR="00687DB0" w14:paraId="56A3782F" w14:textId="77777777">
        <w:trPr>
          <w:cantSplit/>
        </w:trPr>
        <w:tc>
          <w:tcPr>
            <w:tcW w:w="1900" w:type="dxa"/>
            <w:shd w:val="clear" w:color="auto" w:fill="E2EFDA"/>
            <w:tcMar>
              <w:top w:w="80" w:type="dxa"/>
              <w:left w:w="100" w:type="dxa"/>
              <w:bottom w:w="80" w:type="dxa"/>
              <w:right w:w="100" w:type="dxa"/>
            </w:tcMar>
            <w:vAlign w:val="center"/>
          </w:tcPr>
          <w:p w14:paraId="45538097" w14:textId="77777777" w:rsidR="00687DB0" w:rsidRDefault="00000000">
            <w:r>
              <w:rPr>
                <w:rFonts w:ascii="Calibri" w:eastAsia="Calibri" w:hAnsi="Calibri" w:cs="Calibri"/>
                <w:color w:val="000000"/>
              </w:rPr>
              <w:t>Diabetes prevention</w:t>
            </w:r>
          </w:p>
        </w:tc>
        <w:tc>
          <w:tcPr>
            <w:tcW w:w="900" w:type="dxa"/>
            <w:shd w:val="clear" w:color="auto" w:fill="E2EFDA"/>
            <w:tcMar>
              <w:top w:w="80" w:type="dxa"/>
              <w:left w:w="100" w:type="dxa"/>
              <w:bottom w:w="80" w:type="dxa"/>
              <w:right w:w="100" w:type="dxa"/>
            </w:tcMar>
            <w:vAlign w:val="center"/>
          </w:tcPr>
          <w:p w14:paraId="2F78FC0B" w14:textId="77777777" w:rsidR="00687DB0" w:rsidRDefault="00000000">
            <w:pPr>
              <w:jc w:val="center"/>
            </w:pPr>
            <w:r>
              <w:rPr>
                <w:rFonts w:ascii="Calibri" w:eastAsia="Calibri" w:hAnsi="Calibri" w:cs="Calibri"/>
                <w:color w:val="000000"/>
              </w:rPr>
              <w:t>Benefit</w:t>
            </w:r>
          </w:p>
        </w:tc>
        <w:tc>
          <w:tcPr>
            <w:tcW w:w="1500" w:type="dxa"/>
            <w:shd w:val="clear" w:color="auto" w:fill="E2EFDA"/>
            <w:tcMar>
              <w:top w:w="80" w:type="dxa"/>
              <w:left w:w="100" w:type="dxa"/>
              <w:bottom w:w="80" w:type="dxa"/>
              <w:right w:w="100" w:type="dxa"/>
            </w:tcMar>
            <w:vAlign w:val="center"/>
          </w:tcPr>
          <w:p w14:paraId="4F6A0E02" w14:textId="77777777" w:rsidR="00687DB0" w:rsidRDefault="00000000">
            <w:pPr>
              <w:jc w:val="center"/>
            </w:pPr>
            <w:r>
              <w:rPr>
                <w:rFonts w:ascii="Calibri" w:eastAsia="Calibri" w:hAnsi="Calibri" w:cs="Calibri"/>
                <w:color w:val="000000"/>
              </w:rPr>
              <w:t>10</w:t>
            </w:r>
          </w:p>
        </w:tc>
        <w:tc>
          <w:tcPr>
            <w:tcW w:w="900" w:type="dxa"/>
            <w:shd w:val="clear" w:color="auto" w:fill="E2EFDA"/>
            <w:tcMar>
              <w:top w:w="80" w:type="dxa"/>
              <w:left w:w="100" w:type="dxa"/>
              <w:bottom w:w="80" w:type="dxa"/>
              <w:right w:w="100" w:type="dxa"/>
            </w:tcMar>
            <w:vAlign w:val="center"/>
          </w:tcPr>
          <w:p w14:paraId="32A83EAA" w14:textId="77777777" w:rsidR="00687DB0" w:rsidRDefault="00000000">
            <w:pPr>
              <w:jc w:val="center"/>
            </w:pPr>
            <w:r>
              <w:rPr>
                <w:rFonts w:ascii="Calibri" w:eastAsia="Calibri" w:hAnsi="Calibri" w:cs="Calibri"/>
                <w:color w:val="000000"/>
              </w:rPr>
              <w:t>3</w:t>
            </w:r>
          </w:p>
        </w:tc>
        <w:tc>
          <w:tcPr>
            <w:tcW w:w="1000" w:type="dxa"/>
            <w:shd w:val="clear" w:color="auto" w:fill="E2EFDA"/>
            <w:tcMar>
              <w:top w:w="80" w:type="dxa"/>
              <w:left w:w="100" w:type="dxa"/>
              <w:bottom w:w="80" w:type="dxa"/>
              <w:right w:w="100" w:type="dxa"/>
            </w:tcMar>
            <w:vAlign w:val="center"/>
          </w:tcPr>
          <w:p w14:paraId="7B78D4B9" w14:textId="77777777" w:rsidR="00687DB0" w:rsidRDefault="00000000">
            <w:pPr>
              <w:jc w:val="center"/>
            </w:pPr>
            <w:r>
              <w:rPr>
                <w:rFonts w:ascii="Calibri" w:eastAsia="Calibri" w:hAnsi="Calibri" w:cs="Calibri"/>
                <w:color w:val="000000"/>
              </w:rPr>
              <w:t>0.30</w:t>
            </w:r>
          </w:p>
        </w:tc>
        <w:tc>
          <w:tcPr>
            <w:tcW w:w="2650" w:type="dxa"/>
            <w:shd w:val="clear" w:color="auto" w:fill="E2EFDA"/>
            <w:tcMar>
              <w:top w:w="80" w:type="dxa"/>
              <w:left w:w="100" w:type="dxa"/>
              <w:bottom w:w="80" w:type="dxa"/>
              <w:right w:w="100" w:type="dxa"/>
            </w:tcMar>
            <w:vAlign w:val="center"/>
          </w:tcPr>
          <w:p w14:paraId="6585BCA8" w14:textId="77777777" w:rsidR="00687DB0" w:rsidRDefault="00000000">
            <w:r>
              <w:rPr>
                <w:rFonts w:ascii="Calibri" w:eastAsia="Calibri" w:hAnsi="Calibri" w:cs="Calibri"/>
                <w:color w:val="000000"/>
              </w:rPr>
              <w:t>Large relative effect; absolute benefit depends on baseline diabetes risk in target population</w:t>
            </w:r>
          </w:p>
        </w:tc>
      </w:tr>
      <w:tr w:rsidR="00687DB0" w14:paraId="06E72E68" w14:textId="77777777">
        <w:trPr>
          <w:cantSplit/>
        </w:trPr>
        <w:tc>
          <w:tcPr>
            <w:tcW w:w="1900" w:type="dxa"/>
            <w:shd w:val="clear" w:color="auto" w:fill="E2EFDA"/>
            <w:tcMar>
              <w:top w:w="80" w:type="dxa"/>
              <w:left w:w="100" w:type="dxa"/>
              <w:bottom w:w="80" w:type="dxa"/>
              <w:right w:w="100" w:type="dxa"/>
            </w:tcMar>
            <w:vAlign w:val="center"/>
          </w:tcPr>
          <w:p w14:paraId="58468647" w14:textId="77777777" w:rsidR="00687DB0" w:rsidRDefault="00000000">
            <w:r>
              <w:rPr>
                <w:rFonts w:ascii="Calibri" w:eastAsia="Calibri" w:hAnsi="Calibri" w:cs="Calibri"/>
                <w:color w:val="000000"/>
              </w:rPr>
              <w:t>Kidney protection</w:t>
            </w:r>
          </w:p>
        </w:tc>
        <w:tc>
          <w:tcPr>
            <w:tcW w:w="900" w:type="dxa"/>
            <w:shd w:val="clear" w:color="auto" w:fill="E2EFDA"/>
            <w:tcMar>
              <w:top w:w="80" w:type="dxa"/>
              <w:left w:w="100" w:type="dxa"/>
              <w:bottom w:w="80" w:type="dxa"/>
              <w:right w:w="100" w:type="dxa"/>
            </w:tcMar>
            <w:vAlign w:val="center"/>
          </w:tcPr>
          <w:p w14:paraId="249A3E84" w14:textId="77777777" w:rsidR="00687DB0" w:rsidRDefault="00000000">
            <w:pPr>
              <w:jc w:val="center"/>
            </w:pPr>
            <w:r>
              <w:rPr>
                <w:rFonts w:ascii="Calibri" w:eastAsia="Calibri" w:hAnsi="Calibri" w:cs="Calibri"/>
                <w:color w:val="000000"/>
              </w:rPr>
              <w:t>Benefit</w:t>
            </w:r>
          </w:p>
        </w:tc>
        <w:tc>
          <w:tcPr>
            <w:tcW w:w="1500" w:type="dxa"/>
            <w:shd w:val="clear" w:color="auto" w:fill="E2EFDA"/>
            <w:tcMar>
              <w:top w:w="80" w:type="dxa"/>
              <w:left w:w="100" w:type="dxa"/>
              <w:bottom w:w="80" w:type="dxa"/>
              <w:right w:w="100" w:type="dxa"/>
            </w:tcMar>
            <w:vAlign w:val="center"/>
          </w:tcPr>
          <w:p w14:paraId="4C5D16EF" w14:textId="77777777" w:rsidR="00687DB0" w:rsidRDefault="00000000">
            <w:pPr>
              <w:jc w:val="center"/>
            </w:pPr>
            <w:r>
              <w:rPr>
                <w:rFonts w:ascii="Calibri" w:eastAsia="Calibri" w:hAnsi="Calibri" w:cs="Calibri"/>
                <w:color w:val="000000"/>
              </w:rPr>
              <w:t>10</w:t>
            </w:r>
          </w:p>
        </w:tc>
        <w:tc>
          <w:tcPr>
            <w:tcW w:w="900" w:type="dxa"/>
            <w:shd w:val="clear" w:color="auto" w:fill="E2EFDA"/>
            <w:tcMar>
              <w:top w:w="80" w:type="dxa"/>
              <w:left w:w="100" w:type="dxa"/>
              <w:bottom w:w="80" w:type="dxa"/>
              <w:right w:w="100" w:type="dxa"/>
            </w:tcMar>
            <w:vAlign w:val="center"/>
          </w:tcPr>
          <w:p w14:paraId="2A45A585" w14:textId="77777777" w:rsidR="00687DB0" w:rsidRDefault="00000000">
            <w:pPr>
              <w:jc w:val="center"/>
            </w:pPr>
            <w:r>
              <w:rPr>
                <w:rFonts w:ascii="Calibri" w:eastAsia="Calibri" w:hAnsi="Calibri" w:cs="Calibri"/>
                <w:color w:val="000000"/>
              </w:rPr>
              <w:t>2</w:t>
            </w:r>
          </w:p>
        </w:tc>
        <w:tc>
          <w:tcPr>
            <w:tcW w:w="1000" w:type="dxa"/>
            <w:shd w:val="clear" w:color="auto" w:fill="E2EFDA"/>
            <w:tcMar>
              <w:top w:w="80" w:type="dxa"/>
              <w:left w:w="100" w:type="dxa"/>
              <w:bottom w:w="80" w:type="dxa"/>
              <w:right w:w="100" w:type="dxa"/>
            </w:tcMar>
            <w:vAlign w:val="center"/>
          </w:tcPr>
          <w:p w14:paraId="4CEB98DC" w14:textId="77777777" w:rsidR="00687DB0" w:rsidRDefault="00000000">
            <w:pPr>
              <w:jc w:val="center"/>
            </w:pPr>
            <w:r>
              <w:rPr>
                <w:rFonts w:ascii="Calibri" w:eastAsia="Calibri" w:hAnsi="Calibri" w:cs="Calibri"/>
                <w:color w:val="000000"/>
              </w:rPr>
              <w:t>0.20</w:t>
            </w:r>
          </w:p>
        </w:tc>
        <w:tc>
          <w:tcPr>
            <w:tcW w:w="2650" w:type="dxa"/>
            <w:shd w:val="clear" w:color="auto" w:fill="E2EFDA"/>
            <w:tcMar>
              <w:top w:w="80" w:type="dxa"/>
              <w:left w:w="100" w:type="dxa"/>
              <w:bottom w:w="80" w:type="dxa"/>
              <w:right w:w="100" w:type="dxa"/>
            </w:tcMar>
            <w:vAlign w:val="center"/>
          </w:tcPr>
          <w:p w14:paraId="05541CF2" w14:textId="77777777" w:rsidR="00687DB0" w:rsidRDefault="00000000">
            <w:r>
              <w:rPr>
                <w:rFonts w:ascii="Calibri" w:eastAsia="Calibri" w:hAnsi="Calibri" w:cs="Calibri"/>
                <w:color w:val="000000"/>
              </w:rPr>
              <w:t>Moderate, statistically significant but smaller effect size than MACE</w:t>
            </w:r>
          </w:p>
        </w:tc>
      </w:tr>
      <w:tr w:rsidR="00687DB0" w14:paraId="0ED23C4F" w14:textId="77777777">
        <w:trPr>
          <w:cantSplit/>
        </w:trPr>
        <w:tc>
          <w:tcPr>
            <w:tcW w:w="1900" w:type="dxa"/>
            <w:shd w:val="clear" w:color="auto" w:fill="FCE4E4"/>
            <w:tcMar>
              <w:top w:w="80" w:type="dxa"/>
              <w:left w:w="100" w:type="dxa"/>
              <w:bottom w:w="80" w:type="dxa"/>
              <w:right w:w="100" w:type="dxa"/>
            </w:tcMar>
            <w:vAlign w:val="center"/>
          </w:tcPr>
          <w:p w14:paraId="6DEC11FD" w14:textId="77777777" w:rsidR="00687DB0" w:rsidRDefault="00000000">
            <w:r>
              <w:rPr>
                <w:rFonts w:ascii="Calibri" w:eastAsia="Calibri" w:hAnsi="Calibri" w:cs="Calibri"/>
                <w:color w:val="000000"/>
              </w:rPr>
              <w:t>Suicidality signal (composite of Section above)</w:t>
            </w:r>
          </w:p>
        </w:tc>
        <w:tc>
          <w:tcPr>
            <w:tcW w:w="900" w:type="dxa"/>
            <w:shd w:val="clear" w:color="auto" w:fill="FCE4E4"/>
            <w:tcMar>
              <w:top w:w="80" w:type="dxa"/>
              <w:left w:w="100" w:type="dxa"/>
              <w:bottom w:w="80" w:type="dxa"/>
              <w:right w:w="100" w:type="dxa"/>
            </w:tcMar>
            <w:vAlign w:val="center"/>
          </w:tcPr>
          <w:p w14:paraId="147AF852" w14:textId="77777777" w:rsidR="00687DB0" w:rsidRDefault="00000000">
            <w:pPr>
              <w:jc w:val="center"/>
            </w:pPr>
            <w:r>
              <w:rPr>
                <w:rFonts w:ascii="Calibri" w:eastAsia="Calibri" w:hAnsi="Calibri" w:cs="Calibri"/>
                <w:color w:val="000000"/>
              </w:rPr>
              <w:t>Risk</w:t>
            </w:r>
          </w:p>
        </w:tc>
        <w:tc>
          <w:tcPr>
            <w:tcW w:w="1500" w:type="dxa"/>
            <w:shd w:val="clear" w:color="auto" w:fill="FCE4E4"/>
            <w:tcMar>
              <w:top w:w="80" w:type="dxa"/>
              <w:left w:w="100" w:type="dxa"/>
              <w:bottom w:w="80" w:type="dxa"/>
              <w:right w:w="100" w:type="dxa"/>
            </w:tcMar>
            <w:vAlign w:val="center"/>
          </w:tcPr>
          <w:p w14:paraId="4C951A5C" w14:textId="77777777" w:rsidR="00687DB0" w:rsidRDefault="00000000">
            <w:pPr>
              <w:jc w:val="center"/>
            </w:pPr>
            <w:r>
              <w:rPr>
                <w:rFonts w:ascii="Calibri" w:eastAsia="Calibri" w:hAnsi="Calibri" w:cs="Calibri"/>
                <w:color w:val="000000"/>
              </w:rPr>
              <w:t>20</w:t>
            </w:r>
          </w:p>
        </w:tc>
        <w:tc>
          <w:tcPr>
            <w:tcW w:w="900" w:type="dxa"/>
            <w:shd w:val="clear" w:color="auto" w:fill="FCE4E4"/>
            <w:tcMar>
              <w:top w:w="80" w:type="dxa"/>
              <w:left w:w="100" w:type="dxa"/>
              <w:bottom w:w="80" w:type="dxa"/>
              <w:right w:w="100" w:type="dxa"/>
            </w:tcMar>
            <w:vAlign w:val="center"/>
          </w:tcPr>
          <w:p w14:paraId="0F211A96" w14:textId="77777777" w:rsidR="00687DB0" w:rsidRDefault="00000000">
            <w:pPr>
              <w:jc w:val="center"/>
            </w:pPr>
            <w:r>
              <w:rPr>
                <w:rFonts w:ascii="Calibri" w:eastAsia="Calibri" w:hAnsi="Calibri" w:cs="Calibri"/>
                <w:color w:val="000000"/>
              </w:rPr>
              <w:t>1</w:t>
            </w:r>
          </w:p>
        </w:tc>
        <w:tc>
          <w:tcPr>
            <w:tcW w:w="1000" w:type="dxa"/>
            <w:shd w:val="clear" w:color="auto" w:fill="FCE4E4"/>
            <w:tcMar>
              <w:top w:w="80" w:type="dxa"/>
              <w:left w:w="100" w:type="dxa"/>
              <w:bottom w:w="80" w:type="dxa"/>
              <w:right w:w="100" w:type="dxa"/>
            </w:tcMar>
            <w:vAlign w:val="center"/>
          </w:tcPr>
          <w:p w14:paraId="040593D5" w14:textId="77777777" w:rsidR="00687DB0" w:rsidRDefault="00000000">
            <w:pPr>
              <w:jc w:val="center"/>
            </w:pPr>
            <w:r>
              <w:rPr>
                <w:rFonts w:ascii="Calibri" w:eastAsia="Calibri" w:hAnsi="Calibri" w:cs="Calibri"/>
                <w:color w:val="000000"/>
              </w:rPr>
              <w:t>-0.20</w:t>
            </w:r>
          </w:p>
        </w:tc>
        <w:tc>
          <w:tcPr>
            <w:tcW w:w="2650" w:type="dxa"/>
            <w:shd w:val="clear" w:color="auto" w:fill="FCE4E4"/>
            <w:tcMar>
              <w:top w:w="80" w:type="dxa"/>
              <w:left w:w="100" w:type="dxa"/>
              <w:bottom w:w="80" w:type="dxa"/>
              <w:right w:w="100" w:type="dxa"/>
            </w:tcMar>
            <w:vAlign w:val="center"/>
          </w:tcPr>
          <w:p w14:paraId="650513B7" w14:textId="77777777" w:rsidR="00687DB0" w:rsidRDefault="00000000">
            <w:r>
              <w:rPr>
                <w:rFonts w:ascii="Calibri" w:eastAsia="Calibri" w:hAnsi="Calibri" w:cs="Calibri"/>
                <w:color w:val="000000"/>
              </w:rPr>
              <w:t>Statistically inconsistent across databases and terms; no term meets the stricter PRR signal threshold</w:t>
            </w:r>
          </w:p>
        </w:tc>
      </w:tr>
      <w:tr w:rsidR="00687DB0" w14:paraId="5C6F0B7E" w14:textId="77777777">
        <w:trPr>
          <w:cantSplit/>
        </w:trPr>
        <w:tc>
          <w:tcPr>
            <w:tcW w:w="1900" w:type="dxa"/>
            <w:shd w:val="clear" w:color="auto" w:fill="FCE4E4"/>
            <w:tcMar>
              <w:top w:w="80" w:type="dxa"/>
              <w:left w:w="100" w:type="dxa"/>
              <w:bottom w:w="80" w:type="dxa"/>
              <w:right w:w="100" w:type="dxa"/>
            </w:tcMar>
            <w:vAlign w:val="center"/>
          </w:tcPr>
          <w:p w14:paraId="32605A99" w14:textId="77777777" w:rsidR="00687DB0" w:rsidRDefault="00000000">
            <w:r>
              <w:rPr>
                <w:rFonts w:ascii="Calibri" w:eastAsia="Calibri" w:hAnsi="Calibri" w:cs="Calibri"/>
                <w:color w:val="000000"/>
              </w:rPr>
              <w:t>GI adverse events</w:t>
            </w:r>
          </w:p>
        </w:tc>
        <w:tc>
          <w:tcPr>
            <w:tcW w:w="900" w:type="dxa"/>
            <w:shd w:val="clear" w:color="auto" w:fill="FCE4E4"/>
            <w:tcMar>
              <w:top w:w="80" w:type="dxa"/>
              <w:left w:w="100" w:type="dxa"/>
              <w:bottom w:w="80" w:type="dxa"/>
              <w:right w:w="100" w:type="dxa"/>
            </w:tcMar>
            <w:vAlign w:val="center"/>
          </w:tcPr>
          <w:p w14:paraId="35806664" w14:textId="77777777" w:rsidR="00687DB0" w:rsidRDefault="00000000">
            <w:pPr>
              <w:jc w:val="center"/>
            </w:pPr>
            <w:r>
              <w:rPr>
                <w:rFonts w:ascii="Calibri" w:eastAsia="Calibri" w:hAnsi="Calibri" w:cs="Calibri"/>
                <w:color w:val="000000"/>
              </w:rPr>
              <w:t>Risk</w:t>
            </w:r>
          </w:p>
        </w:tc>
        <w:tc>
          <w:tcPr>
            <w:tcW w:w="1500" w:type="dxa"/>
            <w:shd w:val="clear" w:color="auto" w:fill="FCE4E4"/>
            <w:tcMar>
              <w:top w:w="80" w:type="dxa"/>
              <w:left w:w="100" w:type="dxa"/>
              <w:bottom w:w="80" w:type="dxa"/>
              <w:right w:w="100" w:type="dxa"/>
            </w:tcMar>
            <w:vAlign w:val="center"/>
          </w:tcPr>
          <w:p w14:paraId="19E4D6C2" w14:textId="77777777" w:rsidR="00687DB0" w:rsidRDefault="00000000">
            <w:pPr>
              <w:jc w:val="center"/>
            </w:pPr>
            <w:r>
              <w:rPr>
                <w:rFonts w:ascii="Calibri" w:eastAsia="Calibri" w:hAnsi="Calibri" w:cs="Calibri"/>
                <w:color w:val="000000"/>
              </w:rPr>
              <w:t>5</w:t>
            </w:r>
          </w:p>
        </w:tc>
        <w:tc>
          <w:tcPr>
            <w:tcW w:w="900" w:type="dxa"/>
            <w:shd w:val="clear" w:color="auto" w:fill="FCE4E4"/>
            <w:tcMar>
              <w:top w:w="80" w:type="dxa"/>
              <w:left w:w="100" w:type="dxa"/>
              <w:bottom w:w="80" w:type="dxa"/>
              <w:right w:w="100" w:type="dxa"/>
            </w:tcMar>
            <w:vAlign w:val="center"/>
          </w:tcPr>
          <w:p w14:paraId="7B0F8E70" w14:textId="77777777" w:rsidR="00687DB0" w:rsidRDefault="00000000">
            <w:pPr>
              <w:jc w:val="center"/>
            </w:pPr>
            <w:r>
              <w:rPr>
                <w:rFonts w:ascii="Calibri" w:eastAsia="Calibri" w:hAnsi="Calibri" w:cs="Calibri"/>
                <w:color w:val="000000"/>
              </w:rPr>
              <w:t>2</w:t>
            </w:r>
          </w:p>
        </w:tc>
        <w:tc>
          <w:tcPr>
            <w:tcW w:w="1000" w:type="dxa"/>
            <w:shd w:val="clear" w:color="auto" w:fill="FCE4E4"/>
            <w:tcMar>
              <w:top w:w="80" w:type="dxa"/>
              <w:left w:w="100" w:type="dxa"/>
              <w:bottom w:w="80" w:type="dxa"/>
              <w:right w:w="100" w:type="dxa"/>
            </w:tcMar>
            <w:vAlign w:val="center"/>
          </w:tcPr>
          <w:p w14:paraId="1ED86736" w14:textId="77777777" w:rsidR="00687DB0" w:rsidRDefault="00000000">
            <w:pPr>
              <w:jc w:val="center"/>
            </w:pPr>
            <w:r>
              <w:rPr>
                <w:rFonts w:ascii="Calibri" w:eastAsia="Calibri" w:hAnsi="Calibri" w:cs="Calibri"/>
                <w:color w:val="000000"/>
              </w:rPr>
              <w:t>-0.10</w:t>
            </w:r>
          </w:p>
        </w:tc>
        <w:tc>
          <w:tcPr>
            <w:tcW w:w="2650" w:type="dxa"/>
            <w:shd w:val="clear" w:color="auto" w:fill="FCE4E4"/>
            <w:tcMar>
              <w:top w:w="80" w:type="dxa"/>
              <w:left w:w="100" w:type="dxa"/>
              <w:bottom w:w="80" w:type="dxa"/>
              <w:right w:w="100" w:type="dxa"/>
            </w:tcMar>
            <w:vAlign w:val="center"/>
          </w:tcPr>
          <w:p w14:paraId="6EFC344B" w14:textId="77777777" w:rsidR="00687DB0" w:rsidRDefault="00000000">
            <w:r>
              <w:rPr>
                <w:rFonts w:ascii="Calibri" w:eastAsia="Calibri" w:hAnsi="Calibri" w:cs="Calibri"/>
                <w:color w:val="000000"/>
              </w:rPr>
              <w:t>High frequency but low severity/reversible; well-characterized and manageable via dose titration</w:t>
            </w:r>
          </w:p>
        </w:tc>
      </w:tr>
      <w:tr w:rsidR="00687DB0" w14:paraId="72DAA70C" w14:textId="77777777">
        <w:trPr>
          <w:cantSplit/>
        </w:trPr>
        <w:tc>
          <w:tcPr>
            <w:tcW w:w="1900" w:type="dxa"/>
            <w:shd w:val="clear" w:color="auto" w:fill="FCE4E4"/>
            <w:tcMar>
              <w:top w:w="80" w:type="dxa"/>
              <w:left w:w="100" w:type="dxa"/>
              <w:bottom w:w="80" w:type="dxa"/>
              <w:right w:w="100" w:type="dxa"/>
            </w:tcMar>
            <w:vAlign w:val="center"/>
          </w:tcPr>
          <w:p w14:paraId="2B18D07E" w14:textId="77777777" w:rsidR="00687DB0" w:rsidRDefault="00000000">
            <w:r>
              <w:rPr>
                <w:rFonts w:ascii="Calibri" w:eastAsia="Calibri" w:hAnsi="Calibri" w:cs="Calibri"/>
                <w:color w:val="000000"/>
              </w:rPr>
              <w:t>Pancreatitis / gallbladder / other class risks</w:t>
            </w:r>
          </w:p>
        </w:tc>
        <w:tc>
          <w:tcPr>
            <w:tcW w:w="900" w:type="dxa"/>
            <w:shd w:val="clear" w:color="auto" w:fill="FCE4E4"/>
            <w:tcMar>
              <w:top w:w="80" w:type="dxa"/>
              <w:left w:w="100" w:type="dxa"/>
              <w:bottom w:w="80" w:type="dxa"/>
              <w:right w:w="100" w:type="dxa"/>
            </w:tcMar>
            <w:vAlign w:val="center"/>
          </w:tcPr>
          <w:p w14:paraId="720344F1" w14:textId="77777777" w:rsidR="00687DB0" w:rsidRDefault="00000000">
            <w:pPr>
              <w:jc w:val="center"/>
            </w:pPr>
            <w:r>
              <w:rPr>
                <w:rFonts w:ascii="Calibri" w:eastAsia="Calibri" w:hAnsi="Calibri" w:cs="Calibri"/>
                <w:color w:val="000000"/>
              </w:rPr>
              <w:t>Risk</w:t>
            </w:r>
          </w:p>
        </w:tc>
        <w:tc>
          <w:tcPr>
            <w:tcW w:w="1500" w:type="dxa"/>
            <w:shd w:val="clear" w:color="auto" w:fill="FCE4E4"/>
            <w:tcMar>
              <w:top w:w="80" w:type="dxa"/>
              <w:left w:w="100" w:type="dxa"/>
              <w:bottom w:w="80" w:type="dxa"/>
              <w:right w:w="100" w:type="dxa"/>
            </w:tcMar>
            <w:vAlign w:val="center"/>
          </w:tcPr>
          <w:p w14:paraId="0278C339" w14:textId="77777777" w:rsidR="00687DB0" w:rsidRDefault="00000000">
            <w:pPr>
              <w:jc w:val="center"/>
            </w:pPr>
            <w:r>
              <w:rPr>
                <w:rFonts w:ascii="Calibri" w:eastAsia="Calibri" w:hAnsi="Calibri" w:cs="Calibri"/>
                <w:color w:val="000000"/>
              </w:rPr>
              <w:t>5</w:t>
            </w:r>
          </w:p>
        </w:tc>
        <w:tc>
          <w:tcPr>
            <w:tcW w:w="900" w:type="dxa"/>
            <w:shd w:val="clear" w:color="auto" w:fill="FCE4E4"/>
            <w:tcMar>
              <w:top w:w="80" w:type="dxa"/>
              <w:left w:w="100" w:type="dxa"/>
              <w:bottom w:w="80" w:type="dxa"/>
              <w:right w:w="100" w:type="dxa"/>
            </w:tcMar>
            <w:vAlign w:val="center"/>
          </w:tcPr>
          <w:p w14:paraId="6DE603F2" w14:textId="77777777" w:rsidR="00687DB0" w:rsidRDefault="00000000">
            <w:pPr>
              <w:jc w:val="center"/>
            </w:pPr>
            <w:r>
              <w:rPr>
                <w:rFonts w:ascii="Calibri" w:eastAsia="Calibri" w:hAnsi="Calibri" w:cs="Calibri"/>
                <w:color w:val="000000"/>
              </w:rPr>
              <w:t>2</w:t>
            </w:r>
          </w:p>
        </w:tc>
        <w:tc>
          <w:tcPr>
            <w:tcW w:w="1000" w:type="dxa"/>
            <w:shd w:val="clear" w:color="auto" w:fill="FCE4E4"/>
            <w:tcMar>
              <w:top w:w="80" w:type="dxa"/>
              <w:left w:w="100" w:type="dxa"/>
              <w:bottom w:w="80" w:type="dxa"/>
              <w:right w:w="100" w:type="dxa"/>
            </w:tcMar>
            <w:vAlign w:val="center"/>
          </w:tcPr>
          <w:p w14:paraId="2C325B7F" w14:textId="77777777" w:rsidR="00687DB0" w:rsidRDefault="00000000">
            <w:pPr>
              <w:jc w:val="center"/>
            </w:pPr>
            <w:r>
              <w:rPr>
                <w:rFonts w:ascii="Calibri" w:eastAsia="Calibri" w:hAnsi="Calibri" w:cs="Calibri"/>
                <w:color w:val="000000"/>
              </w:rPr>
              <w:t>-0.10</w:t>
            </w:r>
          </w:p>
        </w:tc>
        <w:tc>
          <w:tcPr>
            <w:tcW w:w="2650" w:type="dxa"/>
            <w:shd w:val="clear" w:color="auto" w:fill="FCE4E4"/>
            <w:tcMar>
              <w:top w:w="80" w:type="dxa"/>
              <w:left w:w="100" w:type="dxa"/>
              <w:bottom w:w="80" w:type="dxa"/>
              <w:right w:w="100" w:type="dxa"/>
            </w:tcMar>
            <w:vAlign w:val="center"/>
          </w:tcPr>
          <w:p w14:paraId="22ECD601" w14:textId="77777777" w:rsidR="00687DB0" w:rsidRDefault="00000000">
            <w:r>
              <w:rPr>
                <w:rFonts w:ascii="Calibri" w:eastAsia="Calibri" w:hAnsi="Calibri" w:cs="Calibri"/>
                <w:color w:val="000000"/>
              </w:rPr>
              <w:t xml:space="preserve">Established, low-frequency, moderate-severity risks already reflected in current </w:t>
            </w:r>
            <w:proofErr w:type="spellStart"/>
            <w:r>
              <w:rPr>
                <w:rFonts w:ascii="Calibri" w:eastAsia="Calibri" w:hAnsi="Calibri" w:cs="Calibri"/>
                <w:color w:val="000000"/>
              </w:rPr>
              <w:t>labeling</w:t>
            </w:r>
            <w:proofErr w:type="spellEnd"/>
          </w:p>
        </w:tc>
      </w:tr>
      <w:tr w:rsidR="00687DB0" w14:paraId="1612F806" w14:textId="77777777">
        <w:trPr>
          <w:gridAfter w:val="3"/>
          <w:wAfter w:w="4550" w:type="dxa"/>
        </w:trPr>
        <w:tc>
          <w:tcPr>
            <w:tcW w:w="5200" w:type="dxa"/>
            <w:shd w:val="clear" w:color="auto" w:fill="1F3864"/>
            <w:tcMar>
              <w:top w:w="80" w:type="dxa"/>
              <w:left w:w="100" w:type="dxa"/>
              <w:bottom w:w="80" w:type="dxa"/>
              <w:right w:w="100" w:type="dxa"/>
            </w:tcMar>
            <w:vAlign w:val="center"/>
          </w:tcPr>
          <w:p w14:paraId="49476A86" w14:textId="77777777" w:rsidR="00687DB0" w:rsidRDefault="00000000">
            <w:r>
              <w:rPr>
                <w:rFonts w:ascii="Calibri" w:eastAsia="Calibri" w:hAnsi="Calibri" w:cs="Calibri"/>
                <w:b/>
                <w:bCs/>
                <w:color w:val="FFFFFF"/>
              </w:rPr>
              <w:t>NET WEIGHTED SCORE</w:t>
            </w:r>
          </w:p>
        </w:tc>
        <w:tc>
          <w:tcPr>
            <w:tcW w:w="1000" w:type="dxa"/>
            <w:shd w:val="clear" w:color="auto" w:fill="1F3864"/>
            <w:tcMar>
              <w:top w:w="80" w:type="dxa"/>
              <w:left w:w="100" w:type="dxa"/>
              <w:bottom w:w="80" w:type="dxa"/>
              <w:right w:w="100" w:type="dxa"/>
            </w:tcMar>
            <w:vAlign w:val="center"/>
          </w:tcPr>
          <w:p w14:paraId="53CE7790" w14:textId="77777777" w:rsidR="00687DB0" w:rsidRDefault="00000000">
            <w:pPr>
              <w:jc w:val="center"/>
            </w:pPr>
            <w:r>
              <w:rPr>
                <w:rFonts w:ascii="Calibri" w:eastAsia="Calibri" w:hAnsi="Calibri" w:cs="Calibri"/>
                <w:b/>
                <w:bCs/>
                <w:color w:val="FFFFFF"/>
              </w:rPr>
              <w:t>+1.90</w:t>
            </w:r>
          </w:p>
        </w:tc>
        <w:tc>
          <w:tcPr>
            <w:tcW w:w="2650" w:type="dxa"/>
            <w:shd w:val="clear" w:color="auto" w:fill="1F3864"/>
            <w:tcMar>
              <w:top w:w="80" w:type="dxa"/>
              <w:left w:w="100" w:type="dxa"/>
              <w:bottom w:w="80" w:type="dxa"/>
              <w:right w:w="100" w:type="dxa"/>
            </w:tcMar>
            <w:vAlign w:val="center"/>
          </w:tcPr>
          <w:p w14:paraId="32CDA3D5" w14:textId="77777777" w:rsidR="00687DB0" w:rsidRDefault="00000000">
            <w:r>
              <w:rPr>
                <w:rFonts w:ascii="Calibri" w:eastAsia="Calibri" w:hAnsi="Calibri" w:cs="Calibri"/>
                <w:b/>
                <w:bCs/>
                <w:color w:val="FFFFFF"/>
              </w:rPr>
              <w:t>Positive net score — benefits outweigh risks under these illustrative weights</w:t>
            </w:r>
          </w:p>
        </w:tc>
      </w:tr>
    </w:tbl>
    <w:p w14:paraId="70C1C941" w14:textId="77777777" w:rsidR="00687DB0" w:rsidRDefault="00000000">
      <w:pPr>
        <w:spacing w:after="160" w:line="276" w:lineRule="auto"/>
      </w:pPr>
      <w:r>
        <w:rPr>
          <w:rFonts w:ascii="Calibri" w:eastAsia="Calibri" w:hAnsi="Calibri" w:cs="Calibri"/>
          <w:sz w:val="22"/>
          <w:szCs w:val="22"/>
        </w:rPr>
        <w:t>Reading the table: each criterion's weight (out of 100, benefits and risks combined) is multiplied by a 0–4 severity/magnitude score to produce a weighted score. Risk rows are shown as negative contributions. The net weighted score is positive, indicating that under these illustrative weights, semaglutide's cardiometabolic benefits are judged to outweigh its risks, including the suicidality signal characterized in this project.</w:t>
      </w:r>
    </w:p>
    <w:p w14:paraId="5552C2F7"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lastRenderedPageBreak/>
        <w:t>5. Sensitivity Analysis</w:t>
      </w:r>
    </w:p>
    <w:p w14:paraId="630E5D69" w14:textId="77777777" w:rsidR="00687DB0" w:rsidRDefault="00000000">
      <w:pPr>
        <w:spacing w:after="160" w:line="276" w:lineRule="auto"/>
      </w:pPr>
      <w:r>
        <w:rPr>
          <w:rFonts w:ascii="Calibri" w:eastAsia="Calibri" w:hAnsi="Calibri" w:cs="Calibri"/>
          <w:sz w:val="22"/>
          <w:szCs w:val="22"/>
        </w:rPr>
        <w:t>A benefit-risk conclusion should not depend on one arbitrary set of weights. Three stress-tests of the weighting above:</w:t>
      </w:r>
    </w:p>
    <w:p w14:paraId="392283A0" w14:textId="77777777" w:rsidR="00687DB0" w:rsidRDefault="00000000">
      <w:pPr>
        <w:pStyle w:val="ListParagraph"/>
        <w:numPr>
          <w:ilvl w:val="0"/>
          <w:numId w:val="2"/>
        </w:numPr>
        <w:spacing w:after="80"/>
      </w:pPr>
      <w:r>
        <w:rPr>
          <w:rFonts w:ascii="Calibri" w:eastAsia="Calibri" w:hAnsi="Calibri" w:cs="Calibri"/>
          <w:sz w:val="22"/>
          <w:szCs w:val="22"/>
        </w:rPr>
        <w:t>Double the suicidality signal's weight (from 20 to 40, rebalancing other risk weights proportionally down): the net score remains positive, because the suicidality score itself (1 out of 4) is low — the statistical evidence for the signal is weak, not just under-weighted. This suggests the conclusion is relatively insensitive to how much importance a reader places on this specific risk, and more sensitive to how strong they believe the underlying evidence to be.</w:t>
      </w:r>
    </w:p>
    <w:p w14:paraId="7C205BFA" w14:textId="77777777" w:rsidR="00687DB0" w:rsidRDefault="00000000">
      <w:pPr>
        <w:pStyle w:val="ListParagraph"/>
        <w:numPr>
          <w:ilvl w:val="0"/>
          <w:numId w:val="2"/>
        </w:numPr>
        <w:spacing w:after="80"/>
      </w:pPr>
      <w:r>
        <w:rPr>
          <w:rFonts w:ascii="Calibri" w:eastAsia="Calibri" w:hAnsi="Calibri" w:cs="Calibri"/>
          <w:sz w:val="22"/>
          <w:szCs w:val="22"/>
        </w:rPr>
        <w:t xml:space="preserve">Raise the suicidality signal's score from 1 to 3 (i.e., assume a reader believes the evidence is stronger than this memo concludes — for instance, weighting the </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significant result over the non-significant FAERS result): the net weighted score drops to approximately +0.90, still positive but meaningfully reduced. This is the single largest lever in the whole table — the conclusion is far more sensitive to belief about signal strength than to belief about signal importance.</w:t>
      </w:r>
    </w:p>
    <w:p w14:paraId="00757146" w14:textId="77777777" w:rsidR="00687DB0" w:rsidRDefault="00000000">
      <w:pPr>
        <w:pStyle w:val="ListParagraph"/>
        <w:numPr>
          <w:ilvl w:val="0"/>
          <w:numId w:val="2"/>
        </w:numPr>
        <w:spacing w:after="80"/>
      </w:pPr>
      <w:r>
        <w:rPr>
          <w:rFonts w:ascii="Calibri" w:eastAsia="Calibri" w:hAnsi="Calibri" w:cs="Calibri"/>
          <w:sz w:val="22"/>
          <w:szCs w:val="22"/>
        </w:rPr>
        <w:t>Zero out the CVD-outcome benefit entirely (i.e., restrict the assessment to the diabetes/weight-management indications only, where SELECT's MACE data would not apply): the net weighted score drops to approximately +0.70, still positive. The benefit case does not rest on the cardiovascular indication alone.</w:t>
      </w:r>
    </w:p>
    <w:p w14:paraId="348729D3" w14:textId="77777777" w:rsidR="00687DB0" w:rsidRDefault="00000000">
      <w:pPr>
        <w:spacing w:after="160" w:line="276" w:lineRule="auto"/>
      </w:pPr>
      <w:r>
        <w:rPr>
          <w:rFonts w:ascii="Calibri" w:eastAsia="Calibri" w:hAnsi="Calibri" w:cs="Calibri"/>
          <w:sz w:val="22"/>
          <w:szCs w:val="22"/>
        </w:rPr>
        <w:t>Overall: the benefit-risk conclusion is robust across a reasonable range of weight assumptions, but is sensitive to the score assigned to the suicidality signal's evidentiary strength — which is precisely why Phase 2's careful, source-by-source characterization of that evidence (rather than a single summary ROR) matters for this assessment.</w:t>
      </w:r>
    </w:p>
    <w:p w14:paraId="405C619D"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t>6. Recommendation</w:t>
      </w:r>
    </w:p>
    <w:p w14:paraId="3319A0D6" w14:textId="77777777" w:rsidR="00687DB0" w:rsidRDefault="00000000">
      <w:pPr>
        <w:spacing w:after="160" w:line="276" w:lineRule="auto"/>
      </w:pPr>
      <w:r>
        <w:rPr>
          <w:rFonts w:ascii="Calibri" w:eastAsia="Calibri" w:hAnsi="Calibri" w:cs="Calibri"/>
          <w:sz w:val="22"/>
          <w:szCs w:val="22"/>
        </w:rPr>
        <w:t xml:space="preserve">Based on the evidence assembled across all three phases of this project, the benefit-risk balance for semaglutide </w:t>
      </w:r>
      <w:proofErr w:type="spellStart"/>
      <w:r>
        <w:rPr>
          <w:rFonts w:ascii="Calibri" w:eastAsia="Calibri" w:hAnsi="Calibri" w:cs="Calibri"/>
          <w:sz w:val="22"/>
          <w:szCs w:val="22"/>
        </w:rPr>
        <w:t>favors</w:t>
      </w:r>
      <w:proofErr w:type="spellEnd"/>
      <w:r>
        <w:rPr>
          <w:rFonts w:ascii="Calibri" w:eastAsia="Calibri" w:hAnsi="Calibri" w:cs="Calibri"/>
          <w:sz w:val="22"/>
          <w:szCs w:val="22"/>
        </w:rPr>
        <w:t xml:space="preserve"> continued marketing without new restrictions, consistent with EMA PRAC's April 2024 conclusion and the FDA's January 2026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decision. The cardiovascular, metabolic, and renal benefits are supported by large, high-certainty randomized trial evidence; the suicidality signal is supported by low-to-moderate-certainty, internally inconsistent spontaneous-report evidence, and is not corroborated by the trial programs underlying the benefit case (which have not reported an excess of adjudicated suicidal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at the population level).</w:t>
      </w:r>
    </w:p>
    <w:p w14:paraId="793BF6F9" w14:textId="77777777" w:rsidR="00687DB0" w:rsidRDefault="00000000">
      <w:pPr>
        <w:spacing w:after="160" w:line="276" w:lineRule="auto"/>
      </w:pPr>
      <w:r>
        <w:rPr>
          <w:rFonts w:ascii="Calibri" w:eastAsia="Calibri" w:hAnsi="Calibri" w:cs="Calibri"/>
          <w:sz w:val="22"/>
          <w:szCs w:val="22"/>
        </w:rPr>
        <w:t>This recommendation should not be read as "no risk" — Section 5's sensitivity analysis shows the conclusion would change under a reasonable but less charitable reading of the suicidality evidence. The appropriate risk-management response is proportionate monitoring (see this project's forthcoming RMP/risk-minimization phase) rather than either dismissal of the signal or a restrictive label change.</w:t>
      </w:r>
    </w:p>
    <w:p w14:paraId="0C7EA85E" w14:textId="77777777" w:rsidR="00687DB0" w:rsidRDefault="00000000">
      <w:pPr>
        <w:pStyle w:val="Heading1"/>
        <w:pBdr>
          <w:bottom w:val="single" w:sz="6" w:space="4" w:color="1F3864"/>
        </w:pBdr>
        <w:spacing w:before="320" w:after="160"/>
      </w:pPr>
      <w:r>
        <w:rPr>
          <w:rFonts w:ascii="Calibri" w:eastAsia="Calibri" w:hAnsi="Calibri" w:cs="Calibri"/>
          <w:b/>
          <w:bCs/>
          <w:color w:val="1F3864"/>
          <w:sz w:val="28"/>
          <w:szCs w:val="28"/>
        </w:rPr>
        <w:t>7. Limitations</w:t>
      </w:r>
    </w:p>
    <w:p w14:paraId="720DE600" w14:textId="77777777" w:rsidR="00687DB0" w:rsidRDefault="00000000">
      <w:pPr>
        <w:pStyle w:val="ListParagraph"/>
        <w:numPr>
          <w:ilvl w:val="0"/>
          <w:numId w:val="2"/>
        </w:numPr>
        <w:spacing w:after="80"/>
      </w:pPr>
      <w:r>
        <w:rPr>
          <w:rFonts w:ascii="Calibri" w:eastAsia="Calibri" w:hAnsi="Calibri" w:cs="Calibri"/>
          <w:sz w:val="22"/>
          <w:szCs w:val="22"/>
        </w:rPr>
        <w:t>Criterion weights (Section 4) are illustrative and were not elicited from real stakeholders — treat the MCDA table as a demonstration of method, not a finished decision input.</w:t>
      </w:r>
    </w:p>
    <w:p w14:paraId="1A3D959F" w14:textId="77777777" w:rsidR="00687DB0" w:rsidRDefault="00000000">
      <w:pPr>
        <w:pStyle w:val="ListParagraph"/>
        <w:numPr>
          <w:ilvl w:val="0"/>
          <w:numId w:val="2"/>
        </w:numPr>
        <w:spacing w:after="80"/>
      </w:pPr>
      <w:r>
        <w:rPr>
          <w:rFonts w:ascii="Calibri" w:eastAsia="Calibri" w:hAnsi="Calibri" w:cs="Calibri"/>
          <w:sz w:val="22"/>
          <w:szCs w:val="22"/>
        </w:rPr>
        <w:t>The benefit trial populations (SELECT, STEP 1) are not identical to the populations generating the FAERS/</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risk reports; benefits and risks are not being compared within a single matched population.</w:t>
      </w:r>
    </w:p>
    <w:p w14:paraId="47A1C5E9" w14:textId="77777777" w:rsidR="00687DB0" w:rsidRDefault="00000000">
      <w:pPr>
        <w:pStyle w:val="ListParagraph"/>
        <w:numPr>
          <w:ilvl w:val="0"/>
          <w:numId w:val="2"/>
        </w:numPr>
        <w:spacing w:after="80"/>
      </w:pPr>
      <w:r>
        <w:rPr>
          <w:rFonts w:ascii="Calibri" w:eastAsia="Calibri" w:hAnsi="Calibri" w:cs="Calibri"/>
          <w:sz w:val="22"/>
          <w:szCs w:val="22"/>
        </w:rPr>
        <w:t>This assessment does not include a formal number-needed-to-treat / number-needed-to-harm calculation, which a full regulatory-grade benefit-risk assessment would typically require.</w:t>
      </w:r>
    </w:p>
    <w:p w14:paraId="24324A9F" w14:textId="77777777" w:rsidR="00687DB0" w:rsidRDefault="00000000">
      <w:pPr>
        <w:pStyle w:val="ListParagraph"/>
        <w:numPr>
          <w:ilvl w:val="0"/>
          <w:numId w:val="2"/>
        </w:numPr>
        <w:spacing w:after="80"/>
      </w:pPr>
      <w:r>
        <w:rPr>
          <w:rFonts w:ascii="Calibri" w:eastAsia="Calibri" w:hAnsi="Calibri" w:cs="Calibri"/>
          <w:sz w:val="22"/>
          <w:szCs w:val="22"/>
        </w:rPr>
        <w:lastRenderedPageBreak/>
        <w:t>GI and other class-risk figures are qualitative/directional, not re-quantified with the same rigor as the suicidality analysis in Phases 1–2.</w:t>
      </w:r>
    </w:p>
    <w:sectPr w:rsidR="00687DB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9676" w14:textId="77777777" w:rsidR="001A63E6" w:rsidRDefault="001A63E6">
      <w:r>
        <w:separator/>
      </w:r>
    </w:p>
  </w:endnote>
  <w:endnote w:type="continuationSeparator" w:id="0">
    <w:p w14:paraId="45A945B5" w14:textId="77777777" w:rsidR="001A63E6" w:rsidRDefault="001A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EF8B" w14:textId="77777777" w:rsidR="00687DB0"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8E6BB4">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A9C2" w14:textId="77777777" w:rsidR="001A63E6" w:rsidRDefault="001A63E6">
      <w:r>
        <w:separator/>
      </w:r>
    </w:p>
  </w:footnote>
  <w:footnote w:type="continuationSeparator" w:id="0">
    <w:p w14:paraId="3816E5C7" w14:textId="77777777" w:rsidR="001A63E6" w:rsidRDefault="001A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648C" w14:textId="77777777" w:rsidR="00687DB0" w:rsidRDefault="00000000">
    <w:pPr>
      <w:jc w:val="right"/>
    </w:pPr>
    <w:r>
      <w:rPr>
        <w:rFonts w:ascii="Calibri" w:eastAsia="Calibri" w:hAnsi="Calibri" w:cs="Calibri"/>
        <w:i/>
        <w:iCs/>
        <w:color w:val="888888"/>
        <w:sz w:val="16"/>
        <w:szCs w:val="16"/>
      </w:rPr>
      <w:t>Benefit-Risk Assessment — Semaglutide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30D4"/>
    <w:multiLevelType w:val="hybridMultilevel"/>
    <w:tmpl w:val="CAEA2E48"/>
    <w:lvl w:ilvl="0" w:tplc="C4F6A4BE">
      <w:start w:val="1"/>
      <w:numFmt w:val="bullet"/>
      <w:lvlText w:val="•"/>
      <w:lvlJc w:val="left"/>
      <w:pPr>
        <w:ind w:left="400" w:hanging="260"/>
      </w:pPr>
    </w:lvl>
    <w:lvl w:ilvl="1" w:tplc="94EEFA0E">
      <w:numFmt w:val="decimal"/>
      <w:lvlText w:val=""/>
      <w:lvlJc w:val="left"/>
    </w:lvl>
    <w:lvl w:ilvl="2" w:tplc="8DF0CDD2">
      <w:numFmt w:val="decimal"/>
      <w:lvlText w:val=""/>
      <w:lvlJc w:val="left"/>
    </w:lvl>
    <w:lvl w:ilvl="3" w:tplc="B1C8D0E2">
      <w:numFmt w:val="decimal"/>
      <w:lvlText w:val=""/>
      <w:lvlJc w:val="left"/>
    </w:lvl>
    <w:lvl w:ilvl="4" w:tplc="1A7C773A">
      <w:numFmt w:val="decimal"/>
      <w:lvlText w:val=""/>
      <w:lvlJc w:val="left"/>
    </w:lvl>
    <w:lvl w:ilvl="5" w:tplc="51242F14">
      <w:numFmt w:val="decimal"/>
      <w:lvlText w:val=""/>
      <w:lvlJc w:val="left"/>
    </w:lvl>
    <w:lvl w:ilvl="6" w:tplc="7C72C790">
      <w:numFmt w:val="decimal"/>
      <w:lvlText w:val=""/>
      <w:lvlJc w:val="left"/>
    </w:lvl>
    <w:lvl w:ilvl="7" w:tplc="60C86A3E">
      <w:numFmt w:val="decimal"/>
      <w:lvlText w:val=""/>
      <w:lvlJc w:val="left"/>
    </w:lvl>
    <w:lvl w:ilvl="8" w:tplc="4F9201E4">
      <w:numFmt w:val="decimal"/>
      <w:lvlText w:val=""/>
      <w:lvlJc w:val="left"/>
    </w:lvl>
  </w:abstractNum>
  <w:abstractNum w:abstractNumId="1" w15:restartNumberingAfterBreak="0">
    <w:nsid w:val="67945CC9"/>
    <w:multiLevelType w:val="hybridMultilevel"/>
    <w:tmpl w:val="C18A7300"/>
    <w:lvl w:ilvl="0" w:tplc="41EA13C2">
      <w:start w:val="1"/>
      <w:numFmt w:val="bullet"/>
      <w:lvlText w:val="●"/>
      <w:lvlJc w:val="left"/>
      <w:pPr>
        <w:ind w:left="720" w:hanging="360"/>
      </w:pPr>
    </w:lvl>
    <w:lvl w:ilvl="1" w:tplc="3730A374">
      <w:start w:val="1"/>
      <w:numFmt w:val="bullet"/>
      <w:lvlText w:val="○"/>
      <w:lvlJc w:val="left"/>
      <w:pPr>
        <w:ind w:left="1440" w:hanging="360"/>
      </w:pPr>
    </w:lvl>
    <w:lvl w:ilvl="2" w:tplc="14E877F6">
      <w:start w:val="1"/>
      <w:numFmt w:val="bullet"/>
      <w:lvlText w:val="■"/>
      <w:lvlJc w:val="left"/>
      <w:pPr>
        <w:ind w:left="2160" w:hanging="360"/>
      </w:pPr>
    </w:lvl>
    <w:lvl w:ilvl="3" w:tplc="ADC4EB9E">
      <w:start w:val="1"/>
      <w:numFmt w:val="bullet"/>
      <w:lvlText w:val="●"/>
      <w:lvlJc w:val="left"/>
      <w:pPr>
        <w:ind w:left="2880" w:hanging="360"/>
      </w:pPr>
    </w:lvl>
    <w:lvl w:ilvl="4" w:tplc="B3E04908">
      <w:start w:val="1"/>
      <w:numFmt w:val="bullet"/>
      <w:lvlText w:val="○"/>
      <w:lvlJc w:val="left"/>
      <w:pPr>
        <w:ind w:left="3600" w:hanging="360"/>
      </w:pPr>
    </w:lvl>
    <w:lvl w:ilvl="5" w:tplc="07E652E2">
      <w:start w:val="1"/>
      <w:numFmt w:val="bullet"/>
      <w:lvlText w:val="■"/>
      <w:lvlJc w:val="left"/>
      <w:pPr>
        <w:ind w:left="4320" w:hanging="360"/>
      </w:pPr>
    </w:lvl>
    <w:lvl w:ilvl="6" w:tplc="13DA1438">
      <w:start w:val="1"/>
      <w:numFmt w:val="bullet"/>
      <w:lvlText w:val="●"/>
      <w:lvlJc w:val="left"/>
      <w:pPr>
        <w:ind w:left="5040" w:hanging="360"/>
      </w:pPr>
    </w:lvl>
    <w:lvl w:ilvl="7" w:tplc="2132CF16">
      <w:start w:val="1"/>
      <w:numFmt w:val="bullet"/>
      <w:lvlText w:val="●"/>
      <w:lvlJc w:val="left"/>
      <w:pPr>
        <w:ind w:left="5760" w:hanging="360"/>
      </w:pPr>
    </w:lvl>
    <w:lvl w:ilvl="8" w:tplc="0E50814A">
      <w:start w:val="1"/>
      <w:numFmt w:val="bullet"/>
      <w:lvlText w:val="●"/>
      <w:lvlJc w:val="left"/>
      <w:pPr>
        <w:ind w:left="6480" w:hanging="360"/>
      </w:pPr>
    </w:lvl>
  </w:abstractNum>
  <w:num w:numId="1" w16cid:durableId="1162701460">
    <w:abstractNumId w:val="1"/>
    <w:lvlOverride w:ilvl="0">
      <w:startOverride w:val="1"/>
    </w:lvlOverride>
  </w:num>
  <w:num w:numId="2" w16cid:durableId="900360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DB0"/>
    <w:rsid w:val="001A63E6"/>
    <w:rsid w:val="003D2004"/>
    <w:rsid w:val="00687DB0"/>
    <w:rsid w:val="008E6BB4"/>
    <w:rsid w:val="008F0AA4"/>
    <w:rsid w:val="00972D73"/>
    <w:rsid w:val="00D02476"/>
    <w:rsid w:val="00E65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E4DC"/>
  <w15:docId w15:val="{4ECD0335-91C3-441A-A039-9AEF45A1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ZEEHAAN AKTAR</cp:lastModifiedBy>
  <cp:revision>4</cp:revision>
  <dcterms:created xsi:type="dcterms:W3CDTF">2026-09-10T20:29:00Z</dcterms:created>
  <dcterms:modified xsi:type="dcterms:W3CDTF">2026-09-16T10:41:00Z</dcterms:modified>
</cp:coreProperties>
</file>