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859A" w14:textId="77777777" w:rsidR="00C63EB7" w:rsidRDefault="00000000">
      <w:pPr>
        <w:spacing w:after="60"/>
        <w:jc w:val="center"/>
      </w:pPr>
      <w:r>
        <w:rPr>
          <w:rFonts w:ascii="Calibri" w:eastAsia="Calibri" w:hAnsi="Calibri" w:cs="Calibri"/>
          <w:b/>
          <w:bCs/>
          <w:color w:val="1F3864"/>
          <w:sz w:val="36"/>
          <w:szCs w:val="36"/>
        </w:rPr>
        <w:t>EXECUTIVE SUMMARY</w:t>
      </w:r>
    </w:p>
    <w:p w14:paraId="4CE43A23" w14:textId="77777777" w:rsidR="00C63EB7" w:rsidRDefault="00000000">
      <w:pPr>
        <w:spacing w:after="320"/>
        <w:jc w:val="center"/>
      </w:pPr>
      <w:r>
        <w:rPr>
          <w:rFonts w:ascii="Calibri" w:eastAsia="Calibri" w:hAnsi="Calibri" w:cs="Calibri"/>
          <w:i/>
          <w:iCs/>
          <w:color w:val="555555"/>
          <w:sz w:val="24"/>
          <w:szCs w:val="24"/>
        </w:rPr>
        <w:t>Pharmacovigilance Strategy Recommendation — Semaglutide and the Suicidality Signal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C63EB7" w14:paraId="06DF10F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A973EB5" w14:textId="77777777" w:rsidR="00C63EB7" w:rsidRDefault="00000000">
            <w:r>
              <w:rPr>
                <w:rFonts w:ascii="Calibri" w:eastAsia="Calibri" w:hAnsi="Calibri" w:cs="Calibri"/>
                <w:b/>
                <w:bCs/>
                <w:color w:val="000000"/>
              </w:rPr>
              <w:t>Product</w:t>
            </w:r>
          </w:p>
        </w:tc>
        <w:tc>
          <w:tcPr>
            <w:tcW w:w="6950" w:type="dxa"/>
            <w:tcMar>
              <w:top w:w="80" w:type="dxa"/>
              <w:left w:w="100" w:type="dxa"/>
              <w:bottom w:w="80" w:type="dxa"/>
              <w:right w:w="100" w:type="dxa"/>
            </w:tcMar>
            <w:vAlign w:val="center"/>
          </w:tcPr>
          <w:p w14:paraId="474D9878" w14:textId="77777777" w:rsidR="00C63EB7" w:rsidRDefault="00000000">
            <w:r>
              <w:rPr>
                <w:rFonts w:ascii="Calibri" w:eastAsia="Calibri" w:hAnsi="Calibri" w:cs="Calibri"/>
                <w:color w:val="000000"/>
              </w:rPr>
              <w:t>Semaglutide (Ozempic / Wegovy / Rybelsus) — GLP-1 receptor agonist</w:t>
            </w:r>
          </w:p>
        </w:tc>
      </w:tr>
      <w:tr w:rsidR="00C63EB7" w14:paraId="1C86F04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69A46EB" w14:textId="77777777" w:rsidR="00C63EB7" w:rsidRDefault="00000000">
            <w:r>
              <w:rPr>
                <w:rFonts w:ascii="Calibri" w:eastAsia="Calibri" w:hAnsi="Calibri" w:cs="Calibri"/>
                <w:b/>
                <w:bCs/>
                <w:color w:val="000000"/>
              </w:rPr>
              <w:t>Issue under review</w:t>
            </w:r>
          </w:p>
        </w:tc>
        <w:tc>
          <w:tcPr>
            <w:tcW w:w="6950" w:type="dxa"/>
            <w:tcMar>
              <w:top w:w="80" w:type="dxa"/>
              <w:left w:w="100" w:type="dxa"/>
              <w:bottom w:w="80" w:type="dxa"/>
              <w:right w:w="100" w:type="dxa"/>
            </w:tcMar>
            <w:vAlign w:val="center"/>
          </w:tcPr>
          <w:p w14:paraId="579F7CE3" w14:textId="77777777" w:rsidR="00C63EB7" w:rsidRDefault="00000000">
            <w:r>
              <w:rPr>
                <w:rFonts w:ascii="Calibri" w:eastAsia="Calibri" w:hAnsi="Calibri" w:cs="Calibri"/>
                <w:color w:val="000000"/>
              </w:rPr>
              <w:t>Post-marketing suicidal ideation / self-injury signal</w:t>
            </w:r>
          </w:p>
        </w:tc>
      </w:tr>
      <w:tr w:rsidR="00C63EB7" w14:paraId="19FFCF6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FBD79A8" w14:textId="77777777" w:rsidR="00C63EB7" w:rsidRDefault="00000000">
            <w:r>
              <w:rPr>
                <w:rFonts w:ascii="Calibri" w:eastAsia="Calibri" w:hAnsi="Calibri" w:cs="Calibri"/>
                <w:b/>
                <w:bCs/>
                <w:color w:val="000000"/>
              </w:rPr>
              <w:t>Scope of this project</w:t>
            </w:r>
          </w:p>
        </w:tc>
        <w:tc>
          <w:tcPr>
            <w:tcW w:w="6950" w:type="dxa"/>
            <w:tcMar>
              <w:top w:w="80" w:type="dxa"/>
              <w:left w:w="100" w:type="dxa"/>
              <w:bottom w:w="80" w:type="dxa"/>
              <w:right w:w="100" w:type="dxa"/>
            </w:tcMar>
            <w:vAlign w:val="center"/>
          </w:tcPr>
          <w:p w14:paraId="22F1315F" w14:textId="77777777" w:rsidR="00C63EB7" w:rsidRDefault="00000000">
            <w:r>
              <w:rPr>
                <w:rFonts w:ascii="Calibri" w:eastAsia="Calibri" w:hAnsi="Calibri" w:cs="Calibri"/>
                <w:color w:val="000000"/>
              </w:rPr>
              <w:t>Full signal-to-strategy pharmacovigilance lifecycle: detection, validation, benefit-risk assessment, and risk management planning</w:t>
            </w:r>
          </w:p>
        </w:tc>
      </w:tr>
      <w:tr w:rsidR="00C63EB7" w14:paraId="6FADA66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5C527C6" w14:textId="77777777" w:rsidR="00C63EB7" w:rsidRDefault="00000000">
            <w:r>
              <w:rPr>
                <w:rFonts w:ascii="Calibri" w:eastAsia="Calibri" w:hAnsi="Calibri" w:cs="Calibri"/>
                <w:b/>
                <w:bCs/>
                <w:color w:val="000000"/>
              </w:rPr>
              <w:t>Audience</w:t>
            </w:r>
          </w:p>
        </w:tc>
        <w:tc>
          <w:tcPr>
            <w:tcW w:w="6950" w:type="dxa"/>
            <w:tcMar>
              <w:top w:w="80" w:type="dxa"/>
              <w:left w:w="100" w:type="dxa"/>
              <w:bottom w:w="80" w:type="dxa"/>
              <w:right w:w="100" w:type="dxa"/>
            </w:tcMar>
            <w:vAlign w:val="center"/>
          </w:tcPr>
          <w:p w14:paraId="7793799E" w14:textId="77777777" w:rsidR="00C63EB7" w:rsidRDefault="00000000">
            <w:r>
              <w:rPr>
                <w:rFonts w:ascii="Calibri" w:eastAsia="Calibri" w:hAnsi="Calibri" w:cs="Calibri"/>
                <w:color w:val="000000"/>
              </w:rPr>
              <w:t>Head of Pharmacovigilance / QPPV-level summary — for readers who will not read all four underlying documents in full</w:t>
            </w:r>
          </w:p>
        </w:tc>
      </w:tr>
      <w:tr w:rsidR="00C63EB7" w14:paraId="6D4B66A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3D6592B" w14:textId="77777777" w:rsidR="00C63EB7" w:rsidRDefault="00000000">
            <w:r>
              <w:rPr>
                <w:rFonts w:ascii="Calibri" w:eastAsia="Calibri" w:hAnsi="Calibri" w:cs="Calibri"/>
                <w:b/>
                <w:bCs/>
                <w:color w:val="000000"/>
              </w:rPr>
              <w:t>Prepared by</w:t>
            </w:r>
          </w:p>
        </w:tc>
        <w:tc>
          <w:tcPr>
            <w:tcW w:w="6950" w:type="dxa"/>
            <w:tcMar>
              <w:top w:w="80" w:type="dxa"/>
              <w:left w:w="100" w:type="dxa"/>
              <w:bottom w:w="80" w:type="dxa"/>
              <w:right w:w="100" w:type="dxa"/>
            </w:tcMar>
            <w:vAlign w:val="center"/>
          </w:tcPr>
          <w:p w14:paraId="0127C208" w14:textId="73DC0E97" w:rsidR="00C63EB7" w:rsidRDefault="001816E0">
            <w:r>
              <w:rPr>
                <w:rFonts w:ascii="Calibri" w:eastAsia="Calibri" w:hAnsi="Calibri" w:cs="Calibri"/>
                <w:color w:val="000000"/>
              </w:rPr>
              <w:t xml:space="preserve">Munshi </w:t>
            </w:r>
            <w:proofErr w:type="spellStart"/>
            <w:r>
              <w:rPr>
                <w:rFonts w:ascii="Calibri" w:eastAsia="Calibri" w:hAnsi="Calibri" w:cs="Calibri"/>
                <w:color w:val="000000"/>
              </w:rPr>
              <w:t>Zeehaan</w:t>
            </w:r>
            <w:proofErr w:type="spellEnd"/>
            <w:r>
              <w:rPr>
                <w:rFonts w:ascii="Calibri" w:eastAsia="Calibri" w:hAnsi="Calibri" w:cs="Calibri"/>
                <w:color w:val="000000"/>
              </w:rPr>
              <w:t xml:space="preserve"> Aktar</w:t>
            </w:r>
          </w:p>
        </w:tc>
      </w:tr>
      <w:tr w:rsidR="00C63EB7" w14:paraId="7B7DAAA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0AED66A" w14:textId="77777777" w:rsidR="00C63EB7" w:rsidRDefault="00000000">
            <w:r>
              <w:rPr>
                <w:rFonts w:ascii="Calibri" w:eastAsia="Calibri" w:hAnsi="Calibri" w:cs="Calibri"/>
                <w:b/>
                <w:bCs/>
                <w:color w:val="000000"/>
              </w:rPr>
              <w:t>Date</w:t>
            </w:r>
          </w:p>
        </w:tc>
        <w:tc>
          <w:tcPr>
            <w:tcW w:w="6950" w:type="dxa"/>
            <w:tcMar>
              <w:top w:w="80" w:type="dxa"/>
              <w:left w:w="100" w:type="dxa"/>
              <w:bottom w:w="80" w:type="dxa"/>
              <w:right w:w="100" w:type="dxa"/>
            </w:tcMar>
            <w:vAlign w:val="center"/>
          </w:tcPr>
          <w:p w14:paraId="4E645E2C" w14:textId="342F2A06" w:rsidR="00C63EB7" w:rsidRDefault="001816E0">
            <w:r>
              <w:t>10 / 09 / 2026</w:t>
            </w:r>
          </w:p>
        </w:tc>
      </w:tr>
    </w:tbl>
    <w:p w14:paraId="1F07D654" w14:textId="77777777" w:rsidR="00C63EB7" w:rsidRDefault="00000000">
      <w:pPr>
        <w:pStyle w:val="Heading1"/>
        <w:pBdr>
          <w:bottom w:val="single" w:sz="6" w:space="4" w:color="1F3864"/>
        </w:pBdr>
        <w:spacing w:before="320" w:after="160"/>
      </w:pPr>
      <w:r>
        <w:rPr>
          <w:rFonts w:ascii="Calibri" w:eastAsia="Calibri" w:hAnsi="Calibri" w:cs="Calibri"/>
          <w:b/>
          <w:bCs/>
          <w:color w:val="1F3864"/>
          <w:sz w:val="28"/>
          <w:szCs w:val="28"/>
        </w:rPr>
        <w:t>Summary</w:t>
      </w:r>
    </w:p>
    <w:p w14:paraId="0AB62777" w14:textId="77777777" w:rsidR="00C63EB7" w:rsidRDefault="00000000">
      <w:pPr>
        <w:spacing w:after="160" w:line="276" w:lineRule="auto"/>
      </w:pPr>
      <w:r>
        <w:rPr>
          <w:rFonts w:ascii="Calibri" w:eastAsia="Calibri" w:hAnsi="Calibri" w:cs="Calibri"/>
          <w:sz w:val="22"/>
          <w:szCs w:val="22"/>
        </w:rPr>
        <w:t xml:space="preserve">This project examined a real, publicly documented safety signal for semaglutide — post-marketing reports of suicidal ideation and self-injury — through the complete pharmacovigilance lifecycle: statistical signal detection, structured signal validation, quantitative benefit-risk assessment, and risk management planning. Across all four phases, the evidence supports continuing semaglutide's marketing authorization without new restrictions, consistent with EMA PRAC's April 2024 review and the FDA's January 2026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decision, while adopting proportionate additional monitoring to close specific evidence gaps this project identified independently.</w:t>
      </w:r>
    </w:p>
    <w:p w14:paraId="0914B6A2" w14:textId="77777777" w:rsidR="00C63EB7" w:rsidRDefault="00000000">
      <w:pPr>
        <w:pStyle w:val="Heading1"/>
        <w:pBdr>
          <w:bottom w:val="single" w:sz="6" w:space="4" w:color="1F3864"/>
        </w:pBdr>
        <w:spacing w:before="320" w:after="160"/>
      </w:pPr>
      <w:r>
        <w:rPr>
          <w:rFonts w:ascii="Calibri" w:eastAsia="Calibri" w:hAnsi="Calibri" w:cs="Calibri"/>
          <w:b/>
          <w:bCs/>
          <w:color w:val="1F3864"/>
          <w:sz w:val="28"/>
          <w:szCs w:val="28"/>
        </w:rPr>
        <w:t>Findings by Phase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5250"/>
      </w:tblGrid>
      <w:tr w:rsidR="00C63EB7" w14:paraId="2A29A7DC"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7AAF1361" w14:textId="77777777" w:rsidR="00C63EB7" w:rsidRDefault="00000000">
            <w:pPr>
              <w:jc w:val="center"/>
            </w:pPr>
            <w:r>
              <w:rPr>
                <w:rFonts w:ascii="Calibri" w:eastAsia="Calibri" w:hAnsi="Calibri" w:cs="Calibri"/>
                <w:b/>
                <w:bCs/>
                <w:color w:val="FFFFFF"/>
              </w:rPr>
              <w:t>Phase</w:t>
            </w:r>
          </w:p>
        </w:tc>
        <w:tc>
          <w:tcPr>
            <w:tcW w:w="2600" w:type="dxa"/>
            <w:shd w:val="clear" w:color="auto" w:fill="1F3864"/>
            <w:tcMar>
              <w:top w:w="80" w:type="dxa"/>
              <w:left w:w="100" w:type="dxa"/>
              <w:bottom w:w="80" w:type="dxa"/>
              <w:right w:w="100" w:type="dxa"/>
            </w:tcMar>
            <w:vAlign w:val="center"/>
          </w:tcPr>
          <w:p w14:paraId="298768BA" w14:textId="77777777" w:rsidR="00C63EB7" w:rsidRDefault="00000000">
            <w:r>
              <w:rPr>
                <w:rFonts w:ascii="Calibri" w:eastAsia="Calibri" w:hAnsi="Calibri" w:cs="Calibri"/>
                <w:b/>
                <w:bCs/>
                <w:color w:val="FFFFFF"/>
              </w:rPr>
              <w:t>Method</w:t>
            </w:r>
          </w:p>
        </w:tc>
        <w:tc>
          <w:tcPr>
            <w:tcW w:w="5250" w:type="dxa"/>
            <w:shd w:val="clear" w:color="auto" w:fill="1F3864"/>
            <w:tcMar>
              <w:top w:w="80" w:type="dxa"/>
              <w:left w:w="100" w:type="dxa"/>
              <w:bottom w:w="80" w:type="dxa"/>
              <w:right w:w="100" w:type="dxa"/>
            </w:tcMar>
            <w:vAlign w:val="center"/>
          </w:tcPr>
          <w:p w14:paraId="4AC95E0B" w14:textId="77777777" w:rsidR="00C63EB7" w:rsidRDefault="00000000">
            <w:r>
              <w:rPr>
                <w:rFonts w:ascii="Calibri" w:eastAsia="Calibri" w:hAnsi="Calibri" w:cs="Calibri"/>
                <w:b/>
                <w:bCs/>
                <w:color w:val="FFFFFF"/>
              </w:rPr>
              <w:t>Key finding</w:t>
            </w:r>
          </w:p>
        </w:tc>
      </w:tr>
      <w:tr w:rsidR="00C63EB7" w14:paraId="36C4835F"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1B1970ED" w14:textId="77777777" w:rsidR="00C63EB7" w:rsidRDefault="00000000">
            <w:r>
              <w:rPr>
                <w:rFonts w:ascii="Calibri" w:eastAsia="Calibri" w:hAnsi="Calibri" w:cs="Calibri"/>
                <w:b/>
                <w:bCs/>
                <w:color w:val="000000"/>
              </w:rPr>
              <w:t>1. Signal Detection</w:t>
            </w:r>
          </w:p>
        </w:tc>
        <w:tc>
          <w:tcPr>
            <w:tcW w:w="2600" w:type="dxa"/>
            <w:tcMar>
              <w:top w:w="80" w:type="dxa"/>
              <w:left w:w="100" w:type="dxa"/>
              <w:bottom w:w="80" w:type="dxa"/>
              <w:right w:w="100" w:type="dxa"/>
            </w:tcMar>
            <w:vAlign w:val="center"/>
          </w:tcPr>
          <w:p w14:paraId="3A0DEAF2" w14:textId="77777777" w:rsidR="00C63EB7" w:rsidRDefault="00000000">
            <w:r>
              <w:rPr>
                <w:rFonts w:ascii="Calibri" w:eastAsia="Calibri" w:hAnsi="Calibri" w:cs="Calibri"/>
                <w:color w:val="000000"/>
              </w:rPr>
              <w:t xml:space="preserve">Disproportionality analysis (PRR, ROR, 95% CI) on FAERS and WHO </w:t>
            </w:r>
            <w:proofErr w:type="spellStart"/>
            <w:r>
              <w:rPr>
                <w:rFonts w:ascii="Calibri" w:eastAsia="Calibri" w:hAnsi="Calibri" w:cs="Calibri"/>
                <w:color w:val="000000"/>
              </w:rPr>
              <w:t>VigiBase</w:t>
            </w:r>
            <w:proofErr w:type="spellEnd"/>
            <w:r>
              <w:rPr>
                <w:rFonts w:ascii="Calibri" w:eastAsia="Calibri" w:hAnsi="Calibri" w:cs="Calibri"/>
                <w:color w:val="000000"/>
              </w:rPr>
              <w:t xml:space="preserve"> case counts</w:t>
            </w:r>
          </w:p>
        </w:tc>
        <w:tc>
          <w:tcPr>
            <w:tcW w:w="5250" w:type="dxa"/>
            <w:tcMar>
              <w:top w:w="80" w:type="dxa"/>
              <w:left w:w="100" w:type="dxa"/>
              <w:bottom w:w="80" w:type="dxa"/>
              <w:right w:w="100" w:type="dxa"/>
            </w:tcMar>
            <w:vAlign w:val="center"/>
          </w:tcPr>
          <w:p w14:paraId="42FB1E41" w14:textId="77777777" w:rsidR="00C63EB7" w:rsidRDefault="00000000">
            <w:r>
              <w:rPr>
                <w:rFonts w:ascii="Calibri" w:eastAsia="Calibri" w:hAnsi="Calibri" w:cs="Calibri"/>
                <w:color w:val="000000"/>
              </w:rPr>
              <w:t>Modest, statistically inconsistent disproportionate reporting for suicidal ideation (ROR 1.39-1.45) and completed suicide (ROR 1.73, not significant); suicide attempt findings directly contradicted between databases (ROR 0.16 vs 1.39)</w:t>
            </w:r>
          </w:p>
        </w:tc>
      </w:tr>
      <w:tr w:rsidR="00C63EB7" w14:paraId="395ADC8D"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2BF0B299" w14:textId="77777777" w:rsidR="00C63EB7" w:rsidRDefault="00000000">
            <w:r>
              <w:rPr>
                <w:rFonts w:ascii="Calibri" w:eastAsia="Calibri" w:hAnsi="Calibri" w:cs="Calibri"/>
                <w:b/>
                <w:bCs/>
                <w:color w:val="000000"/>
              </w:rPr>
              <w:t>2. Signal Validation</w:t>
            </w:r>
          </w:p>
        </w:tc>
        <w:tc>
          <w:tcPr>
            <w:tcW w:w="2600" w:type="dxa"/>
            <w:tcMar>
              <w:top w:w="80" w:type="dxa"/>
              <w:left w:w="100" w:type="dxa"/>
              <w:bottom w:w="80" w:type="dxa"/>
              <w:right w:w="100" w:type="dxa"/>
            </w:tcMar>
            <w:vAlign w:val="center"/>
          </w:tcPr>
          <w:p w14:paraId="4C005E50" w14:textId="77777777" w:rsidR="00C63EB7" w:rsidRDefault="00000000">
            <w:r>
              <w:rPr>
                <w:rFonts w:ascii="Calibri" w:eastAsia="Calibri" w:hAnsi="Calibri" w:cs="Calibri"/>
                <w:color w:val="000000"/>
              </w:rPr>
              <w:t xml:space="preserve">CIOMS Working Group VIII framework: biological plausibility, confounding, </w:t>
            </w:r>
            <w:proofErr w:type="spellStart"/>
            <w:r>
              <w:rPr>
                <w:rFonts w:ascii="Calibri" w:eastAsia="Calibri" w:hAnsi="Calibri" w:cs="Calibri"/>
                <w:color w:val="000000"/>
              </w:rPr>
              <w:t>dechallenge</w:t>
            </w:r>
            <w:proofErr w:type="spellEnd"/>
            <w:r>
              <w:rPr>
                <w:rFonts w:ascii="Calibri" w:eastAsia="Calibri" w:hAnsi="Calibri" w:cs="Calibri"/>
                <w:color w:val="000000"/>
              </w:rPr>
              <w:t>/rechallenge, temporal association, cross-database comparison</w:t>
            </w:r>
          </w:p>
        </w:tc>
        <w:tc>
          <w:tcPr>
            <w:tcW w:w="5250" w:type="dxa"/>
            <w:tcMar>
              <w:top w:w="80" w:type="dxa"/>
              <w:left w:w="100" w:type="dxa"/>
              <w:bottom w:w="80" w:type="dxa"/>
              <w:right w:w="100" w:type="dxa"/>
            </w:tcMar>
            <w:vAlign w:val="center"/>
          </w:tcPr>
          <w:p w14:paraId="452F0EE2" w14:textId="77777777" w:rsidR="00C63EB7" w:rsidRDefault="00000000">
            <w:r>
              <w:rPr>
                <w:rFonts w:ascii="Calibri" w:eastAsia="Calibri" w:hAnsi="Calibri" w:cs="Calibri"/>
                <w:color w:val="000000"/>
              </w:rPr>
              <w:t xml:space="preserve">Mixed mechanistic plausibility; substantial unaddressed confounding by indication (obesity/depression comorbidity); partial </w:t>
            </w:r>
            <w:proofErr w:type="spellStart"/>
            <w:r>
              <w:rPr>
                <w:rFonts w:ascii="Calibri" w:eastAsia="Calibri" w:hAnsi="Calibri" w:cs="Calibri"/>
                <w:color w:val="000000"/>
              </w:rPr>
              <w:t>dechallenge</w:t>
            </w:r>
            <w:proofErr w:type="spellEnd"/>
            <w:r>
              <w:rPr>
                <w:rFonts w:ascii="Calibri" w:eastAsia="Calibri" w:hAnsi="Calibri" w:cs="Calibri"/>
                <w:color w:val="000000"/>
              </w:rPr>
              <w:t xml:space="preserve"> evidence (34-63% resolution depending on source); temporality criterion met, dose-response criterion not met</w:t>
            </w:r>
          </w:p>
        </w:tc>
      </w:tr>
      <w:tr w:rsidR="00C63EB7" w14:paraId="57767468"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6DCBEF00" w14:textId="77777777" w:rsidR="00C63EB7" w:rsidRDefault="00000000">
            <w:r>
              <w:rPr>
                <w:rFonts w:ascii="Calibri" w:eastAsia="Calibri" w:hAnsi="Calibri" w:cs="Calibri"/>
                <w:b/>
                <w:bCs/>
                <w:color w:val="000000"/>
              </w:rPr>
              <w:t>3. Benefit-Risk Assessment</w:t>
            </w:r>
          </w:p>
        </w:tc>
        <w:tc>
          <w:tcPr>
            <w:tcW w:w="2600" w:type="dxa"/>
            <w:tcMar>
              <w:top w:w="80" w:type="dxa"/>
              <w:left w:w="100" w:type="dxa"/>
              <w:bottom w:w="80" w:type="dxa"/>
              <w:right w:w="100" w:type="dxa"/>
            </w:tcMar>
            <w:vAlign w:val="center"/>
          </w:tcPr>
          <w:p w14:paraId="439CD4C7" w14:textId="77777777" w:rsidR="00C63EB7" w:rsidRDefault="00000000">
            <w:r>
              <w:rPr>
                <w:rFonts w:ascii="Calibri" w:eastAsia="Calibri" w:hAnsi="Calibri" w:cs="Calibri"/>
                <w:color w:val="000000"/>
              </w:rPr>
              <w:t>Multi-Criteria Decision Analysis (MCDA), informed by BRAT/</w:t>
            </w:r>
            <w:proofErr w:type="spellStart"/>
            <w:r>
              <w:rPr>
                <w:rFonts w:ascii="Calibri" w:eastAsia="Calibri" w:hAnsi="Calibri" w:cs="Calibri"/>
                <w:color w:val="000000"/>
              </w:rPr>
              <w:t>PrOACT</w:t>
            </w:r>
            <w:proofErr w:type="spellEnd"/>
            <w:r>
              <w:rPr>
                <w:rFonts w:ascii="Calibri" w:eastAsia="Calibri" w:hAnsi="Calibri" w:cs="Calibri"/>
                <w:color w:val="000000"/>
              </w:rPr>
              <w:t>-URL, with explicit sensitivity analysis</w:t>
            </w:r>
          </w:p>
        </w:tc>
        <w:tc>
          <w:tcPr>
            <w:tcW w:w="5250" w:type="dxa"/>
            <w:tcMar>
              <w:top w:w="80" w:type="dxa"/>
              <w:left w:w="100" w:type="dxa"/>
              <w:bottom w:w="80" w:type="dxa"/>
              <w:right w:w="100" w:type="dxa"/>
            </w:tcMar>
            <w:vAlign w:val="center"/>
          </w:tcPr>
          <w:p w14:paraId="729BA0D8" w14:textId="77777777" w:rsidR="00C63EB7" w:rsidRDefault="00000000">
            <w:r>
              <w:rPr>
                <w:rFonts w:ascii="Calibri" w:eastAsia="Calibri" w:hAnsi="Calibri" w:cs="Calibri"/>
                <w:color w:val="000000"/>
              </w:rPr>
              <w:t>Net weighted score positive (+1.90 under base-case weights) and robust to reasonable weight changes; benefit case (20% MACE reduction, 73% diabetes prevention) does not depend on any single indication; conclusion is more sensitive to belief about signal strength than to belief about its importance</w:t>
            </w:r>
          </w:p>
        </w:tc>
      </w:tr>
      <w:tr w:rsidR="00C63EB7" w14:paraId="7B140BB6"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765C9005" w14:textId="77777777" w:rsidR="00C63EB7" w:rsidRDefault="00000000">
            <w:r>
              <w:rPr>
                <w:rFonts w:ascii="Calibri" w:eastAsia="Calibri" w:hAnsi="Calibri" w:cs="Calibri"/>
                <w:b/>
                <w:bCs/>
                <w:color w:val="000000"/>
              </w:rPr>
              <w:lastRenderedPageBreak/>
              <w:t>4. Risk Management Plan</w:t>
            </w:r>
          </w:p>
        </w:tc>
        <w:tc>
          <w:tcPr>
            <w:tcW w:w="2600" w:type="dxa"/>
            <w:tcMar>
              <w:top w:w="80" w:type="dxa"/>
              <w:left w:w="100" w:type="dxa"/>
              <w:bottom w:w="80" w:type="dxa"/>
              <w:right w:w="100" w:type="dxa"/>
            </w:tcMar>
            <w:vAlign w:val="center"/>
          </w:tcPr>
          <w:p w14:paraId="580E12A4" w14:textId="77777777" w:rsidR="00C63EB7" w:rsidRDefault="00000000">
            <w:r>
              <w:rPr>
                <w:rFonts w:ascii="Calibri" w:eastAsia="Calibri" w:hAnsi="Calibri" w:cs="Calibri"/>
                <w:color w:val="000000"/>
              </w:rPr>
              <w:t>EU GVP Module V structure: Safety Specification, Pharmacovigilance Plan, Risk Minimization Measures, effectiveness KPIs</w:t>
            </w:r>
          </w:p>
        </w:tc>
        <w:tc>
          <w:tcPr>
            <w:tcW w:w="5250" w:type="dxa"/>
            <w:tcMar>
              <w:top w:w="80" w:type="dxa"/>
              <w:left w:w="100" w:type="dxa"/>
              <w:bottom w:w="80" w:type="dxa"/>
              <w:right w:w="100" w:type="dxa"/>
            </w:tcMar>
            <w:vAlign w:val="center"/>
          </w:tcPr>
          <w:p w14:paraId="2EEDFD1D" w14:textId="77777777" w:rsidR="00C63EB7" w:rsidRDefault="00000000">
            <w:r>
              <w:rPr>
                <w:rFonts w:ascii="Calibri" w:eastAsia="Calibri" w:hAnsi="Calibri" w:cs="Calibri"/>
                <w:color w:val="000000"/>
              </w:rPr>
              <w:t>Existing routine measures (boxed warning, Medication Guide, pregnancy registry) remain appropriate; proposed additional monitoring (targeted case follow-up, 6-monthly cumulative review, drug utilization study) directly addresses the confounding and evidence gaps identified in Phase 2</w:t>
            </w:r>
          </w:p>
        </w:tc>
      </w:tr>
    </w:tbl>
    <w:p w14:paraId="4B123E93" w14:textId="77777777" w:rsidR="00C63EB7" w:rsidRDefault="00000000">
      <w:pPr>
        <w:pStyle w:val="Heading1"/>
        <w:pBdr>
          <w:bottom w:val="single" w:sz="6" w:space="4" w:color="1F3864"/>
        </w:pBdr>
        <w:spacing w:before="320" w:after="160"/>
      </w:pPr>
      <w:r>
        <w:rPr>
          <w:rFonts w:ascii="Calibri" w:eastAsia="Calibri" w:hAnsi="Calibri" w:cs="Calibri"/>
          <w:b/>
          <w:bCs/>
          <w:color w:val="1F3864"/>
          <w:sz w:val="28"/>
          <w:szCs w:val="28"/>
        </w:rPr>
        <w:t>Overall Recommendation</w:t>
      </w:r>
    </w:p>
    <w:p w14:paraId="15F7782E" w14:textId="77777777" w:rsidR="00C63EB7" w:rsidRDefault="00000000">
      <w:pPr>
        <w:spacing w:after="160" w:line="276" w:lineRule="auto"/>
      </w:pPr>
      <w:r>
        <w:rPr>
          <w:rFonts w:ascii="Calibri" w:eastAsia="Calibri" w:hAnsi="Calibri" w:cs="Calibri"/>
          <w:sz w:val="22"/>
          <w:szCs w:val="22"/>
        </w:rPr>
        <w:t>No new regulatory restriction is warranted. The cardiometabolic benefit case is large and supported by high-certainty randomized trial evidence (SELECT, STEP 1); the suicidality signal is modest, statistically inconsistent across independent databases, and substantially confounded by the underlying patient population's elevated baseline psychiatric risk. This conclusion aligns with, and is independently reproduced by, the real regulatory decisions already taken on this exact issue.</w:t>
      </w:r>
    </w:p>
    <w:p w14:paraId="51CA29F8" w14:textId="77777777" w:rsidR="00C63EB7" w:rsidRDefault="00000000">
      <w:pPr>
        <w:spacing w:after="160" w:line="276" w:lineRule="auto"/>
      </w:pPr>
      <w:r>
        <w:rPr>
          <w:rFonts w:ascii="Calibri" w:eastAsia="Calibri" w:hAnsi="Calibri" w:cs="Calibri"/>
          <w:sz w:val="22"/>
          <w:szCs w:val="22"/>
        </w:rPr>
        <w:t xml:space="preserve">The recommendation is conditional, not absolute: Phase 3's sensitivity analysis shows the benefit-risk balance would shift under a less charitable reading of the suicidality evidence, and Phase 2 identified specific evidentiary gaps — confounding by indication, incomplete </w:t>
      </w:r>
      <w:proofErr w:type="spellStart"/>
      <w:r>
        <w:rPr>
          <w:rFonts w:ascii="Calibri" w:eastAsia="Calibri" w:hAnsi="Calibri" w:cs="Calibri"/>
          <w:sz w:val="22"/>
          <w:szCs w:val="22"/>
        </w:rPr>
        <w:t>dechallenge</w:t>
      </w:r>
      <w:proofErr w:type="spellEnd"/>
      <w:r>
        <w:rPr>
          <w:rFonts w:ascii="Calibri" w:eastAsia="Calibri" w:hAnsi="Calibri" w:cs="Calibri"/>
          <w:sz w:val="22"/>
          <w:szCs w:val="22"/>
        </w:rPr>
        <w:t>/rechallenge linkage, no long-term psychiatric outcome data — that current spontaneous-report data cannot resolve on its own.</w:t>
      </w:r>
    </w:p>
    <w:p w14:paraId="53B8DDD8" w14:textId="77777777" w:rsidR="00C63EB7" w:rsidRDefault="00000000">
      <w:pPr>
        <w:spacing w:after="160" w:line="276" w:lineRule="auto"/>
      </w:pPr>
      <w:r>
        <w:rPr>
          <w:rFonts w:ascii="Calibri" w:eastAsia="Calibri" w:hAnsi="Calibri" w:cs="Calibri"/>
          <w:b/>
          <w:bCs/>
          <w:sz w:val="22"/>
          <w:szCs w:val="22"/>
        </w:rPr>
        <w:t>Recommended actions:</w:t>
      </w:r>
    </w:p>
    <w:p w14:paraId="76237DA2" w14:textId="77777777" w:rsidR="00C63EB7" w:rsidRDefault="00000000">
      <w:pPr>
        <w:pStyle w:val="ListParagraph"/>
        <w:numPr>
          <w:ilvl w:val="0"/>
          <w:numId w:val="2"/>
        </w:numPr>
        <w:spacing w:after="80"/>
      </w:pPr>
      <w:r>
        <w:rPr>
          <w:rFonts w:ascii="Calibri" w:eastAsia="Calibri" w:hAnsi="Calibri" w:cs="Calibri"/>
          <w:sz w:val="22"/>
          <w:szCs w:val="22"/>
        </w:rPr>
        <w:t xml:space="preserve">Maintain current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and risk minimization measures; do not escalate to a boxed warning or restricted access programme at this time.</w:t>
      </w:r>
    </w:p>
    <w:p w14:paraId="4A97ABB5" w14:textId="77777777" w:rsidR="00C63EB7" w:rsidRDefault="00000000">
      <w:pPr>
        <w:pStyle w:val="ListParagraph"/>
        <w:numPr>
          <w:ilvl w:val="0"/>
          <w:numId w:val="2"/>
        </w:numPr>
        <w:spacing w:after="80"/>
      </w:pPr>
      <w:r>
        <w:rPr>
          <w:rFonts w:ascii="Calibri" w:eastAsia="Calibri" w:hAnsi="Calibri" w:cs="Calibri"/>
          <w:sz w:val="22"/>
          <w:szCs w:val="22"/>
        </w:rPr>
        <w:t>Implement the additional pharmacovigilance activities proposed in Phase 4 — targeted case follow-up questionnaire, 6-monthly cumulative signal review, and a drug utilization study — specifically to resolve the confounding-by-indication question that no phase of this analysis could close with existing data.</w:t>
      </w:r>
    </w:p>
    <w:p w14:paraId="37A32256" w14:textId="77777777" w:rsidR="00C63EB7" w:rsidRDefault="00000000">
      <w:pPr>
        <w:pStyle w:val="ListParagraph"/>
        <w:numPr>
          <w:ilvl w:val="0"/>
          <w:numId w:val="2"/>
        </w:numPr>
        <w:spacing w:after="80"/>
      </w:pPr>
      <w:r>
        <w:rPr>
          <w:rFonts w:ascii="Calibri" w:eastAsia="Calibri" w:hAnsi="Calibri" w:cs="Calibri"/>
          <w:sz w:val="22"/>
          <w:szCs w:val="22"/>
        </w:rPr>
        <w:t>Re-run the Phase 3 benefit-risk assessment if the cumulative review shows the suicidality signal's lower confidence bound increasing materially, or if either currently-undocumented MedDRA term (Intentional self-injury, Self-injurious ideation) develops a case count that meets signal thresholds.</w:t>
      </w:r>
    </w:p>
    <w:p w14:paraId="08690015" w14:textId="77777777" w:rsidR="00C63EB7" w:rsidRDefault="00000000">
      <w:pPr>
        <w:pStyle w:val="Heading1"/>
        <w:pBdr>
          <w:bottom w:val="single" w:sz="6" w:space="4" w:color="1F3864"/>
        </w:pBdr>
        <w:spacing w:before="320" w:after="160"/>
      </w:pPr>
      <w:r>
        <w:rPr>
          <w:rFonts w:ascii="Calibri" w:eastAsia="Calibri" w:hAnsi="Calibri" w:cs="Calibri"/>
          <w:b/>
          <w:bCs/>
          <w:color w:val="1F3864"/>
          <w:sz w:val="28"/>
          <w:szCs w:val="28"/>
        </w:rPr>
        <w:t>What This Project Demonstrates</w:t>
      </w:r>
    </w:p>
    <w:p w14:paraId="3F34DA01" w14:textId="77777777" w:rsidR="00C63EB7" w:rsidRDefault="00000000">
      <w:pPr>
        <w:spacing w:after="160" w:line="276" w:lineRule="auto"/>
      </w:pPr>
      <w:r>
        <w:rPr>
          <w:rFonts w:ascii="Calibri" w:eastAsia="Calibri" w:hAnsi="Calibri" w:cs="Calibri"/>
          <w:sz w:val="22"/>
          <w:szCs w:val="22"/>
        </w:rPr>
        <w:t>Beyond the specific conclusion on semaglutide, this project was structured to demonstrate the full pharmacovigilance value chain rather than case processing alone:</w:t>
      </w:r>
    </w:p>
    <w:p w14:paraId="699C30ED" w14:textId="77777777" w:rsidR="00C63EB7" w:rsidRDefault="00000000">
      <w:pPr>
        <w:pStyle w:val="ListParagraph"/>
        <w:numPr>
          <w:ilvl w:val="0"/>
          <w:numId w:val="2"/>
        </w:numPr>
        <w:spacing w:after="80"/>
      </w:pPr>
      <w:r>
        <w:rPr>
          <w:rFonts w:ascii="Calibri" w:eastAsia="Calibri" w:hAnsi="Calibri" w:cs="Calibri"/>
          <w:sz w:val="22"/>
          <w:szCs w:val="22"/>
        </w:rPr>
        <w:t>Signal detection grounded in real, verifiable, cited case counts and calculations — not simulated data — with full transparency about which figures were published versus reconstructed for teaching purposes.</w:t>
      </w:r>
    </w:p>
    <w:p w14:paraId="280DE8C3" w14:textId="77777777" w:rsidR="00C63EB7" w:rsidRDefault="00000000">
      <w:pPr>
        <w:pStyle w:val="ListParagraph"/>
        <w:numPr>
          <w:ilvl w:val="0"/>
          <w:numId w:val="2"/>
        </w:numPr>
        <w:spacing w:after="80"/>
      </w:pPr>
      <w:r>
        <w:rPr>
          <w:rFonts w:ascii="Calibri" w:eastAsia="Calibri" w:hAnsi="Calibri" w:cs="Calibri"/>
          <w:sz w:val="22"/>
          <w:szCs w:val="22"/>
        </w:rPr>
        <w:t xml:space="preserve">Signal validation that engages seriously with disconfirming evidence (the </w:t>
      </w:r>
      <w:proofErr w:type="spellStart"/>
      <w:r>
        <w:rPr>
          <w:rFonts w:ascii="Calibri" w:eastAsia="Calibri" w:hAnsi="Calibri" w:cs="Calibri"/>
          <w:sz w:val="22"/>
          <w:szCs w:val="22"/>
        </w:rPr>
        <w:t>VigiBase</w:t>
      </w:r>
      <w:proofErr w:type="spellEnd"/>
      <w:r>
        <w:rPr>
          <w:rFonts w:ascii="Calibri" w:eastAsia="Calibri" w:hAnsi="Calibri" w:cs="Calibri"/>
          <w:sz w:val="22"/>
          <w:szCs w:val="22"/>
        </w:rPr>
        <w:t>/FAERS contradiction on suicide attempt) rather than selectively reporting the result that supports a predetermined conclusion.</w:t>
      </w:r>
    </w:p>
    <w:p w14:paraId="38A75390" w14:textId="77777777" w:rsidR="00C63EB7" w:rsidRDefault="00000000">
      <w:pPr>
        <w:pStyle w:val="ListParagraph"/>
        <w:numPr>
          <w:ilvl w:val="0"/>
          <w:numId w:val="2"/>
        </w:numPr>
        <w:spacing w:after="80"/>
      </w:pPr>
      <w:r>
        <w:rPr>
          <w:rFonts w:ascii="Calibri" w:eastAsia="Calibri" w:hAnsi="Calibri" w:cs="Calibri"/>
          <w:sz w:val="22"/>
          <w:szCs w:val="22"/>
        </w:rPr>
        <w:t>A benefit-risk framework that makes its value judgments explicit and stress-tests them, rather than presenting a single number as if it were objective.</w:t>
      </w:r>
    </w:p>
    <w:p w14:paraId="063D832C" w14:textId="77777777" w:rsidR="00C63EB7" w:rsidRDefault="00000000">
      <w:pPr>
        <w:pStyle w:val="ListParagraph"/>
        <w:numPr>
          <w:ilvl w:val="0"/>
          <w:numId w:val="2"/>
        </w:numPr>
        <w:spacing w:after="80"/>
      </w:pPr>
      <w:r>
        <w:rPr>
          <w:rFonts w:ascii="Calibri" w:eastAsia="Calibri" w:hAnsi="Calibri" w:cs="Calibri"/>
          <w:sz w:val="22"/>
          <w:szCs w:val="22"/>
        </w:rPr>
        <w:t>A risk management plan that distinguishes real, current regulatory requirements from this project's own proposed additions, and defines measurable effectiveness criteria rather than aspirational risk-minimization language.</w:t>
      </w:r>
    </w:p>
    <w:p w14:paraId="00DDE9E2" w14:textId="77777777" w:rsidR="00C63EB7" w:rsidRDefault="00000000">
      <w:pPr>
        <w:pStyle w:val="Heading1"/>
        <w:pBdr>
          <w:bottom w:val="single" w:sz="6" w:space="4" w:color="1F3864"/>
        </w:pBdr>
        <w:spacing w:before="320" w:after="160"/>
      </w:pPr>
      <w:r>
        <w:rPr>
          <w:rFonts w:ascii="Calibri" w:eastAsia="Calibri" w:hAnsi="Calibri" w:cs="Calibri"/>
          <w:b/>
          <w:bCs/>
          <w:color w:val="1F3864"/>
          <w:sz w:val="28"/>
          <w:szCs w:val="28"/>
        </w:rPr>
        <w:lastRenderedPageBreak/>
        <w:t>Document Map</w:t>
      </w:r>
    </w:p>
    <w:p w14:paraId="5C622DBC" w14:textId="77777777" w:rsidR="00C63EB7" w:rsidRDefault="00000000">
      <w:pPr>
        <w:pStyle w:val="ListParagraph"/>
        <w:numPr>
          <w:ilvl w:val="0"/>
          <w:numId w:val="2"/>
        </w:numPr>
        <w:spacing w:after="80"/>
      </w:pPr>
      <w:r>
        <w:rPr>
          <w:rFonts w:ascii="Calibri" w:eastAsia="Calibri" w:hAnsi="Calibri" w:cs="Calibri"/>
          <w:sz w:val="22"/>
          <w:szCs w:val="22"/>
        </w:rPr>
        <w:t>Phase 1 — FAERS Signal Detection Worksheet (Excel): raw case counts, PRR/ROR/chi-square calculations, signal flags</w:t>
      </w:r>
    </w:p>
    <w:p w14:paraId="3D816CB3" w14:textId="77777777" w:rsidR="00C63EB7" w:rsidRDefault="00000000">
      <w:pPr>
        <w:pStyle w:val="ListParagraph"/>
        <w:numPr>
          <w:ilvl w:val="0"/>
          <w:numId w:val="2"/>
        </w:numPr>
        <w:spacing w:after="80"/>
      </w:pPr>
      <w:r>
        <w:rPr>
          <w:rFonts w:ascii="Calibri" w:eastAsia="Calibri" w:hAnsi="Calibri" w:cs="Calibri"/>
          <w:sz w:val="22"/>
          <w:szCs w:val="22"/>
        </w:rPr>
        <w:t xml:space="preserve">Phase 2 — Signal Validation Memo (Word): CIOMS-framework assessment of biological plausibility, confounding, </w:t>
      </w:r>
      <w:proofErr w:type="spellStart"/>
      <w:r>
        <w:rPr>
          <w:rFonts w:ascii="Calibri" w:eastAsia="Calibri" w:hAnsi="Calibri" w:cs="Calibri"/>
          <w:sz w:val="22"/>
          <w:szCs w:val="22"/>
        </w:rPr>
        <w:t>dechallenge</w:t>
      </w:r>
      <w:proofErr w:type="spellEnd"/>
      <w:r>
        <w:rPr>
          <w:rFonts w:ascii="Calibri" w:eastAsia="Calibri" w:hAnsi="Calibri" w:cs="Calibri"/>
          <w:sz w:val="22"/>
          <w:szCs w:val="22"/>
        </w:rPr>
        <w:t>/rechallenge, and temporal evidence</w:t>
      </w:r>
    </w:p>
    <w:p w14:paraId="2933E772" w14:textId="77777777" w:rsidR="00C63EB7" w:rsidRDefault="00000000">
      <w:pPr>
        <w:pStyle w:val="ListParagraph"/>
        <w:numPr>
          <w:ilvl w:val="0"/>
          <w:numId w:val="2"/>
        </w:numPr>
        <w:spacing w:after="80"/>
      </w:pPr>
      <w:r>
        <w:rPr>
          <w:rFonts w:ascii="Calibri" w:eastAsia="Calibri" w:hAnsi="Calibri" w:cs="Calibri"/>
          <w:sz w:val="22"/>
          <w:szCs w:val="22"/>
        </w:rPr>
        <w:t>Phase 3 — Benefit-Risk Assessment (Word): MCDA scoring against real SELECT/STEP trial benefit data, with sensitivity analysis</w:t>
      </w:r>
    </w:p>
    <w:p w14:paraId="4742C0C7" w14:textId="77777777" w:rsidR="00C63EB7" w:rsidRDefault="00000000">
      <w:pPr>
        <w:pStyle w:val="ListParagraph"/>
        <w:numPr>
          <w:ilvl w:val="0"/>
          <w:numId w:val="2"/>
        </w:numPr>
        <w:spacing w:after="80"/>
      </w:pPr>
      <w:r>
        <w:rPr>
          <w:rFonts w:ascii="Calibri" w:eastAsia="Calibri" w:hAnsi="Calibri" w:cs="Calibri"/>
          <w:sz w:val="22"/>
          <w:szCs w:val="22"/>
        </w:rPr>
        <w:t>Phase 4 — Risk Management Plan (Word): GVP Module V-structured safety specification, pharmacovigilance plan, risk minimization measures, and effectiveness KPIs</w:t>
      </w:r>
    </w:p>
    <w:p w14:paraId="66EA6D41" w14:textId="77777777" w:rsidR="00C63EB7" w:rsidRDefault="00000000">
      <w:pPr>
        <w:pStyle w:val="ListParagraph"/>
        <w:numPr>
          <w:ilvl w:val="0"/>
          <w:numId w:val="2"/>
        </w:numPr>
        <w:spacing w:after="80"/>
      </w:pPr>
      <w:r>
        <w:rPr>
          <w:rFonts w:ascii="Calibri" w:eastAsia="Calibri" w:hAnsi="Calibri" w:cs="Calibri"/>
          <w:sz w:val="22"/>
          <w:szCs w:val="22"/>
        </w:rPr>
        <w:t>This document — Executive Summary: the synthesis and recommendation layer connecting all four</w:t>
      </w:r>
    </w:p>
    <w:sectPr w:rsidR="00C63EB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92250" w14:textId="77777777" w:rsidR="008771CF" w:rsidRDefault="008771CF">
      <w:r>
        <w:separator/>
      </w:r>
    </w:p>
  </w:endnote>
  <w:endnote w:type="continuationSeparator" w:id="0">
    <w:p w14:paraId="21AD7F43" w14:textId="77777777" w:rsidR="008771CF" w:rsidRDefault="00877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2882" w14:textId="77777777" w:rsidR="00C63EB7"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1816E0">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0122" w14:textId="77777777" w:rsidR="008771CF" w:rsidRDefault="008771CF">
      <w:r>
        <w:separator/>
      </w:r>
    </w:p>
  </w:footnote>
  <w:footnote w:type="continuationSeparator" w:id="0">
    <w:p w14:paraId="561CADFD" w14:textId="77777777" w:rsidR="008771CF" w:rsidRDefault="00877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E27" w14:textId="77777777" w:rsidR="00C63EB7" w:rsidRDefault="00000000">
    <w:pPr>
      <w:jc w:val="right"/>
    </w:pPr>
    <w:r>
      <w:rPr>
        <w:rFonts w:ascii="Calibri" w:eastAsia="Calibri" w:hAnsi="Calibri" w:cs="Calibri"/>
        <w:i/>
        <w:iCs/>
        <w:color w:val="888888"/>
        <w:sz w:val="16"/>
        <w:szCs w:val="16"/>
      </w:rPr>
      <w:t>Executive Summary — Semaglutide Suicidality Signal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968CB"/>
    <w:multiLevelType w:val="hybridMultilevel"/>
    <w:tmpl w:val="14CAFCF0"/>
    <w:lvl w:ilvl="0" w:tplc="5068FB44">
      <w:start w:val="1"/>
      <w:numFmt w:val="bullet"/>
      <w:lvlText w:val="●"/>
      <w:lvlJc w:val="left"/>
      <w:pPr>
        <w:ind w:left="720" w:hanging="360"/>
      </w:pPr>
    </w:lvl>
    <w:lvl w:ilvl="1" w:tplc="2DAEBEEE">
      <w:start w:val="1"/>
      <w:numFmt w:val="bullet"/>
      <w:lvlText w:val="○"/>
      <w:lvlJc w:val="left"/>
      <w:pPr>
        <w:ind w:left="1440" w:hanging="360"/>
      </w:pPr>
    </w:lvl>
    <w:lvl w:ilvl="2" w:tplc="6C7A1C94">
      <w:start w:val="1"/>
      <w:numFmt w:val="bullet"/>
      <w:lvlText w:val="■"/>
      <w:lvlJc w:val="left"/>
      <w:pPr>
        <w:ind w:left="2160" w:hanging="360"/>
      </w:pPr>
    </w:lvl>
    <w:lvl w:ilvl="3" w:tplc="C8F055B2">
      <w:start w:val="1"/>
      <w:numFmt w:val="bullet"/>
      <w:lvlText w:val="●"/>
      <w:lvlJc w:val="left"/>
      <w:pPr>
        <w:ind w:left="2880" w:hanging="360"/>
      </w:pPr>
    </w:lvl>
    <w:lvl w:ilvl="4" w:tplc="F9BAF920">
      <w:start w:val="1"/>
      <w:numFmt w:val="bullet"/>
      <w:lvlText w:val="○"/>
      <w:lvlJc w:val="left"/>
      <w:pPr>
        <w:ind w:left="3600" w:hanging="360"/>
      </w:pPr>
    </w:lvl>
    <w:lvl w:ilvl="5" w:tplc="0114C29E">
      <w:start w:val="1"/>
      <w:numFmt w:val="bullet"/>
      <w:lvlText w:val="■"/>
      <w:lvlJc w:val="left"/>
      <w:pPr>
        <w:ind w:left="4320" w:hanging="360"/>
      </w:pPr>
    </w:lvl>
    <w:lvl w:ilvl="6" w:tplc="DA4896A8">
      <w:start w:val="1"/>
      <w:numFmt w:val="bullet"/>
      <w:lvlText w:val="●"/>
      <w:lvlJc w:val="left"/>
      <w:pPr>
        <w:ind w:left="5040" w:hanging="360"/>
      </w:pPr>
    </w:lvl>
    <w:lvl w:ilvl="7" w:tplc="15106766">
      <w:start w:val="1"/>
      <w:numFmt w:val="bullet"/>
      <w:lvlText w:val="●"/>
      <w:lvlJc w:val="left"/>
      <w:pPr>
        <w:ind w:left="5760" w:hanging="360"/>
      </w:pPr>
    </w:lvl>
    <w:lvl w:ilvl="8" w:tplc="344812E2">
      <w:start w:val="1"/>
      <w:numFmt w:val="bullet"/>
      <w:lvlText w:val="●"/>
      <w:lvlJc w:val="left"/>
      <w:pPr>
        <w:ind w:left="6480" w:hanging="360"/>
      </w:pPr>
    </w:lvl>
  </w:abstractNum>
  <w:abstractNum w:abstractNumId="1" w15:restartNumberingAfterBreak="0">
    <w:nsid w:val="6F5859F1"/>
    <w:multiLevelType w:val="hybridMultilevel"/>
    <w:tmpl w:val="75A85240"/>
    <w:lvl w:ilvl="0" w:tplc="E8D0F67A">
      <w:start w:val="1"/>
      <w:numFmt w:val="bullet"/>
      <w:lvlText w:val="•"/>
      <w:lvlJc w:val="left"/>
      <w:pPr>
        <w:ind w:left="400" w:hanging="260"/>
      </w:pPr>
    </w:lvl>
    <w:lvl w:ilvl="1" w:tplc="371453DA">
      <w:numFmt w:val="decimal"/>
      <w:lvlText w:val=""/>
      <w:lvlJc w:val="left"/>
    </w:lvl>
    <w:lvl w:ilvl="2" w:tplc="245094C8">
      <w:numFmt w:val="decimal"/>
      <w:lvlText w:val=""/>
      <w:lvlJc w:val="left"/>
    </w:lvl>
    <w:lvl w:ilvl="3" w:tplc="6B647BBA">
      <w:numFmt w:val="decimal"/>
      <w:lvlText w:val=""/>
      <w:lvlJc w:val="left"/>
    </w:lvl>
    <w:lvl w:ilvl="4" w:tplc="119C0FB4">
      <w:numFmt w:val="decimal"/>
      <w:lvlText w:val=""/>
      <w:lvlJc w:val="left"/>
    </w:lvl>
    <w:lvl w:ilvl="5" w:tplc="E9AADFF6">
      <w:numFmt w:val="decimal"/>
      <w:lvlText w:val=""/>
      <w:lvlJc w:val="left"/>
    </w:lvl>
    <w:lvl w:ilvl="6" w:tplc="665A0B2C">
      <w:numFmt w:val="decimal"/>
      <w:lvlText w:val=""/>
      <w:lvlJc w:val="left"/>
    </w:lvl>
    <w:lvl w:ilvl="7" w:tplc="FE048B70">
      <w:numFmt w:val="decimal"/>
      <w:lvlText w:val=""/>
      <w:lvlJc w:val="left"/>
    </w:lvl>
    <w:lvl w:ilvl="8" w:tplc="D81AF65C">
      <w:numFmt w:val="decimal"/>
      <w:lvlText w:val=""/>
      <w:lvlJc w:val="left"/>
    </w:lvl>
  </w:abstractNum>
  <w:num w:numId="1" w16cid:durableId="801537900">
    <w:abstractNumId w:val="0"/>
    <w:lvlOverride w:ilvl="0">
      <w:startOverride w:val="1"/>
    </w:lvlOverride>
  </w:num>
  <w:num w:numId="2" w16cid:durableId="909851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EB7"/>
    <w:rsid w:val="001816E0"/>
    <w:rsid w:val="008771CF"/>
    <w:rsid w:val="00C63EB7"/>
    <w:rsid w:val="00F45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2096"/>
  <w15:docId w15:val="{7206B21E-A6A3-46D3-8B0B-AEBEDB09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ZEEHAAN AKTAR</cp:lastModifiedBy>
  <cp:revision>2</cp:revision>
  <dcterms:created xsi:type="dcterms:W3CDTF">2026-09-12T10:18:00Z</dcterms:created>
  <dcterms:modified xsi:type="dcterms:W3CDTF">2026-09-16T09:24:00Z</dcterms:modified>
</cp:coreProperties>
</file>