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E589" w14:textId="77777777" w:rsidR="00541071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RISK MANAGEMENT PLAN</w:t>
      </w:r>
    </w:p>
    <w:p w14:paraId="22638679" w14:textId="77777777" w:rsidR="00541071" w:rsidRDefault="00000000">
      <w:pPr>
        <w:spacing w:after="320"/>
        <w:jc w:val="center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Semaglutide — incorporating the Suicidality Signal Characterized in this Project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541071" w14:paraId="5CF237CC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A914B" w14:textId="77777777" w:rsidR="00541071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Drug / MAH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4D311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Semaglutide (Ozempic / Wegovy / Rybelsus) — Novo Nordisk</w:t>
            </w:r>
          </w:p>
        </w:tc>
      </w:tr>
      <w:tr w:rsidR="00541071" w14:paraId="6322543D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37A6E" w14:textId="77777777" w:rsidR="00541071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RMP version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CA853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Draft, Version 1.0 — student project, not a regulatory submission</w:t>
            </w:r>
          </w:p>
        </w:tc>
      </w:tr>
      <w:tr w:rsidR="00541071" w14:paraId="7532ABA4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68B11" w14:textId="77777777" w:rsidR="00541071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Framework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1DC07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EU GVP Module V structure: Safety Specification / Pharmacovigilance Plan / Risk Minimization Measures, adapted from real, current semaglutide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labeling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and this project's Phase 1–3 findings</w:t>
            </w:r>
          </w:p>
        </w:tc>
      </w:tr>
      <w:tr w:rsidR="00541071" w14:paraId="2A32CE8E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FAE23" w14:textId="77777777" w:rsidR="00541071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Scope note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83C6D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Established risks (thyroid C-cell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tumors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pancreatitis, pregnancy registry) are drawn from real, current FDA-approved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labeling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 The suicidality risk characterization and its proposed monitoring/minimization measures are original work product from this project's Phase 1–3 analysis, not an existing regulatory requirement.</w:t>
            </w:r>
          </w:p>
        </w:tc>
      </w:tr>
      <w:tr w:rsidR="00541071" w14:paraId="435BFB7B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AF6D3" w14:textId="77777777" w:rsidR="00541071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Prepared by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BE34D" w14:textId="6C0705D1" w:rsidR="00541071" w:rsidRDefault="00D72ACF">
            <w:r w:rsidRPr="00D72ACF">
              <w:rPr>
                <w:rFonts w:ascii="Calibri" w:eastAsia="Calibri" w:hAnsi="Calibri" w:cs="Calibri"/>
                <w:color w:val="000000"/>
              </w:rPr>
              <w:t xml:space="preserve">Munshi </w:t>
            </w:r>
            <w:proofErr w:type="spellStart"/>
            <w:r w:rsidRPr="00D72ACF">
              <w:rPr>
                <w:rFonts w:ascii="Calibri" w:eastAsia="Calibri" w:hAnsi="Calibri" w:cs="Calibri"/>
                <w:color w:val="000000"/>
              </w:rPr>
              <w:t>Zeehaan</w:t>
            </w:r>
            <w:proofErr w:type="spellEnd"/>
            <w:r w:rsidRPr="00D72ACF">
              <w:rPr>
                <w:rFonts w:ascii="Calibri" w:eastAsia="Calibri" w:hAnsi="Calibri" w:cs="Calibri"/>
                <w:color w:val="000000"/>
              </w:rPr>
              <w:t xml:space="preserve"> Aktar</w:t>
            </w:r>
          </w:p>
        </w:tc>
      </w:tr>
      <w:tr w:rsidR="00541071" w14:paraId="21539A12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B76D9" w14:textId="77777777" w:rsidR="00541071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Date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B4284" w14:textId="1F0A6F37" w:rsidR="00541071" w:rsidRDefault="00D72ACF">
            <w:r>
              <w:t>10 / 09 / 2026</w:t>
            </w:r>
          </w:p>
        </w:tc>
      </w:tr>
    </w:tbl>
    <w:p w14:paraId="1F4A6F65" w14:textId="77777777" w:rsidR="00541071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Part I — Safety Specification</w:t>
      </w:r>
    </w:p>
    <w:p w14:paraId="05A03AC7" w14:textId="77777777" w:rsidR="00541071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Following EU GVP Module V structure, this section catalogues important identified risks, important potential risks, and missing information. Rows marked "real, current </w:t>
      </w:r>
      <w:proofErr w:type="spellStart"/>
      <w:r>
        <w:rPr>
          <w:rFonts w:ascii="Calibri" w:eastAsia="Calibri" w:hAnsi="Calibri" w:cs="Calibri"/>
          <w:sz w:val="22"/>
          <w:szCs w:val="22"/>
        </w:rPr>
        <w:t>labeling</w:t>
      </w:r>
      <w:proofErr w:type="spellEnd"/>
      <w:r>
        <w:rPr>
          <w:rFonts w:ascii="Calibri" w:eastAsia="Calibri" w:hAnsi="Calibri" w:cs="Calibri"/>
          <w:sz w:val="22"/>
          <w:szCs w:val="22"/>
        </w:rPr>
        <w:t>" are drawn directly from FDA-approved semaglutide prescribing information; rows marked "this project" reflect the suicidality analysis from Phases 1–2.</w:t>
      </w:r>
    </w:p>
    <w:p w14:paraId="6EFBA9E6" w14:textId="77777777" w:rsidR="00541071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I.1 Important Identified Risks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400"/>
        <w:gridCol w:w="2850"/>
      </w:tblGrid>
      <w:tr w:rsidR="00541071" w14:paraId="0CF710D5" w14:textId="77777777"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1D2F1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Risk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64118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BEB85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Source / evidence</w:t>
            </w:r>
          </w:p>
        </w:tc>
      </w:tr>
      <w:tr w:rsidR="00541071" w14:paraId="47DE786B" w14:textId="77777777">
        <w:trPr>
          <w:cantSplit/>
        </w:trPr>
        <w:tc>
          <w:tcPr>
            <w:tcW w:w="21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D61BD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Thyroid C-cell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tumors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(adenoma/carcinoma, incl. MTC)</w:t>
            </w:r>
          </w:p>
        </w:tc>
        <w:tc>
          <w:tcPr>
            <w:tcW w:w="4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B9B5E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Dose- and duration-dependent increase in thyroid C-cell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tumors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in rodent lifetime-exposure studies. Human relevance undetermined; subject of an existing FDA boxed warning. Contraindicated in personal/family history of MTC or MEN 2.</w:t>
            </w:r>
          </w:p>
        </w:tc>
        <w:tc>
          <w:tcPr>
            <w:tcW w:w="285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41F37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Real, current FDA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labeling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(boxed warning)</w:t>
            </w:r>
          </w:p>
        </w:tc>
      </w:tr>
      <w:tr w:rsidR="00541071" w14:paraId="776BE160" w14:textId="77777777">
        <w:trPr>
          <w:cantSplit/>
        </w:trPr>
        <w:tc>
          <w:tcPr>
            <w:tcW w:w="21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E6907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Acute pancreatitis</w:t>
            </w:r>
          </w:p>
        </w:tc>
        <w:tc>
          <w:tcPr>
            <w:tcW w:w="4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0084F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Established risk across the GLP-1 receptor agonist class; monitored in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labeling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and clinical trial exclusion/discontinuation criteria.</w:t>
            </w:r>
          </w:p>
        </w:tc>
        <w:tc>
          <w:tcPr>
            <w:tcW w:w="285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BA594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Real, current FDA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labeling</w:t>
            </w:r>
            <w:proofErr w:type="spellEnd"/>
          </w:p>
        </w:tc>
      </w:tr>
      <w:tr w:rsidR="00541071" w14:paraId="729BE150" w14:textId="77777777">
        <w:trPr>
          <w:cantSplit/>
        </w:trPr>
        <w:tc>
          <w:tcPr>
            <w:tcW w:w="21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20C13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Gastrointestinal adverse reactions</w:t>
            </w:r>
          </w:p>
        </w:tc>
        <w:tc>
          <w:tcPr>
            <w:tcW w:w="4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5F378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Nausea, vomiting,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diarrhea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— common (frequently &gt;20% incidence in trials), predominantly mild-to-moderate and transient, concentrated during dose escalation.</w:t>
            </w:r>
          </w:p>
        </w:tc>
        <w:tc>
          <w:tcPr>
            <w:tcW w:w="285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A0FC6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Real, current FDA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labeling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; Phase 3 benefit-risk assessment Section 3</w:t>
            </w:r>
          </w:p>
        </w:tc>
      </w:tr>
      <w:tr w:rsidR="00541071" w14:paraId="3980C1ED" w14:textId="77777777">
        <w:trPr>
          <w:cantSplit/>
        </w:trPr>
        <w:tc>
          <w:tcPr>
            <w:tcW w:w="21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FB7B7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Hypersensitivity / immunogenic reactions</w:t>
            </w:r>
          </w:p>
        </w:tc>
        <w:tc>
          <w:tcPr>
            <w:tcW w:w="4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7D8DA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Risk associated with protein-based therapeutics generally; monitored per standard practice.</w:t>
            </w:r>
          </w:p>
        </w:tc>
        <w:tc>
          <w:tcPr>
            <w:tcW w:w="285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6CFDB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Real, current FDA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labeling</w:t>
            </w:r>
            <w:proofErr w:type="spellEnd"/>
          </w:p>
        </w:tc>
      </w:tr>
    </w:tbl>
    <w:p w14:paraId="0A0AC87B" w14:textId="77777777" w:rsidR="00D72ACF" w:rsidRDefault="00D72ACF">
      <w:pPr>
        <w:pStyle w:val="Heading2"/>
        <w:spacing w:before="240" w:after="120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</w:p>
    <w:p w14:paraId="259E6C48" w14:textId="77777777" w:rsidR="00D72ACF" w:rsidRDefault="00D72ACF">
      <w:pPr>
        <w:pStyle w:val="Heading2"/>
        <w:spacing w:before="240" w:after="120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</w:p>
    <w:p w14:paraId="1B9C71DF" w14:textId="5AB9D147" w:rsidR="00541071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>I.2 Important Potential Risks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400"/>
        <w:gridCol w:w="2850"/>
      </w:tblGrid>
      <w:tr w:rsidR="00541071" w14:paraId="548570FC" w14:textId="77777777"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94A82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Risk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C368A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539C1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Source / evidence</w:t>
            </w:r>
          </w:p>
        </w:tc>
      </w:tr>
      <w:tr w:rsidR="00541071" w14:paraId="1CB5F7E7" w14:textId="77777777">
        <w:trPr>
          <w:cantSplit/>
        </w:trPr>
        <w:tc>
          <w:tcPr>
            <w:tcW w:w="21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C6584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Suicidal ideation, suicide attempt, and completed suicide</w:t>
            </w:r>
          </w:p>
        </w:tc>
        <w:tc>
          <w:tcPr>
            <w:tcW w:w="44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F36FE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Disproportionate reporting observed for several MedDRA terms in FAERS and WHO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VigiBase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of modest and statistically inconsistent magnitude (ROR range 0.16-1.73 depending on term and database); partial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dechallenge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evidence in ~34-63% of cases depending on source; confounding by indication not excluded.</w:t>
            </w:r>
          </w:p>
        </w:tc>
        <w:tc>
          <w:tcPr>
            <w:tcW w:w="285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D9766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This project — Phase 1 worksheet, Phase 2 signal validation memo</w:t>
            </w:r>
          </w:p>
        </w:tc>
      </w:tr>
      <w:tr w:rsidR="00541071" w14:paraId="5EEC6C22" w14:textId="77777777">
        <w:trPr>
          <w:cantSplit/>
        </w:trPr>
        <w:tc>
          <w:tcPr>
            <w:tcW w:w="21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41636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Pancreatic cancer</w:t>
            </w:r>
          </w:p>
        </w:tc>
        <w:tc>
          <w:tcPr>
            <w:tcW w:w="44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4DF6C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No support from non-clinical, clinical trial, or post-marketing data for a causal association, but classified by EMA as a potential class risk for GLP-1 receptor agonists as a precautionary measure.</w:t>
            </w:r>
          </w:p>
        </w:tc>
        <w:tc>
          <w:tcPr>
            <w:tcW w:w="285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C08DB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Real — EMA class-risk classification, cited in sponsor clinical trial protocols</w:t>
            </w:r>
          </w:p>
        </w:tc>
      </w:tr>
      <w:tr w:rsidR="00541071" w14:paraId="6D4DD99D" w14:textId="77777777">
        <w:trPr>
          <w:cantSplit/>
        </w:trPr>
        <w:tc>
          <w:tcPr>
            <w:tcW w:w="21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D457F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Delayed gastric emptying — peri-procedural aspiration risk</w:t>
            </w:r>
          </w:p>
        </w:tc>
        <w:tc>
          <w:tcPr>
            <w:tcW w:w="44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FD741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GLP-1 receptor agonists slow gastric emptying;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anesthesiology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and endoscopy societies have issued guidance on aspiration risk and pre-procedure fasting/drug-hold considerations in patients on this drug class.</w:t>
            </w:r>
          </w:p>
        </w:tc>
        <w:tc>
          <w:tcPr>
            <w:tcW w:w="285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1A259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Real — professional society guidance (not FDA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labeling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per se); include with appropriate caveat</w:t>
            </w:r>
          </w:p>
        </w:tc>
      </w:tr>
    </w:tbl>
    <w:p w14:paraId="5EA25F75" w14:textId="77777777" w:rsidR="00541071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I.3 Missing Information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400"/>
        <w:gridCol w:w="2850"/>
      </w:tblGrid>
      <w:tr w:rsidR="00541071" w14:paraId="37BAF4C6" w14:textId="77777777"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4FC6C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Risk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48AD0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DFD4A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Source / evidence</w:t>
            </w:r>
          </w:p>
        </w:tc>
      </w:tr>
      <w:tr w:rsidR="00541071" w14:paraId="11E931F2" w14:textId="77777777">
        <w:trPr>
          <w:cantSplit/>
        </w:trPr>
        <w:tc>
          <w:tcPr>
            <w:tcW w:w="21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D1132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Long-term (&gt;2-4 years) psychiatric safety data</w:t>
            </w:r>
          </w:p>
        </w:tc>
        <w:tc>
          <w:tcPr>
            <w:tcW w:w="44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966A9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Most disproportionality evidence derives from spontaneous reports over a shorter observation window; long-term controlled psychiatric outcome data are limited.</w:t>
            </w:r>
          </w:p>
        </w:tc>
        <w:tc>
          <w:tcPr>
            <w:tcW w:w="285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41D6A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This project — identified as a gap in Phase 2</w:t>
            </w:r>
          </w:p>
        </w:tc>
      </w:tr>
      <w:tr w:rsidR="00541071" w14:paraId="1592D6CA" w14:textId="77777777">
        <w:trPr>
          <w:cantSplit/>
        </w:trPr>
        <w:tc>
          <w:tcPr>
            <w:tcW w:w="21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DBA80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Use in pregnancy</w:t>
            </w:r>
          </w:p>
        </w:tc>
        <w:tc>
          <w:tcPr>
            <w:tcW w:w="44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89313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Reproductive toxicity signals in animal studies (early pregnancy loss, structural abnormalities at clinically relevant exposures); human pregnancy outcome data still accumulating via the active registry.</w:t>
            </w:r>
          </w:p>
        </w:tc>
        <w:tc>
          <w:tcPr>
            <w:tcW w:w="285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EF9D2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Real, current FDA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labeling</w:t>
            </w:r>
            <w:proofErr w:type="spellEnd"/>
          </w:p>
        </w:tc>
      </w:tr>
      <w:tr w:rsidR="00541071" w14:paraId="4136FBC2" w14:textId="77777777">
        <w:trPr>
          <w:cantSplit/>
        </w:trPr>
        <w:tc>
          <w:tcPr>
            <w:tcW w:w="21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6D3A2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Use in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pediatric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populations</w:t>
            </w:r>
          </w:p>
        </w:tc>
        <w:tc>
          <w:tcPr>
            <w:tcW w:w="44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1B5EE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Safety and efficacy data in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pediatric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patients are more limited than in adults, particularly for the weight-management indication.</w:t>
            </w:r>
          </w:p>
        </w:tc>
        <w:tc>
          <w:tcPr>
            <w:tcW w:w="285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D619F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Real — general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labeling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scope limitation</w:t>
            </w:r>
          </w:p>
        </w:tc>
      </w:tr>
      <w:tr w:rsidR="00541071" w14:paraId="74B433AA" w14:textId="77777777">
        <w:trPr>
          <w:cantSplit/>
        </w:trPr>
        <w:tc>
          <w:tcPr>
            <w:tcW w:w="21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52A00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Concomitant use with psychotropic medications</w:t>
            </w:r>
          </w:p>
        </w:tc>
        <w:tc>
          <w:tcPr>
            <w:tcW w:w="44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92AC0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No systematic data identified characterizing suicidality risk specifically in patients on concurrent antidepressants, mood stabilizers, or other psychiatric medications.</w:t>
            </w:r>
          </w:p>
        </w:tc>
        <w:tc>
          <w:tcPr>
            <w:tcW w:w="285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9DF32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This project — identified as a gap in Phase 2 Section 4</w:t>
            </w:r>
          </w:p>
        </w:tc>
      </w:tr>
    </w:tbl>
    <w:p w14:paraId="402EEAEE" w14:textId="77777777" w:rsidR="00541071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Part II — Pharmacovigilance Plan</w:t>
      </w:r>
    </w:p>
    <w:p w14:paraId="62F79522" w14:textId="77777777" w:rsidR="00541071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Routine activities (green) reflect standard, ongoing practice and real, currently active programs. Additional activities (yellow) are proposed by this project specifically to close the evidence gaps identified in Phase 2.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3"/>
        <w:gridCol w:w="1226"/>
        <w:gridCol w:w="2804"/>
        <w:gridCol w:w="3167"/>
      </w:tblGrid>
      <w:tr w:rsidR="00541071" w14:paraId="179195C5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1300A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Activity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CBEAF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C0B42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Objective</w:t>
            </w:r>
          </w:p>
        </w:tc>
        <w:tc>
          <w:tcPr>
            <w:tcW w:w="2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8819F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/ timeline</w:t>
            </w:r>
          </w:p>
        </w:tc>
      </w:tr>
      <w:tr w:rsidR="00541071" w14:paraId="79340616" w14:textId="77777777">
        <w:trPr>
          <w:cantSplit/>
        </w:trPr>
        <w:tc>
          <w:tcPr>
            <w:tcW w:w="23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B5FD0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Routine signal detection (periodic FAERS/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EudraVigilance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screening)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77FB5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Routine</w:t>
            </w:r>
          </w:p>
        </w:tc>
        <w:tc>
          <w:tcPr>
            <w:tcW w:w="36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B3817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Ongoing disproportionality screening across the full safety profile per standard PV cycle</w:t>
            </w:r>
          </w:p>
        </w:tc>
        <w:tc>
          <w:tcPr>
            <w:tcW w:w="205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3B56D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Ongoing — standard practice</w:t>
            </w:r>
          </w:p>
        </w:tc>
      </w:tr>
      <w:tr w:rsidR="00541071" w14:paraId="51E1A4EE" w14:textId="77777777">
        <w:trPr>
          <w:cantSplit/>
        </w:trPr>
        <w:tc>
          <w:tcPr>
            <w:tcW w:w="23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A84FC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PSUR/PBRER periodic reporting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C8F49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Routine</w:t>
            </w:r>
          </w:p>
        </w:tc>
        <w:tc>
          <w:tcPr>
            <w:tcW w:w="36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1D841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Scheduled aggregate safety review per regulatory cycle</w:t>
            </w:r>
          </w:p>
        </w:tc>
        <w:tc>
          <w:tcPr>
            <w:tcW w:w="205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235AB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Ongoing — standard regulatory requirement</w:t>
            </w:r>
          </w:p>
        </w:tc>
      </w:tr>
      <w:tr w:rsidR="00541071" w14:paraId="546B9BFE" w14:textId="77777777">
        <w:trPr>
          <w:cantSplit/>
        </w:trPr>
        <w:tc>
          <w:tcPr>
            <w:tcW w:w="23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1270F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Pregnancy Exposure Registry</w:t>
            </w:r>
          </w:p>
        </w:tc>
        <w:tc>
          <w:tcPr>
            <w:tcW w:w="14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45A2A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Additional (real, active)</w:t>
            </w:r>
          </w:p>
        </w:tc>
        <w:tc>
          <w:tcPr>
            <w:tcW w:w="3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3F6CB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Monitor pregnancy and infant outcomes following in-utero semaglutide exposure</w:t>
            </w:r>
          </w:p>
        </w:tc>
        <w:tc>
          <w:tcPr>
            <w:tcW w:w="205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F9534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Active — Novo Nordisk, www.wegovypregnancyregistry.com</w:t>
            </w:r>
          </w:p>
        </w:tc>
      </w:tr>
      <w:tr w:rsidR="00541071" w14:paraId="03F4A41D" w14:textId="77777777">
        <w:trPr>
          <w:cantSplit/>
        </w:trPr>
        <w:tc>
          <w:tcPr>
            <w:tcW w:w="23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C50A4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Targeted follow-up questionnaire for psychiatric/suicidality case reports</w:t>
            </w:r>
          </w:p>
        </w:tc>
        <w:tc>
          <w:tcPr>
            <w:tcW w:w="14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E7699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Additional (proposed)</w:t>
            </w:r>
          </w:p>
        </w:tc>
        <w:tc>
          <w:tcPr>
            <w:tcW w:w="3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8AF50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Systematically capture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dechallenge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/rechallenge status, psychiatric history, and concomitant psychotropic medication for every new suicidality-related case, closing the gap identified in Phase 2 Section 5</w:t>
            </w:r>
          </w:p>
        </w:tc>
        <w:tc>
          <w:tcPr>
            <w:tcW w:w="205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A60EA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Proposed — not yet implemented</w:t>
            </w:r>
          </w:p>
        </w:tc>
      </w:tr>
      <w:tr w:rsidR="00541071" w14:paraId="0DEBFD46" w14:textId="77777777">
        <w:trPr>
          <w:cantSplit/>
        </w:trPr>
        <w:tc>
          <w:tcPr>
            <w:tcW w:w="23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89B5D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Cumulative review of suicidality signal (6-monthly)</w:t>
            </w:r>
          </w:p>
        </w:tc>
        <w:tc>
          <w:tcPr>
            <w:tcW w:w="14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D2CC9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Additional (proposed)</w:t>
            </w:r>
          </w:p>
        </w:tc>
        <w:tc>
          <w:tcPr>
            <w:tcW w:w="3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BC102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Re-run the Phase 1 disproportionality analysis every 6 months across FAERS and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EudraVigilance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to detect any strengthening of the signal over time</w:t>
            </w:r>
          </w:p>
        </w:tc>
        <w:tc>
          <w:tcPr>
            <w:tcW w:w="205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84717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Proposed — not yet implemented</w:t>
            </w:r>
          </w:p>
        </w:tc>
      </w:tr>
      <w:tr w:rsidR="00541071" w14:paraId="3DBBB8AA" w14:textId="77777777">
        <w:trPr>
          <w:cantSplit/>
        </w:trPr>
        <w:tc>
          <w:tcPr>
            <w:tcW w:w="23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01795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Drug utilization study in patients with pre-existing depression/psychiatric history</w:t>
            </w:r>
          </w:p>
        </w:tc>
        <w:tc>
          <w:tcPr>
            <w:tcW w:w="14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58EF6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Additional (proposed)</w:t>
            </w:r>
          </w:p>
        </w:tc>
        <w:tc>
          <w:tcPr>
            <w:tcW w:w="3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A596C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Characterize how much of the observed reporting reflects confounding by indication (Phase 2 Section 4) versus a genuine excess</w:t>
            </w:r>
          </w:p>
        </w:tc>
        <w:tc>
          <w:tcPr>
            <w:tcW w:w="205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46D9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Proposed — addresses this project's key limitation</w:t>
            </w:r>
          </w:p>
        </w:tc>
      </w:tr>
    </w:tbl>
    <w:p w14:paraId="65A836AF" w14:textId="77777777" w:rsidR="00541071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Part III — Risk Minimization Measures</w:t>
      </w:r>
    </w:p>
    <w:p w14:paraId="0146CB1E" w14:textId="77777777" w:rsidR="00541071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Routine measures (green) already exist in current semaglutide </w:t>
      </w:r>
      <w:proofErr w:type="spellStart"/>
      <w:r>
        <w:rPr>
          <w:rFonts w:ascii="Calibri" w:eastAsia="Calibri" w:hAnsi="Calibri" w:cs="Calibri"/>
          <w:sz w:val="22"/>
          <w:szCs w:val="22"/>
        </w:rPr>
        <w:t>labeling</w:t>
      </w:r>
      <w:proofErr w:type="spellEnd"/>
      <w:r>
        <w:rPr>
          <w:rFonts w:ascii="Calibri" w:eastAsia="Calibri" w:hAnsi="Calibri" w:cs="Calibri"/>
          <w:sz w:val="22"/>
          <w:szCs w:val="22"/>
        </w:rPr>
        <w:t>. Additional measures (yellow) are proposed by this project to address the suicidality signal specifically, consistent with the Phase 3 benefit-risk recommendation that proportionate monitoring — not a label restriction — is the appropriate response given current evidence strength.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900"/>
        <w:gridCol w:w="3850"/>
      </w:tblGrid>
      <w:tr w:rsidR="00541071" w14:paraId="16619F34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AF4D3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Measure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EFB9A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703B9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Target audience</w:t>
            </w:r>
          </w:p>
        </w:tc>
        <w:tc>
          <w:tcPr>
            <w:tcW w:w="3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697FD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Content / mechanism</w:t>
            </w:r>
          </w:p>
        </w:tc>
      </w:tr>
      <w:tr w:rsidR="00541071" w14:paraId="1F367E45" w14:textId="77777777">
        <w:trPr>
          <w:cantSplit/>
        </w:trPr>
        <w:tc>
          <w:tcPr>
            <w:tcW w:w="22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53CA6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 xml:space="preserve">Boxed warning — thyroid C-cell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tumors</w:t>
            </w:r>
            <w:proofErr w:type="spellEnd"/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46CF8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Routine (real, current)</w:t>
            </w:r>
          </w:p>
        </w:tc>
        <w:tc>
          <w:tcPr>
            <w:tcW w:w="19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53690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Prescribers, patients</w:t>
            </w:r>
          </w:p>
        </w:tc>
        <w:tc>
          <w:tcPr>
            <w:tcW w:w="385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B35AA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Existing FDA boxed warning; contraindicated in personal/family history of medullary thyroid carcinoma or MEN 2</w:t>
            </w:r>
          </w:p>
        </w:tc>
      </w:tr>
      <w:tr w:rsidR="00541071" w14:paraId="69F80087" w14:textId="77777777">
        <w:trPr>
          <w:cantSplit/>
        </w:trPr>
        <w:tc>
          <w:tcPr>
            <w:tcW w:w="22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6E9CC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Medication Guide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3EA96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Routine (real, current)</w:t>
            </w:r>
          </w:p>
        </w:tc>
        <w:tc>
          <w:tcPr>
            <w:tcW w:w="19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B4E29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Patients</w:t>
            </w:r>
          </w:p>
        </w:tc>
        <w:tc>
          <w:tcPr>
            <w:tcW w:w="385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27AA7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Existing FDA-mandated patient-facing document, dispensed with every prescription</w:t>
            </w:r>
          </w:p>
        </w:tc>
      </w:tr>
      <w:tr w:rsidR="00541071" w14:paraId="7125DCC2" w14:textId="77777777">
        <w:trPr>
          <w:cantSplit/>
        </w:trPr>
        <w:tc>
          <w:tcPr>
            <w:tcW w:w="22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92D28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lastRenderedPageBreak/>
              <w:t xml:space="preserve">Pregnancy Exposure Registry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enrollment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prompt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649E0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Routine (real, current)</w:t>
            </w:r>
          </w:p>
        </w:tc>
        <w:tc>
          <w:tcPr>
            <w:tcW w:w="19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CD0E4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Prescribers, patients</w:t>
            </w:r>
          </w:p>
        </w:tc>
        <w:tc>
          <w:tcPr>
            <w:tcW w:w="385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6B5B5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Existing registry; HCPs encouraged to report exposures during pregnancy</w:t>
            </w:r>
          </w:p>
        </w:tc>
      </w:tr>
      <w:tr w:rsidR="00541071" w14:paraId="3DB5A8A2" w14:textId="77777777">
        <w:trPr>
          <w:cantSplit/>
        </w:trPr>
        <w:tc>
          <w:tcPr>
            <w:tcW w:w="22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2EFFE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Dear Healthcare Provider Letter — psychiatric monitoring</w:t>
            </w:r>
          </w:p>
        </w:tc>
        <w:tc>
          <w:tcPr>
            <w:tcW w:w="14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DC44F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Additional (proposed)</w:t>
            </w:r>
          </w:p>
        </w:tc>
        <w:tc>
          <w:tcPr>
            <w:tcW w:w="19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0C6CB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Prescribers</w:t>
            </w:r>
          </w:p>
        </w:tc>
        <w:tc>
          <w:tcPr>
            <w:tcW w:w="385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72726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Draft communication alerting prescribers to the suicidality signal characterized in this project, recommending baseline and periodic mood/psychiatric screening, particularly in the first 3 months of treatment (per Phase 2 Section 6 temporal finding)</w:t>
            </w:r>
          </w:p>
        </w:tc>
      </w:tr>
      <w:tr w:rsidR="00541071" w14:paraId="73B72C08" w14:textId="77777777">
        <w:trPr>
          <w:cantSplit/>
        </w:trPr>
        <w:tc>
          <w:tcPr>
            <w:tcW w:w="22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321CB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Patient safety card</w:t>
            </w:r>
          </w:p>
        </w:tc>
        <w:tc>
          <w:tcPr>
            <w:tcW w:w="14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46BDE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Additional (proposed)</w:t>
            </w:r>
          </w:p>
        </w:tc>
        <w:tc>
          <w:tcPr>
            <w:tcW w:w="19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B1F0E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Patients</w:t>
            </w:r>
          </w:p>
        </w:tc>
        <w:tc>
          <w:tcPr>
            <w:tcW w:w="385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33C24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Wallet-card summarizing warning signs of mood change, instructions to contact a prescriber promptly, and crisis-line information, given at treatment initiation</w:t>
            </w:r>
          </w:p>
        </w:tc>
      </w:tr>
      <w:tr w:rsidR="00541071" w14:paraId="0124E8F5" w14:textId="77777777">
        <w:trPr>
          <w:cantSplit/>
        </w:trPr>
        <w:tc>
          <w:tcPr>
            <w:tcW w:w="22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131E1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Prescriber screening checklist</w:t>
            </w:r>
          </w:p>
        </w:tc>
        <w:tc>
          <w:tcPr>
            <w:tcW w:w="14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3720E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Additional (proposed)</w:t>
            </w:r>
          </w:p>
        </w:tc>
        <w:tc>
          <w:tcPr>
            <w:tcW w:w="19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B83D0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Prescribers</w:t>
            </w:r>
          </w:p>
        </w:tc>
        <w:tc>
          <w:tcPr>
            <w:tcW w:w="385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C9ECE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Structured checklist prompting review of psychiatric history and depression screening (e.g. PHQ-9) before initiation and at dose-escalation visits</w:t>
            </w:r>
          </w:p>
        </w:tc>
      </w:tr>
    </w:tbl>
    <w:p w14:paraId="0C7BC81B" w14:textId="77777777" w:rsidR="00541071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Part IV — Effectiveness Evaluation Plan</w:t>
      </w:r>
    </w:p>
    <w:p w14:paraId="03B86719" w14:textId="77777777" w:rsidR="00541071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 risk minimization measure that is never checked for effectiveness is not a </w:t>
      </w:r>
      <w:proofErr w:type="gramStart"/>
      <w:r>
        <w:rPr>
          <w:rFonts w:ascii="Calibri" w:eastAsia="Calibri" w:hAnsi="Calibri" w:cs="Calibri"/>
          <w:sz w:val="22"/>
          <w:szCs w:val="22"/>
        </w:rPr>
        <w:t>control,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it is a gesture. The KPIs below are designed to be measurable using ordinary pharmacovigilance and drug-safety-monitoring data sources, consistent with this project's no-code, evidence-first approach.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1600"/>
        <w:gridCol w:w="3150"/>
      </w:tblGrid>
      <w:tr w:rsidR="00541071" w14:paraId="05B32530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7E8AD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KPI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6096F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4B4A6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3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32F87" w14:textId="77777777" w:rsidR="0054107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Measurement method</w:t>
            </w:r>
          </w:p>
        </w:tc>
      </w:tr>
      <w:tr w:rsidR="00541071" w14:paraId="04BC709A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65F6E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Dear HCP Letter reach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7D341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% of prescribers who received and acknowledged the letter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04BB6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≥90% within 3 months of distribution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582ED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Distribution/acknowledgment tracking via MAH communication records</w:t>
            </w:r>
          </w:p>
        </w:tc>
      </w:tr>
      <w:tr w:rsidR="00541071" w14:paraId="7AF1A875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887C1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Prescriber screening checklist uptake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CDFB7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% of new-initiation prescriptions with documented psychiatric screening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F38D5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≥75% within 12 months of rollout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43CEA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Prescriber survey or EHR audit sample, where feasible</w:t>
            </w:r>
          </w:p>
        </w:tc>
      </w:tr>
      <w:tr w:rsidR="00541071" w14:paraId="4BCE0A58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88D56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Patient safety card awareness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2E765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% of patients who recall receiving and reading the card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3EEA5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≥70%, assessed via patient survey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731CB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Patient survey at a routine follow-up visit (e.g. 3-month mark)</w:t>
            </w:r>
          </w:p>
        </w:tc>
      </w:tr>
      <w:tr w:rsidR="00541071" w14:paraId="7CCC9229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FA464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Off-label / inadequately screened use rate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262AC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% of new prescriptions issued without documented psychiatric history review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0523A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Decreasing trend over 4 consecutive quarters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F4A92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Prescriber/EHR audit, compared against pre-intervention baseline</w:t>
            </w:r>
          </w:p>
        </w:tc>
      </w:tr>
      <w:tr w:rsidR="00541071" w14:paraId="7E195DE2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027E7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Signal stability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7B03F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Change in ROR/PRR for suicidality terms at 6-month cumulative review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126DF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No statistically significant upward trend across 4 consecutive reviews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D0584" w14:textId="77777777" w:rsidR="00541071" w:rsidRDefault="00000000">
            <w:r>
              <w:rPr>
                <w:rFonts w:ascii="Calibri" w:eastAsia="Calibri" w:hAnsi="Calibri" w:cs="Calibri"/>
                <w:color w:val="000000"/>
              </w:rPr>
              <w:t>Repeat of Phase 1 disproportionality methodology</w:t>
            </w:r>
          </w:p>
        </w:tc>
      </w:tr>
    </w:tbl>
    <w:p w14:paraId="2E33AB80" w14:textId="77777777" w:rsidR="00541071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Part V — Governance and Review Cycle</w:t>
      </w:r>
    </w:p>
    <w:p w14:paraId="0F4725D8" w14:textId="77777777" w:rsidR="0054107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This RMP should be reviewed at each PSUR/PBRER cycle, alongside routine signal monitoring.</w:t>
      </w:r>
    </w:p>
    <w:p w14:paraId="378388DD" w14:textId="77777777" w:rsidR="0054107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cumulative suicidality signal review (Part II) should trigger a formal re-assessment of this RMP if any term's ROR lower 95% CI increases materially from the Phase 1 baseline, or if a term currently showing "no data available" (Intentional self-injury, Self-injurious ideation) develops a retrievable case count that meets signal thresholds.</w:t>
      </w:r>
    </w:p>
    <w:p w14:paraId="4C26655E" w14:textId="77777777" w:rsidR="0054107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Any material change to the benefit case (e.g. a future trial finding reduced cardiovascular benefit) should trigger a full re-run of the Phase 3 benefit-risk assessment, since the current recommendation depends on the benefit case remaining strong relative to a weak-to-moderate risk signal.</w:t>
      </w:r>
    </w:p>
    <w:p w14:paraId="780BB43E" w14:textId="77777777" w:rsidR="00541071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Limitations</w:t>
      </w:r>
    </w:p>
    <w:p w14:paraId="740E9A58" w14:textId="77777777" w:rsidR="0054107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This RMP is a student/portfolio project artifact, not a regulatory submission — it has not been reviewed by a Qualified Person for Pharmacovigilance (QPPV) or submitted to any regulator.</w:t>
      </w:r>
    </w:p>
    <w:p w14:paraId="6F440A7E" w14:textId="77777777" w:rsidR="0054107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Additional pharmacovigilance and risk minimization activities are proposed, not implemented; no real-world effectiveness data exists for them yet.</w:t>
      </w:r>
    </w:p>
    <w:p w14:paraId="20536C9A" w14:textId="77777777" w:rsidR="00541071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The identified/potential risk classifications for thyroid C-cell </w:t>
      </w:r>
      <w:proofErr w:type="spellStart"/>
      <w:r>
        <w:rPr>
          <w:rFonts w:ascii="Calibri" w:eastAsia="Calibri" w:hAnsi="Calibri" w:cs="Calibri"/>
          <w:sz w:val="22"/>
          <w:szCs w:val="22"/>
        </w:rPr>
        <w:t>tumors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pancreatitis, and pancreatic cancer reflect real, current FDA </w:t>
      </w:r>
      <w:proofErr w:type="spellStart"/>
      <w:r>
        <w:rPr>
          <w:rFonts w:ascii="Calibri" w:eastAsia="Calibri" w:hAnsi="Calibri" w:cs="Calibri"/>
          <w:sz w:val="22"/>
          <w:szCs w:val="22"/>
        </w:rPr>
        <w:t>labeling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as of this project's research dates, but </w:t>
      </w:r>
      <w:proofErr w:type="spellStart"/>
      <w:r>
        <w:rPr>
          <w:rFonts w:ascii="Calibri" w:eastAsia="Calibri" w:hAnsi="Calibri" w:cs="Calibri"/>
          <w:sz w:val="22"/>
          <w:szCs w:val="22"/>
        </w:rPr>
        <w:t>labeling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periodically updated and should be re-verified before any real-world use of this document.</w:t>
      </w:r>
    </w:p>
    <w:sectPr w:rsidR="0054107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1795A" w14:textId="77777777" w:rsidR="006D7785" w:rsidRDefault="006D7785">
      <w:r>
        <w:separator/>
      </w:r>
    </w:p>
  </w:endnote>
  <w:endnote w:type="continuationSeparator" w:id="0">
    <w:p w14:paraId="70E44054" w14:textId="77777777" w:rsidR="006D7785" w:rsidRDefault="006D7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26527" w14:textId="77777777" w:rsidR="00541071" w:rsidRDefault="00000000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 xml:space="preserve">Page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D72ACF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19BEC" w14:textId="77777777" w:rsidR="006D7785" w:rsidRDefault="006D7785">
      <w:r>
        <w:separator/>
      </w:r>
    </w:p>
  </w:footnote>
  <w:footnote w:type="continuationSeparator" w:id="0">
    <w:p w14:paraId="767A4D35" w14:textId="77777777" w:rsidR="006D7785" w:rsidRDefault="006D7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2E44D" w14:textId="77777777" w:rsidR="00541071" w:rsidRDefault="00000000">
    <w:pPr>
      <w:jc w:val="right"/>
    </w:pPr>
    <w:r>
      <w:rPr>
        <w:rFonts w:ascii="Calibri" w:eastAsia="Calibri" w:hAnsi="Calibri" w:cs="Calibri"/>
        <w:i/>
        <w:iCs/>
        <w:color w:val="888888"/>
        <w:sz w:val="16"/>
        <w:szCs w:val="16"/>
      </w:rPr>
      <w:t>Risk Management Plan — Semaglutide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B7228"/>
    <w:multiLevelType w:val="hybridMultilevel"/>
    <w:tmpl w:val="CEC2736A"/>
    <w:lvl w:ilvl="0" w:tplc="077A39F8">
      <w:start w:val="1"/>
      <w:numFmt w:val="bullet"/>
      <w:lvlText w:val="●"/>
      <w:lvlJc w:val="left"/>
      <w:pPr>
        <w:ind w:left="720" w:hanging="360"/>
      </w:pPr>
    </w:lvl>
    <w:lvl w:ilvl="1" w:tplc="59989E36">
      <w:start w:val="1"/>
      <w:numFmt w:val="bullet"/>
      <w:lvlText w:val="○"/>
      <w:lvlJc w:val="left"/>
      <w:pPr>
        <w:ind w:left="1440" w:hanging="360"/>
      </w:pPr>
    </w:lvl>
    <w:lvl w:ilvl="2" w:tplc="E8C67E7A">
      <w:start w:val="1"/>
      <w:numFmt w:val="bullet"/>
      <w:lvlText w:val="■"/>
      <w:lvlJc w:val="left"/>
      <w:pPr>
        <w:ind w:left="2160" w:hanging="360"/>
      </w:pPr>
    </w:lvl>
    <w:lvl w:ilvl="3" w:tplc="991C5762">
      <w:start w:val="1"/>
      <w:numFmt w:val="bullet"/>
      <w:lvlText w:val="●"/>
      <w:lvlJc w:val="left"/>
      <w:pPr>
        <w:ind w:left="2880" w:hanging="360"/>
      </w:pPr>
    </w:lvl>
    <w:lvl w:ilvl="4" w:tplc="D0FCDA56">
      <w:start w:val="1"/>
      <w:numFmt w:val="bullet"/>
      <w:lvlText w:val="○"/>
      <w:lvlJc w:val="left"/>
      <w:pPr>
        <w:ind w:left="3600" w:hanging="360"/>
      </w:pPr>
    </w:lvl>
    <w:lvl w:ilvl="5" w:tplc="BC18973C">
      <w:start w:val="1"/>
      <w:numFmt w:val="bullet"/>
      <w:lvlText w:val="■"/>
      <w:lvlJc w:val="left"/>
      <w:pPr>
        <w:ind w:left="4320" w:hanging="360"/>
      </w:pPr>
    </w:lvl>
    <w:lvl w:ilvl="6" w:tplc="5B9CD888">
      <w:start w:val="1"/>
      <w:numFmt w:val="bullet"/>
      <w:lvlText w:val="●"/>
      <w:lvlJc w:val="left"/>
      <w:pPr>
        <w:ind w:left="5040" w:hanging="360"/>
      </w:pPr>
    </w:lvl>
    <w:lvl w:ilvl="7" w:tplc="9970CAE6">
      <w:start w:val="1"/>
      <w:numFmt w:val="bullet"/>
      <w:lvlText w:val="●"/>
      <w:lvlJc w:val="left"/>
      <w:pPr>
        <w:ind w:left="5760" w:hanging="360"/>
      </w:pPr>
    </w:lvl>
    <w:lvl w:ilvl="8" w:tplc="86AABE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B76B26"/>
    <w:multiLevelType w:val="hybridMultilevel"/>
    <w:tmpl w:val="D2FEFF88"/>
    <w:lvl w:ilvl="0" w:tplc="9CCA95FE">
      <w:start w:val="1"/>
      <w:numFmt w:val="bullet"/>
      <w:lvlText w:val="•"/>
      <w:lvlJc w:val="left"/>
      <w:pPr>
        <w:ind w:left="400" w:hanging="260"/>
      </w:pPr>
    </w:lvl>
    <w:lvl w:ilvl="1" w:tplc="C5D63B5A">
      <w:numFmt w:val="decimal"/>
      <w:lvlText w:val=""/>
      <w:lvlJc w:val="left"/>
    </w:lvl>
    <w:lvl w:ilvl="2" w:tplc="6F78AE2A">
      <w:numFmt w:val="decimal"/>
      <w:lvlText w:val=""/>
      <w:lvlJc w:val="left"/>
    </w:lvl>
    <w:lvl w:ilvl="3" w:tplc="14264DD8">
      <w:numFmt w:val="decimal"/>
      <w:lvlText w:val=""/>
      <w:lvlJc w:val="left"/>
    </w:lvl>
    <w:lvl w:ilvl="4" w:tplc="A6BADC5C">
      <w:numFmt w:val="decimal"/>
      <w:lvlText w:val=""/>
      <w:lvlJc w:val="left"/>
    </w:lvl>
    <w:lvl w:ilvl="5" w:tplc="3D74EED0">
      <w:numFmt w:val="decimal"/>
      <w:lvlText w:val=""/>
      <w:lvlJc w:val="left"/>
    </w:lvl>
    <w:lvl w:ilvl="6" w:tplc="5A1C3C9E">
      <w:numFmt w:val="decimal"/>
      <w:lvlText w:val=""/>
      <w:lvlJc w:val="left"/>
    </w:lvl>
    <w:lvl w:ilvl="7" w:tplc="FDE6000C">
      <w:numFmt w:val="decimal"/>
      <w:lvlText w:val=""/>
      <w:lvlJc w:val="left"/>
    </w:lvl>
    <w:lvl w:ilvl="8" w:tplc="2920255E">
      <w:numFmt w:val="decimal"/>
      <w:lvlText w:val=""/>
      <w:lvlJc w:val="left"/>
    </w:lvl>
  </w:abstractNum>
  <w:num w:numId="1" w16cid:durableId="777606980">
    <w:abstractNumId w:val="0"/>
    <w:lvlOverride w:ilvl="0">
      <w:startOverride w:val="1"/>
    </w:lvlOverride>
  </w:num>
  <w:num w:numId="2" w16cid:durableId="1706870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071"/>
    <w:rsid w:val="00541071"/>
    <w:rsid w:val="006A77C8"/>
    <w:rsid w:val="006D7785"/>
    <w:rsid w:val="00773534"/>
    <w:rsid w:val="008F0AA4"/>
    <w:rsid w:val="00AC6793"/>
    <w:rsid w:val="00D02476"/>
    <w:rsid w:val="00D7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1A20A"/>
  <w15:docId w15:val="{4ECD0335-91C3-441A-A039-9AEF45A1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1575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ZEEHAAN AKTAR</cp:lastModifiedBy>
  <cp:revision>3</cp:revision>
  <dcterms:created xsi:type="dcterms:W3CDTF">2026-09-11T18:35:00Z</dcterms:created>
  <dcterms:modified xsi:type="dcterms:W3CDTF">2026-09-16T10:41:00Z</dcterms:modified>
</cp:coreProperties>
</file>