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8947" w14:textId="77777777" w:rsidR="0013233F" w:rsidRDefault="00000000">
      <w:pPr>
        <w:spacing w:after="60"/>
        <w:jc w:val="center"/>
      </w:pPr>
      <w:r>
        <w:rPr>
          <w:rFonts w:ascii="Calibri" w:eastAsia="Calibri" w:hAnsi="Calibri" w:cs="Calibri"/>
          <w:b/>
          <w:bCs/>
          <w:color w:val="1F3864"/>
          <w:sz w:val="36"/>
          <w:szCs w:val="36"/>
        </w:rPr>
        <w:t>SIGNAL VALIDATION MEMO</w:t>
      </w:r>
    </w:p>
    <w:p w14:paraId="1C666567" w14:textId="77777777" w:rsidR="0013233F" w:rsidRDefault="00000000">
      <w:pPr>
        <w:spacing w:after="320"/>
        <w:jc w:val="center"/>
      </w:pPr>
      <w:r>
        <w:rPr>
          <w:rFonts w:ascii="Calibri" w:eastAsia="Calibri" w:hAnsi="Calibri" w:cs="Calibri"/>
          <w:i/>
          <w:iCs/>
          <w:color w:val="555555"/>
          <w:sz w:val="24"/>
          <w:szCs w:val="24"/>
        </w:rPr>
        <w:t>Semaglutide and Suicidal Ideation / Self-Injury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13233F" w14:paraId="461276D9"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F4CD685" w14:textId="77777777" w:rsidR="0013233F" w:rsidRDefault="00000000">
            <w:r>
              <w:rPr>
                <w:rFonts w:ascii="Calibri" w:eastAsia="Calibri" w:hAnsi="Calibri" w:cs="Calibri"/>
                <w:b/>
                <w:bCs/>
                <w:color w:val="000000"/>
              </w:rPr>
              <w:t>Drug of interest</w:t>
            </w:r>
          </w:p>
        </w:tc>
        <w:tc>
          <w:tcPr>
            <w:tcW w:w="6750" w:type="dxa"/>
            <w:tcMar>
              <w:top w:w="80" w:type="dxa"/>
              <w:left w:w="100" w:type="dxa"/>
              <w:bottom w:w="80" w:type="dxa"/>
              <w:right w:w="100" w:type="dxa"/>
            </w:tcMar>
            <w:vAlign w:val="center"/>
          </w:tcPr>
          <w:p w14:paraId="61CE6556" w14:textId="77777777" w:rsidR="0013233F" w:rsidRDefault="00000000">
            <w:r>
              <w:rPr>
                <w:rFonts w:ascii="Calibri" w:eastAsia="Calibri" w:hAnsi="Calibri" w:cs="Calibri"/>
                <w:color w:val="000000"/>
              </w:rPr>
              <w:t>Semaglutide (Ozempic / Wegovy / Rybelsus) — GLP-1 receptor agonist</w:t>
            </w:r>
          </w:p>
        </w:tc>
      </w:tr>
      <w:tr w:rsidR="0013233F" w14:paraId="53B971BC"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4D663E2B" w14:textId="77777777" w:rsidR="0013233F" w:rsidRDefault="00000000">
            <w:r>
              <w:rPr>
                <w:rFonts w:ascii="Calibri" w:eastAsia="Calibri" w:hAnsi="Calibri" w:cs="Calibri"/>
                <w:b/>
                <w:bCs/>
                <w:color w:val="000000"/>
              </w:rPr>
              <w:t>Safety issue</w:t>
            </w:r>
          </w:p>
        </w:tc>
        <w:tc>
          <w:tcPr>
            <w:tcW w:w="6750" w:type="dxa"/>
            <w:tcMar>
              <w:top w:w="80" w:type="dxa"/>
              <w:left w:w="100" w:type="dxa"/>
              <w:bottom w:w="80" w:type="dxa"/>
              <w:right w:w="100" w:type="dxa"/>
            </w:tcMar>
            <w:vAlign w:val="center"/>
          </w:tcPr>
          <w:p w14:paraId="666BE191" w14:textId="77777777" w:rsidR="0013233F" w:rsidRDefault="00000000">
            <w:r>
              <w:rPr>
                <w:rFonts w:ascii="Calibri" w:eastAsia="Calibri" w:hAnsi="Calibri" w:cs="Calibri"/>
                <w:color w:val="000000"/>
              </w:rPr>
              <w:t>Suicidal ideation, suicide attempt, and completed suicide — spontaneous adverse event reports</w:t>
            </w:r>
          </w:p>
        </w:tc>
      </w:tr>
      <w:tr w:rsidR="0013233F" w14:paraId="2A75AA5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0C4D0F05" w14:textId="77777777" w:rsidR="0013233F" w:rsidRDefault="00000000">
            <w:r>
              <w:rPr>
                <w:rFonts w:ascii="Calibri" w:eastAsia="Calibri" w:hAnsi="Calibri" w:cs="Calibri"/>
                <w:b/>
                <w:bCs/>
                <w:color w:val="000000"/>
              </w:rPr>
              <w:t>Memo type</w:t>
            </w:r>
          </w:p>
        </w:tc>
        <w:tc>
          <w:tcPr>
            <w:tcW w:w="6750" w:type="dxa"/>
            <w:tcMar>
              <w:top w:w="80" w:type="dxa"/>
              <w:left w:w="100" w:type="dxa"/>
              <w:bottom w:w="80" w:type="dxa"/>
              <w:right w:w="100" w:type="dxa"/>
            </w:tcMar>
            <w:vAlign w:val="center"/>
          </w:tcPr>
          <w:p w14:paraId="0345DE81" w14:textId="77777777" w:rsidR="0013233F" w:rsidRDefault="00000000">
            <w:r>
              <w:rPr>
                <w:rFonts w:ascii="Calibri" w:eastAsia="Calibri" w:hAnsi="Calibri" w:cs="Calibri"/>
                <w:color w:val="000000"/>
              </w:rPr>
              <w:t>Signal Validation Memo (CIOMS Working Group VIII framework)</w:t>
            </w:r>
          </w:p>
        </w:tc>
      </w:tr>
      <w:tr w:rsidR="0013233F" w14:paraId="350878ED"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7F15B821" w14:textId="77777777" w:rsidR="0013233F" w:rsidRDefault="00000000">
            <w:r>
              <w:rPr>
                <w:rFonts w:ascii="Calibri" w:eastAsia="Calibri" w:hAnsi="Calibri" w:cs="Calibri"/>
                <w:b/>
                <w:bCs/>
                <w:color w:val="000000"/>
              </w:rPr>
              <w:t>Prepared by</w:t>
            </w:r>
          </w:p>
        </w:tc>
        <w:tc>
          <w:tcPr>
            <w:tcW w:w="6750" w:type="dxa"/>
            <w:tcMar>
              <w:top w:w="80" w:type="dxa"/>
              <w:left w:w="100" w:type="dxa"/>
              <w:bottom w:w="80" w:type="dxa"/>
              <w:right w:w="100" w:type="dxa"/>
            </w:tcMar>
            <w:vAlign w:val="center"/>
          </w:tcPr>
          <w:p w14:paraId="7F45D4FA" w14:textId="5F43B29B" w:rsidR="0013233F" w:rsidRDefault="00EF62CC">
            <w:r>
              <w:t xml:space="preserve">Munshi </w:t>
            </w:r>
            <w:proofErr w:type="spellStart"/>
            <w:r>
              <w:t>Zeehaan</w:t>
            </w:r>
            <w:proofErr w:type="spellEnd"/>
            <w:r>
              <w:t xml:space="preserve"> Aktar</w:t>
            </w:r>
          </w:p>
        </w:tc>
      </w:tr>
      <w:tr w:rsidR="0013233F" w14:paraId="3F53F6EE"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113EA8D" w14:textId="77777777" w:rsidR="0013233F" w:rsidRDefault="00000000">
            <w:r>
              <w:rPr>
                <w:rFonts w:ascii="Calibri" w:eastAsia="Calibri" w:hAnsi="Calibri" w:cs="Calibri"/>
                <w:b/>
                <w:bCs/>
                <w:color w:val="000000"/>
              </w:rPr>
              <w:t>Date</w:t>
            </w:r>
          </w:p>
        </w:tc>
        <w:tc>
          <w:tcPr>
            <w:tcW w:w="6750" w:type="dxa"/>
            <w:tcMar>
              <w:top w:w="80" w:type="dxa"/>
              <w:left w:w="100" w:type="dxa"/>
              <w:bottom w:w="80" w:type="dxa"/>
              <w:right w:w="100" w:type="dxa"/>
            </w:tcMar>
            <w:vAlign w:val="center"/>
          </w:tcPr>
          <w:p w14:paraId="1419DD85" w14:textId="09A1FBD4" w:rsidR="0013233F" w:rsidRDefault="00EF62CC">
            <w:r w:rsidRPr="00EF62CC">
              <w:rPr>
                <w:rFonts w:ascii="Calibri" w:eastAsia="Calibri" w:hAnsi="Calibri" w:cs="Calibri"/>
                <w:color w:val="000000"/>
              </w:rPr>
              <w:t>06 / 09 / 2026</w:t>
            </w:r>
          </w:p>
        </w:tc>
      </w:tr>
      <w:tr w:rsidR="0013233F" w14:paraId="41DB2A6A"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1334EA78" w14:textId="77777777" w:rsidR="0013233F" w:rsidRDefault="00000000">
            <w:r>
              <w:rPr>
                <w:rFonts w:ascii="Calibri" w:eastAsia="Calibri" w:hAnsi="Calibri" w:cs="Calibri"/>
                <w:b/>
                <w:bCs/>
                <w:color w:val="000000"/>
              </w:rPr>
              <w:t>Status</w:t>
            </w:r>
          </w:p>
        </w:tc>
        <w:tc>
          <w:tcPr>
            <w:tcW w:w="6750" w:type="dxa"/>
            <w:tcMar>
              <w:top w:w="80" w:type="dxa"/>
              <w:left w:w="100" w:type="dxa"/>
              <w:bottom w:w="80" w:type="dxa"/>
              <w:right w:w="100" w:type="dxa"/>
            </w:tcMar>
            <w:vAlign w:val="center"/>
          </w:tcPr>
          <w:p w14:paraId="7013C78C" w14:textId="77777777" w:rsidR="0013233F" w:rsidRDefault="00000000">
            <w:r>
              <w:rPr>
                <w:rFonts w:ascii="Calibri" w:eastAsia="Calibri" w:hAnsi="Calibri" w:cs="Calibri"/>
                <w:color w:val="000000"/>
              </w:rPr>
              <w:t>COMPLETE — all sections finalized, ready for review</w:t>
            </w:r>
          </w:p>
        </w:tc>
      </w:tr>
    </w:tbl>
    <w:p w14:paraId="0FF6F55C"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1. Signal Statement</w:t>
      </w:r>
    </w:p>
    <w:p w14:paraId="102F7D87" w14:textId="77777777" w:rsidR="0013233F" w:rsidRDefault="00000000">
      <w:pPr>
        <w:spacing w:after="160" w:line="276" w:lineRule="auto"/>
      </w:pPr>
      <w:r>
        <w:rPr>
          <w:rFonts w:ascii="Calibri" w:eastAsia="Calibri" w:hAnsi="Calibri" w:cs="Calibri"/>
          <w:sz w:val="22"/>
          <w:szCs w:val="22"/>
        </w:rPr>
        <w:t xml:space="preserve">Disproportionate reporting of suicidal ideation, suicide attempt, and completed suicide has been observed for semaglutide in spontaneous adverse event report databases (FDA FAERS and WHO </w:t>
      </w:r>
      <w:proofErr w:type="spellStart"/>
      <w:r>
        <w:rPr>
          <w:rFonts w:ascii="Calibri" w:eastAsia="Calibri" w:hAnsi="Calibri" w:cs="Calibri"/>
          <w:sz w:val="22"/>
          <w:szCs w:val="22"/>
        </w:rPr>
        <w:t>VigiBase</w:t>
      </w:r>
      <w:proofErr w:type="spellEnd"/>
      <w:r>
        <w:rPr>
          <w:rFonts w:ascii="Calibri" w:eastAsia="Calibri" w:hAnsi="Calibri" w:cs="Calibri"/>
          <w:sz w:val="22"/>
          <w:szCs w:val="22"/>
        </w:rPr>
        <w:t>). This memo evaluates whether these disproportionality findings constitute a validated safety signal warranting further regulatory or risk-management action, following the CIOMS Working Group VIII signal validation framework.</w:t>
      </w:r>
    </w:p>
    <w:p w14:paraId="08EF52E0"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2. Case Count and Statistical Summary</w:t>
      </w:r>
    </w:p>
    <w:p w14:paraId="604B2301" w14:textId="77777777" w:rsidR="0013233F" w:rsidRDefault="00000000">
      <w:pPr>
        <w:spacing w:after="160" w:line="276" w:lineRule="auto"/>
      </w:pPr>
      <w:r>
        <w:rPr>
          <w:rFonts w:ascii="Calibri" w:eastAsia="Calibri" w:hAnsi="Calibri" w:cs="Calibri"/>
          <w:sz w:val="22"/>
          <w:szCs w:val="22"/>
        </w:rPr>
        <w:t>The table below summarizes disproportionality analysis results for semaglutide across the MedDRA Preferred Terms comprising the Standardised MedDRA Query (SMQ) "Suicide/Self-Injury." Full calculation detail (2×2 contingency tables, PRR, ROR, chi-square) is provided in the accompanying Phase 1 signal detection worksheet.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000"/>
        <w:gridCol w:w="1600"/>
        <w:gridCol w:w="2150"/>
      </w:tblGrid>
      <w:tr w:rsidR="0013233F" w14:paraId="5348851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D8AD014" w14:textId="77777777" w:rsidR="0013233F" w:rsidRDefault="00000000">
            <w:pPr>
              <w:jc w:val="center"/>
            </w:pPr>
            <w:r>
              <w:rPr>
                <w:rFonts w:ascii="Calibri" w:eastAsia="Calibri" w:hAnsi="Calibri" w:cs="Calibri"/>
                <w:b/>
                <w:bCs/>
                <w:color w:val="FFFFFF"/>
              </w:rPr>
              <w:t>MedDRA Term</w:t>
            </w:r>
          </w:p>
        </w:tc>
        <w:tc>
          <w:tcPr>
            <w:tcW w:w="1200" w:type="dxa"/>
            <w:shd w:val="clear" w:color="auto" w:fill="1F3864"/>
            <w:tcMar>
              <w:top w:w="80" w:type="dxa"/>
              <w:left w:w="100" w:type="dxa"/>
              <w:bottom w:w="80" w:type="dxa"/>
              <w:right w:w="100" w:type="dxa"/>
            </w:tcMar>
            <w:vAlign w:val="center"/>
          </w:tcPr>
          <w:p w14:paraId="115D6CA1" w14:textId="77777777" w:rsidR="0013233F" w:rsidRDefault="00000000">
            <w:pPr>
              <w:jc w:val="center"/>
            </w:pPr>
            <w:r>
              <w:rPr>
                <w:rFonts w:ascii="Calibri" w:eastAsia="Calibri" w:hAnsi="Calibri" w:cs="Calibri"/>
                <w:b/>
                <w:bCs/>
                <w:color w:val="FFFFFF"/>
              </w:rPr>
              <w:t>a (cases)</w:t>
            </w:r>
          </w:p>
        </w:tc>
        <w:tc>
          <w:tcPr>
            <w:tcW w:w="2000" w:type="dxa"/>
            <w:shd w:val="clear" w:color="auto" w:fill="1F3864"/>
            <w:tcMar>
              <w:top w:w="80" w:type="dxa"/>
              <w:left w:w="100" w:type="dxa"/>
              <w:bottom w:w="80" w:type="dxa"/>
              <w:right w:w="100" w:type="dxa"/>
            </w:tcMar>
            <w:vAlign w:val="center"/>
          </w:tcPr>
          <w:p w14:paraId="481D1C67" w14:textId="77777777" w:rsidR="0013233F" w:rsidRDefault="00000000">
            <w:pPr>
              <w:jc w:val="center"/>
            </w:pPr>
            <w:r>
              <w:rPr>
                <w:rFonts w:ascii="Calibri" w:eastAsia="Calibri" w:hAnsi="Calibri" w:cs="Calibri"/>
                <w:b/>
                <w:bCs/>
                <w:color w:val="FFFFFF"/>
              </w:rPr>
              <w:t>ROR (95% CI)</w:t>
            </w:r>
          </w:p>
        </w:tc>
        <w:tc>
          <w:tcPr>
            <w:tcW w:w="1600" w:type="dxa"/>
            <w:shd w:val="clear" w:color="auto" w:fill="1F3864"/>
            <w:tcMar>
              <w:top w:w="80" w:type="dxa"/>
              <w:left w:w="100" w:type="dxa"/>
              <w:bottom w:w="80" w:type="dxa"/>
              <w:right w:w="100" w:type="dxa"/>
            </w:tcMar>
            <w:vAlign w:val="center"/>
          </w:tcPr>
          <w:p w14:paraId="1FD772F0" w14:textId="77777777" w:rsidR="0013233F" w:rsidRDefault="00000000">
            <w:pPr>
              <w:jc w:val="center"/>
            </w:pPr>
            <w:r>
              <w:rPr>
                <w:rFonts w:ascii="Calibri" w:eastAsia="Calibri" w:hAnsi="Calibri" w:cs="Calibri"/>
                <w:b/>
                <w:bCs/>
                <w:color w:val="FFFFFF"/>
              </w:rPr>
              <w:t>Signal? (ROR method)</w:t>
            </w:r>
          </w:p>
        </w:tc>
        <w:tc>
          <w:tcPr>
            <w:tcW w:w="2150" w:type="dxa"/>
            <w:shd w:val="clear" w:color="auto" w:fill="1F3864"/>
            <w:tcMar>
              <w:top w:w="80" w:type="dxa"/>
              <w:left w:w="100" w:type="dxa"/>
              <w:bottom w:w="80" w:type="dxa"/>
              <w:right w:w="100" w:type="dxa"/>
            </w:tcMar>
            <w:vAlign w:val="center"/>
          </w:tcPr>
          <w:p w14:paraId="27611AA9" w14:textId="77777777" w:rsidR="0013233F" w:rsidRDefault="00000000">
            <w:pPr>
              <w:jc w:val="center"/>
            </w:pPr>
            <w:r>
              <w:rPr>
                <w:rFonts w:ascii="Calibri" w:eastAsia="Calibri" w:hAnsi="Calibri" w:cs="Calibri"/>
                <w:b/>
                <w:bCs/>
                <w:color w:val="FFFFFF"/>
              </w:rPr>
              <w:t>Source</w:t>
            </w:r>
          </w:p>
        </w:tc>
      </w:tr>
      <w:tr w:rsidR="0013233F" w14:paraId="7C73C93D" w14:textId="77777777">
        <w:tblPrEx>
          <w:tblCellMar>
            <w:top w:w="0" w:type="dxa"/>
            <w:bottom w:w="0" w:type="dxa"/>
          </w:tblCellMar>
        </w:tblPrEx>
        <w:tc>
          <w:tcPr>
            <w:tcW w:w="2400" w:type="dxa"/>
            <w:tcMar>
              <w:top w:w="80" w:type="dxa"/>
              <w:left w:w="100" w:type="dxa"/>
              <w:bottom w:w="80" w:type="dxa"/>
              <w:right w:w="100" w:type="dxa"/>
            </w:tcMar>
            <w:vAlign w:val="center"/>
          </w:tcPr>
          <w:p w14:paraId="20265F9B" w14:textId="77777777" w:rsidR="0013233F" w:rsidRDefault="00000000">
            <w:r>
              <w:rPr>
                <w:rFonts w:ascii="Calibri" w:eastAsia="Calibri" w:hAnsi="Calibri" w:cs="Calibri"/>
                <w:color w:val="000000"/>
              </w:rPr>
              <w:t>Suicidal ideation</w:t>
            </w:r>
          </w:p>
        </w:tc>
        <w:tc>
          <w:tcPr>
            <w:tcW w:w="1200" w:type="dxa"/>
            <w:tcMar>
              <w:top w:w="80" w:type="dxa"/>
              <w:left w:w="100" w:type="dxa"/>
              <w:bottom w:w="80" w:type="dxa"/>
              <w:right w:w="100" w:type="dxa"/>
            </w:tcMar>
            <w:vAlign w:val="center"/>
          </w:tcPr>
          <w:p w14:paraId="7B2E8323" w14:textId="77777777" w:rsidR="0013233F" w:rsidRDefault="00000000">
            <w:pPr>
              <w:jc w:val="center"/>
            </w:pPr>
            <w:r>
              <w:rPr>
                <w:rFonts w:ascii="Calibri" w:eastAsia="Calibri" w:hAnsi="Calibri" w:cs="Calibri"/>
                <w:color w:val="000000"/>
              </w:rPr>
              <w:t>44</w:t>
            </w:r>
          </w:p>
        </w:tc>
        <w:tc>
          <w:tcPr>
            <w:tcW w:w="2000" w:type="dxa"/>
            <w:tcMar>
              <w:top w:w="80" w:type="dxa"/>
              <w:left w:w="100" w:type="dxa"/>
              <w:bottom w:w="80" w:type="dxa"/>
              <w:right w:w="100" w:type="dxa"/>
            </w:tcMar>
            <w:vAlign w:val="center"/>
          </w:tcPr>
          <w:p w14:paraId="4269E102" w14:textId="77777777" w:rsidR="0013233F" w:rsidRDefault="00000000">
            <w:pPr>
              <w:jc w:val="center"/>
            </w:pPr>
            <w:r>
              <w:rPr>
                <w:rFonts w:ascii="Calibri" w:eastAsia="Calibri" w:hAnsi="Calibri" w:cs="Calibri"/>
                <w:color w:val="000000"/>
              </w:rPr>
              <w:t>1.39 (0.99–1.96)</w:t>
            </w:r>
          </w:p>
        </w:tc>
        <w:tc>
          <w:tcPr>
            <w:tcW w:w="1600" w:type="dxa"/>
            <w:tcMar>
              <w:top w:w="80" w:type="dxa"/>
              <w:left w:w="100" w:type="dxa"/>
              <w:bottom w:w="80" w:type="dxa"/>
              <w:right w:w="100" w:type="dxa"/>
            </w:tcMar>
            <w:vAlign w:val="center"/>
          </w:tcPr>
          <w:p w14:paraId="72E9D6FA" w14:textId="77777777" w:rsidR="0013233F" w:rsidRDefault="00000000">
            <w:pPr>
              <w:jc w:val="center"/>
            </w:pPr>
            <w:r>
              <w:rPr>
                <w:rFonts w:ascii="Calibri" w:eastAsia="Calibri" w:hAnsi="Calibri" w:cs="Calibri"/>
                <w:color w:val="000000"/>
              </w:rPr>
              <w:t>No (CI touches 1)</w:t>
            </w:r>
          </w:p>
        </w:tc>
        <w:tc>
          <w:tcPr>
            <w:tcW w:w="2150" w:type="dxa"/>
            <w:tcMar>
              <w:top w:w="80" w:type="dxa"/>
              <w:left w:w="100" w:type="dxa"/>
              <w:bottom w:w="80" w:type="dxa"/>
              <w:right w:w="100" w:type="dxa"/>
            </w:tcMar>
            <w:vAlign w:val="center"/>
          </w:tcPr>
          <w:p w14:paraId="0FE91914" w14:textId="77777777" w:rsidR="0013233F" w:rsidRDefault="00000000">
            <w:pPr>
              <w:jc w:val="center"/>
            </w:pPr>
            <w:r>
              <w:rPr>
                <w:rFonts w:ascii="Calibri" w:eastAsia="Calibri" w:hAnsi="Calibri" w:cs="Calibri"/>
                <w:color w:val="000000"/>
              </w:rPr>
              <w:t>FAERS — Chukwuma et al., 2025–26</w:t>
            </w:r>
          </w:p>
        </w:tc>
      </w:tr>
      <w:tr w:rsidR="0013233F" w14:paraId="2617E4E7" w14:textId="77777777">
        <w:tblPrEx>
          <w:tblCellMar>
            <w:top w:w="0" w:type="dxa"/>
            <w:bottom w:w="0" w:type="dxa"/>
          </w:tblCellMar>
        </w:tblPrEx>
        <w:tc>
          <w:tcPr>
            <w:tcW w:w="2400" w:type="dxa"/>
            <w:tcMar>
              <w:top w:w="80" w:type="dxa"/>
              <w:left w:w="100" w:type="dxa"/>
              <w:bottom w:w="80" w:type="dxa"/>
              <w:right w:w="100" w:type="dxa"/>
            </w:tcMar>
            <w:vAlign w:val="center"/>
          </w:tcPr>
          <w:p w14:paraId="00FC131D" w14:textId="77777777" w:rsidR="0013233F" w:rsidRDefault="00000000">
            <w:r>
              <w:rPr>
                <w:rFonts w:ascii="Calibri" w:eastAsia="Calibri" w:hAnsi="Calibri" w:cs="Calibri"/>
                <w:color w:val="000000"/>
              </w:rPr>
              <w:t>Suicide attempt</w:t>
            </w:r>
          </w:p>
        </w:tc>
        <w:tc>
          <w:tcPr>
            <w:tcW w:w="1200" w:type="dxa"/>
            <w:tcMar>
              <w:top w:w="80" w:type="dxa"/>
              <w:left w:w="100" w:type="dxa"/>
              <w:bottom w:w="80" w:type="dxa"/>
              <w:right w:w="100" w:type="dxa"/>
            </w:tcMar>
            <w:vAlign w:val="center"/>
          </w:tcPr>
          <w:p w14:paraId="6175ED04" w14:textId="77777777" w:rsidR="0013233F" w:rsidRDefault="00000000">
            <w:pPr>
              <w:jc w:val="center"/>
            </w:pPr>
            <w:r>
              <w:rPr>
                <w:rFonts w:ascii="Calibri" w:eastAsia="Calibri" w:hAnsi="Calibri" w:cs="Calibri"/>
                <w:color w:val="000000"/>
              </w:rPr>
              <w:t>4</w:t>
            </w:r>
          </w:p>
        </w:tc>
        <w:tc>
          <w:tcPr>
            <w:tcW w:w="2000" w:type="dxa"/>
            <w:tcMar>
              <w:top w:w="80" w:type="dxa"/>
              <w:left w:w="100" w:type="dxa"/>
              <w:bottom w:w="80" w:type="dxa"/>
              <w:right w:w="100" w:type="dxa"/>
            </w:tcMar>
            <w:vAlign w:val="center"/>
          </w:tcPr>
          <w:p w14:paraId="0412961D" w14:textId="77777777" w:rsidR="0013233F" w:rsidRDefault="00000000">
            <w:pPr>
              <w:jc w:val="center"/>
            </w:pPr>
            <w:r>
              <w:rPr>
                <w:rFonts w:ascii="Calibri" w:eastAsia="Calibri" w:hAnsi="Calibri" w:cs="Calibri"/>
                <w:color w:val="000000"/>
              </w:rPr>
              <w:t>1.39 (0.45–4.30)</w:t>
            </w:r>
          </w:p>
        </w:tc>
        <w:tc>
          <w:tcPr>
            <w:tcW w:w="1600" w:type="dxa"/>
            <w:tcMar>
              <w:top w:w="80" w:type="dxa"/>
              <w:left w:w="100" w:type="dxa"/>
              <w:bottom w:w="80" w:type="dxa"/>
              <w:right w:w="100" w:type="dxa"/>
            </w:tcMar>
            <w:vAlign w:val="center"/>
          </w:tcPr>
          <w:p w14:paraId="58158570" w14:textId="77777777" w:rsidR="0013233F" w:rsidRDefault="00000000">
            <w:pPr>
              <w:jc w:val="center"/>
            </w:pPr>
            <w:r>
              <w:rPr>
                <w:rFonts w:ascii="Calibri" w:eastAsia="Calibri" w:hAnsi="Calibri" w:cs="Calibri"/>
                <w:color w:val="000000"/>
              </w:rPr>
              <w:t>No</w:t>
            </w:r>
          </w:p>
        </w:tc>
        <w:tc>
          <w:tcPr>
            <w:tcW w:w="2150" w:type="dxa"/>
            <w:tcMar>
              <w:top w:w="80" w:type="dxa"/>
              <w:left w:w="100" w:type="dxa"/>
              <w:bottom w:w="80" w:type="dxa"/>
              <w:right w:w="100" w:type="dxa"/>
            </w:tcMar>
            <w:vAlign w:val="center"/>
          </w:tcPr>
          <w:p w14:paraId="4CAD0EA6" w14:textId="77777777" w:rsidR="0013233F" w:rsidRDefault="00000000">
            <w:pPr>
              <w:jc w:val="center"/>
            </w:pPr>
            <w:r>
              <w:rPr>
                <w:rFonts w:ascii="Calibri" w:eastAsia="Calibri" w:hAnsi="Calibri" w:cs="Calibri"/>
                <w:color w:val="000000"/>
              </w:rPr>
              <w:t>FAERS — Chukwuma et al., 2025–26</w:t>
            </w:r>
          </w:p>
        </w:tc>
      </w:tr>
      <w:tr w:rsidR="0013233F" w14:paraId="1089F70D" w14:textId="77777777">
        <w:tblPrEx>
          <w:tblCellMar>
            <w:top w:w="0" w:type="dxa"/>
            <w:bottom w:w="0" w:type="dxa"/>
          </w:tblCellMar>
        </w:tblPrEx>
        <w:tc>
          <w:tcPr>
            <w:tcW w:w="2400" w:type="dxa"/>
            <w:tcMar>
              <w:top w:w="80" w:type="dxa"/>
              <w:left w:w="100" w:type="dxa"/>
              <w:bottom w:w="80" w:type="dxa"/>
              <w:right w:w="100" w:type="dxa"/>
            </w:tcMar>
            <w:vAlign w:val="center"/>
          </w:tcPr>
          <w:p w14:paraId="7DB52949" w14:textId="77777777" w:rsidR="0013233F" w:rsidRDefault="00000000">
            <w:r>
              <w:rPr>
                <w:rFonts w:ascii="Calibri" w:eastAsia="Calibri" w:hAnsi="Calibri" w:cs="Calibri"/>
                <w:color w:val="000000"/>
              </w:rPr>
              <w:t>Completed suicide</w:t>
            </w:r>
          </w:p>
        </w:tc>
        <w:tc>
          <w:tcPr>
            <w:tcW w:w="1200" w:type="dxa"/>
            <w:tcMar>
              <w:top w:w="80" w:type="dxa"/>
              <w:left w:w="100" w:type="dxa"/>
              <w:bottom w:w="80" w:type="dxa"/>
              <w:right w:w="100" w:type="dxa"/>
            </w:tcMar>
            <w:vAlign w:val="center"/>
          </w:tcPr>
          <w:p w14:paraId="29FDDEA4" w14:textId="77777777" w:rsidR="0013233F" w:rsidRDefault="00000000">
            <w:pPr>
              <w:jc w:val="center"/>
            </w:pPr>
            <w:r>
              <w:rPr>
                <w:rFonts w:ascii="Calibri" w:eastAsia="Calibri" w:hAnsi="Calibri" w:cs="Calibri"/>
                <w:color w:val="000000"/>
              </w:rPr>
              <w:t>5</w:t>
            </w:r>
          </w:p>
        </w:tc>
        <w:tc>
          <w:tcPr>
            <w:tcW w:w="2000" w:type="dxa"/>
            <w:tcMar>
              <w:top w:w="80" w:type="dxa"/>
              <w:left w:w="100" w:type="dxa"/>
              <w:bottom w:w="80" w:type="dxa"/>
              <w:right w:w="100" w:type="dxa"/>
            </w:tcMar>
            <w:vAlign w:val="center"/>
          </w:tcPr>
          <w:p w14:paraId="0B52FCA4" w14:textId="77777777" w:rsidR="0013233F" w:rsidRDefault="00000000">
            <w:pPr>
              <w:jc w:val="center"/>
            </w:pPr>
            <w:r>
              <w:rPr>
                <w:rFonts w:ascii="Calibri" w:eastAsia="Calibri" w:hAnsi="Calibri" w:cs="Calibri"/>
                <w:color w:val="000000"/>
              </w:rPr>
              <w:t>1.73 (0.61–4.93)</w:t>
            </w:r>
          </w:p>
        </w:tc>
        <w:tc>
          <w:tcPr>
            <w:tcW w:w="1600" w:type="dxa"/>
            <w:tcMar>
              <w:top w:w="80" w:type="dxa"/>
              <w:left w:w="100" w:type="dxa"/>
              <w:bottom w:w="80" w:type="dxa"/>
              <w:right w:w="100" w:type="dxa"/>
            </w:tcMar>
            <w:vAlign w:val="center"/>
          </w:tcPr>
          <w:p w14:paraId="09B2E8DD" w14:textId="77777777" w:rsidR="0013233F" w:rsidRDefault="00000000">
            <w:pPr>
              <w:jc w:val="center"/>
            </w:pPr>
            <w:r>
              <w:rPr>
                <w:rFonts w:ascii="Calibri" w:eastAsia="Calibri" w:hAnsi="Calibri" w:cs="Calibri"/>
                <w:color w:val="000000"/>
              </w:rPr>
              <w:t>No</w:t>
            </w:r>
          </w:p>
        </w:tc>
        <w:tc>
          <w:tcPr>
            <w:tcW w:w="2150" w:type="dxa"/>
            <w:tcMar>
              <w:top w:w="80" w:type="dxa"/>
              <w:left w:w="100" w:type="dxa"/>
              <w:bottom w:w="80" w:type="dxa"/>
              <w:right w:w="100" w:type="dxa"/>
            </w:tcMar>
            <w:vAlign w:val="center"/>
          </w:tcPr>
          <w:p w14:paraId="2F9C0C20" w14:textId="77777777" w:rsidR="0013233F" w:rsidRDefault="00000000">
            <w:pPr>
              <w:jc w:val="center"/>
            </w:pPr>
            <w:r>
              <w:rPr>
                <w:rFonts w:ascii="Calibri" w:eastAsia="Calibri" w:hAnsi="Calibri" w:cs="Calibri"/>
                <w:color w:val="000000"/>
              </w:rPr>
              <w:t>FAERS — Chukwuma et al., 2025–26</w:t>
            </w:r>
          </w:p>
        </w:tc>
      </w:tr>
      <w:tr w:rsidR="0013233F" w14:paraId="2D0C8766" w14:textId="77777777">
        <w:tblPrEx>
          <w:tblCellMar>
            <w:top w:w="0" w:type="dxa"/>
            <w:bottom w:w="0" w:type="dxa"/>
          </w:tblCellMar>
        </w:tblPrEx>
        <w:tc>
          <w:tcPr>
            <w:tcW w:w="2400" w:type="dxa"/>
            <w:tcMar>
              <w:top w:w="80" w:type="dxa"/>
              <w:left w:w="100" w:type="dxa"/>
              <w:bottom w:w="80" w:type="dxa"/>
              <w:right w:w="100" w:type="dxa"/>
            </w:tcMar>
            <w:vAlign w:val="center"/>
          </w:tcPr>
          <w:p w14:paraId="17D775E2" w14:textId="77777777" w:rsidR="0013233F" w:rsidRDefault="00000000">
            <w:r>
              <w:rPr>
                <w:rFonts w:ascii="Calibri" w:eastAsia="Calibri" w:hAnsi="Calibri" w:cs="Calibri"/>
                <w:color w:val="000000"/>
              </w:rPr>
              <w:t>Intentional self-injury</w:t>
            </w:r>
          </w:p>
        </w:tc>
        <w:tc>
          <w:tcPr>
            <w:tcW w:w="1200" w:type="dxa"/>
            <w:tcMar>
              <w:top w:w="80" w:type="dxa"/>
              <w:left w:w="100" w:type="dxa"/>
              <w:bottom w:w="80" w:type="dxa"/>
              <w:right w:w="100" w:type="dxa"/>
            </w:tcMar>
            <w:vAlign w:val="center"/>
          </w:tcPr>
          <w:p w14:paraId="3FD20F81" w14:textId="77777777" w:rsidR="0013233F" w:rsidRDefault="00000000">
            <w:pPr>
              <w:jc w:val="center"/>
            </w:pPr>
            <w:r>
              <w:rPr>
                <w:rFonts w:ascii="Calibri" w:eastAsia="Calibri" w:hAnsi="Calibri" w:cs="Calibri"/>
                <w:color w:val="000000"/>
              </w:rPr>
              <w:t>—</w:t>
            </w:r>
          </w:p>
        </w:tc>
        <w:tc>
          <w:tcPr>
            <w:tcW w:w="2000" w:type="dxa"/>
            <w:tcMar>
              <w:top w:w="80" w:type="dxa"/>
              <w:left w:w="100" w:type="dxa"/>
              <w:bottom w:w="80" w:type="dxa"/>
              <w:right w:w="100" w:type="dxa"/>
            </w:tcMar>
            <w:vAlign w:val="center"/>
          </w:tcPr>
          <w:p w14:paraId="78A9AEBD" w14:textId="77777777" w:rsidR="0013233F" w:rsidRDefault="00000000">
            <w:pPr>
              <w:jc w:val="center"/>
            </w:pPr>
            <w:r>
              <w:rPr>
                <w:rFonts w:ascii="Calibri" w:eastAsia="Calibri" w:hAnsi="Calibri" w:cs="Calibri"/>
                <w:color w:val="000000"/>
              </w:rPr>
              <w:t>No data available</w:t>
            </w:r>
          </w:p>
        </w:tc>
        <w:tc>
          <w:tcPr>
            <w:tcW w:w="1600" w:type="dxa"/>
            <w:tcMar>
              <w:top w:w="80" w:type="dxa"/>
              <w:left w:w="100" w:type="dxa"/>
              <w:bottom w:w="80" w:type="dxa"/>
              <w:right w:w="100" w:type="dxa"/>
            </w:tcMar>
            <w:vAlign w:val="center"/>
          </w:tcPr>
          <w:p w14:paraId="20A17190" w14:textId="77777777" w:rsidR="0013233F" w:rsidRDefault="00000000">
            <w:pPr>
              <w:jc w:val="center"/>
            </w:pPr>
            <w:r>
              <w:rPr>
                <w:rFonts w:ascii="Calibri" w:eastAsia="Calibri" w:hAnsi="Calibri" w:cs="Calibri"/>
                <w:color w:val="000000"/>
              </w:rPr>
              <w:t>—</w:t>
            </w:r>
          </w:p>
        </w:tc>
        <w:tc>
          <w:tcPr>
            <w:tcW w:w="2150" w:type="dxa"/>
            <w:tcMar>
              <w:top w:w="80" w:type="dxa"/>
              <w:left w:w="100" w:type="dxa"/>
              <w:bottom w:w="80" w:type="dxa"/>
              <w:right w:w="100" w:type="dxa"/>
            </w:tcMar>
            <w:vAlign w:val="center"/>
          </w:tcPr>
          <w:p w14:paraId="6C8E602D" w14:textId="77777777" w:rsidR="0013233F" w:rsidRDefault="00000000">
            <w:pPr>
              <w:jc w:val="center"/>
            </w:pPr>
            <w:r>
              <w:rPr>
                <w:rFonts w:ascii="Calibri" w:eastAsia="Calibri" w:hAnsi="Calibri" w:cs="Calibri"/>
                <w:color w:val="000000"/>
              </w:rPr>
              <w:t>Not found in literature; live FAERS pull not possible</w:t>
            </w:r>
          </w:p>
        </w:tc>
      </w:tr>
      <w:tr w:rsidR="0013233F" w14:paraId="7D2913FD" w14:textId="77777777">
        <w:tblPrEx>
          <w:tblCellMar>
            <w:top w:w="0" w:type="dxa"/>
            <w:bottom w:w="0" w:type="dxa"/>
          </w:tblCellMar>
        </w:tblPrEx>
        <w:tc>
          <w:tcPr>
            <w:tcW w:w="2400" w:type="dxa"/>
            <w:tcMar>
              <w:top w:w="80" w:type="dxa"/>
              <w:left w:w="100" w:type="dxa"/>
              <w:bottom w:w="80" w:type="dxa"/>
              <w:right w:w="100" w:type="dxa"/>
            </w:tcMar>
            <w:vAlign w:val="center"/>
          </w:tcPr>
          <w:p w14:paraId="54B32101" w14:textId="77777777" w:rsidR="0013233F" w:rsidRDefault="00000000">
            <w:r>
              <w:rPr>
                <w:rFonts w:ascii="Calibri" w:eastAsia="Calibri" w:hAnsi="Calibri" w:cs="Calibri"/>
                <w:color w:val="000000"/>
              </w:rPr>
              <w:t>Self-injurious ideation</w:t>
            </w:r>
          </w:p>
        </w:tc>
        <w:tc>
          <w:tcPr>
            <w:tcW w:w="1200" w:type="dxa"/>
            <w:tcMar>
              <w:top w:w="80" w:type="dxa"/>
              <w:left w:w="100" w:type="dxa"/>
              <w:bottom w:w="80" w:type="dxa"/>
              <w:right w:w="100" w:type="dxa"/>
            </w:tcMar>
            <w:vAlign w:val="center"/>
          </w:tcPr>
          <w:p w14:paraId="7706121B" w14:textId="77777777" w:rsidR="0013233F" w:rsidRDefault="00000000">
            <w:pPr>
              <w:jc w:val="center"/>
            </w:pPr>
            <w:r>
              <w:rPr>
                <w:rFonts w:ascii="Calibri" w:eastAsia="Calibri" w:hAnsi="Calibri" w:cs="Calibri"/>
                <w:color w:val="000000"/>
              </w:rPr>
              <w:t>—</w:t>
            </w:r>
          </w:p>
        </w:tc>
        <w:tc>
          <w:tcPr>
            <w:tcW w:w="2000" w:type="dxa"/>
            <w:tcMar>
              <w:top w:w="80" w:type="dxa"/>
              <w:left w:w="100" w:type="dxa"/>
              <w:bottom w:w="80" w:type="dxa"/>
              <w:right w:w="100" w:type="dxa"/>
            </w:tcMar>
            <w:vAlign w:val="center"/>
          </w:tcPr>
          <w:p w14:paraId="3EF1817B" w14:textId="77777777" w:rsidR="0013233F" w:rsidRDefault="00000000">
            <w:pPr>
              <w:jc w:val="center"/>
            </w:pPr>
            <w:r>
              <w:rPr>
                <w:rFonts w:ascii="Calibri" w:eastAsia="Calibri" w:hAnsi="Calibri" w:cs="Calibri"/>
                <w:color w:val="000000"/>
              </w:rPr>
              <w:t>No data available</w:t>
            </w:r>
          </w:p>
        </w:tc>
        <w:tc>
          <w:tcPr>
            <w:tcW w:w="1600" w:type="dxa"/>
            <w:tcMar>
              <w:top w:w="80" w:type="dxa"/>
              <w:left w:w="100" w:type="dxa"/>
              <w:bottom w:w="80" w:type="dxa"/>
              <w:right w:w="100" w:type="dxa"/>
            </w:tcMar>
            <w:vAlign w:val="center"/>
          </w:tcPr>
          <w:p w14:paraId="52012645" w14:textId="77777777" w:rsidR="0013233F" w:rsidRDefault="00000000">
            <w:pPr>
              <w:jc w:val="center"/>
            </w:pPr>
            <w:r>
              <w:rPr>
                <w:rFonts w:ascii="Calibri" w:eastAsia="Calibri" w:hAnsi="Calibri" w:cs="Calibri"/>
                <w:color w:val="000000"/>
              </w:rPr>
              <w:t>—</w:t>
            </w:r>
          </w:p>
        </w:tc>
        <w:tc>
          <w:tcPr>
            <w:tcW w:w="2150" w:type="dxa"/>
            <w:tcMar>
              <w:top w:w="80" w:type="dxa"/>
              <w:left w:w="100" w:type="dxa"/>
              <w:bottom w:w="80" w:type="dxa"/>
              <w:right w:w="100" w:type="dxa"/>
            </w:tcMar>
            <w:vAlign w:val="center"/>
          </w:tcPr>
          <w:p w14:paraId="11261610" w14:textId="77777777" w:rsidR="0013233F" w:rsidRDefault="00000000">
            <w:pPr>
              <w:jc w:val="center"/>
            </w:pPr>
            <w:r>
              <w:rPr>
                <w:rFonts w:ascii="Calibri" w:eastAsia="Calibri" w:hAnsi="Calibri" w:cs="Calibri"/>
                <w:color w:val="000000"/>
              </w:rPr>
              <w:t>Not found in literature; live FAERS pull not possible</w:t>
            </w:r>
          </w:p>
        </w:tc>
      </w:tr>
    </w:tbl>
    <w:p w14:paraId="2BF0C93F" w14:textId="77777777" w:rsidR="0013233F" w:rsidRDefault="0013233F">
      <w:pPr>
        <w:spacing w:after="160" w:line="276" w:lineRule="auto"/>
      </w:pPr>
    </w:p>
    <w:p w14:paraId="4F6544EF" w14:textId="77777777" w:rsidR="0013233F" w:rsidRDefault="00000000">
      <w:pPr>
        <w:spacing w:after="160" w:line="276" w:lineRule="auto"/>
      </w:pPr>
      <w:r>
        <w:rPr>
          <w:rFonts w:ascii="Calibri" w:eastAsia="Calibri" w:hAnsi="Calibri" w:cs="Calibri"/>
          <w:sz w:val="22"/>
          <w:szCs w:val="22"/>
        </w:rPr>
        <w:t xml:space="preserve">Two of five terms in the target SMQ (Intentional self-injury, Self-injurious ideation) had no retrievable case-count data: no published literature reports semaglutide-specific figures for these narrower terms, and live </w:t>
      </w:r>
      <w:r>
        <w:rPr>
          <w:rFonts w:ascii="Calibri" w:eastAsia="Calibri" w:hAnsi="Calibri" w:cs="Calibri"/>
          <w:sz w:val="22"/>
          <w:szCs w:val="22"/>
        </w:rPr>
        <w:lastRenderedPageBreak/>
        <w:t>querying of the FAERS Public Dashboard was not possible during this project. This is reported as a documented evidence gap rather than a negative finding, and should not be interpreted as "no cases exist."</w:t>
      </w:r>
    </w:p>
    <w:p w14:paraId="7B1276DD"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3. Biological Plausibility</w:t>
      </w:r>
    </w:p>
    <w:p w14:paraId="0E66E7A9" w14:textId="77777777" w:rsidR="0013233F" w:rsidRDefault="00000000">
      <w:pPr>
        <w:spacing w:after="160" w:line="276" w:lineRule="auto"/>
      </w:pPr>
      <w:r>
        <w:rPr>
          <w:rFonts w:ascii="Calibri" w:eastAsia="Calibri" w:hAnsi="Calibri" w:cs="Calibri"/>
          <w:sz w:val="22"/>
          <w:szCs w:val="22"/>
        </w:rPr>
        <w:t>GLP-1 receptors are expressed in brain regions implicated in emotional regulation, including the hypothalamus and limbic system, and preclinical models show that GLP-1 receptor activation can alter expression of brain-derived neurotrophic factor (BDNF), a protein central to neuroplasticity and mood regulation. Proposed non-receptor-mediated pathways include overactivation of the hypothalamic-pituitary-adrenal (HPA) axis, physiological effects of rapid weight loss itself, gut-brain axis disruption from rapid changes in gut microbiota, and reduced vitamin B12 absorption affecting brain function (Ueda et al., 2025; systematic review, PMC13341386, 2026).</w:t>
      </w:r>
    </w:p>
    <w:p w14:paraId="1CD1FD1D" w14:textId="77777777" w:rsidR="0013233F" w:rsidRDefault="00000000">
      <w:pPr>
        <w:spacing w:after="160" w:line="276" w:lineRule="auto"/>
      </w:pPr>
      <w:r>
        <w:rPr>
          <w:rFonts w:ascii="Calibri" w:eastAsia="Calibri" w:hAnsi="Calibri" w:cs="Calibri"/>
          <w:sz w:val="22"/>
          <w:szCs w:val="22"/>
        </w:rPr>
        <w:t>A 2026 mechanistic assessment applying Bradford Hill criteria rated plausibility as weak: semaglutide, liraglutide, and tirzepatide do not cross the blood-brain barrier in the same manner as some other GLP-1 receptor agonists, but appear to act primarily on the ventral tegmental area and nucleus accumbens — regions involved in reward processing — potentially reducing mood-modulatory input normally supplied by other brain areas (ScienceDirect, 2026).</w:t>
      </w:r>
    </w:p>
    <w:p w14:paraId="3EE7F649" w14:textId="77777777" w:rsidR="0013233F" w:rsidRDefault="00000000">
      <w:pPr>
        <w:spacing w:after="160" w:line="276" w:lineRule="auto"/>
      </w:pPr>
      <w:r>
        <w:rPr>
          <w:rFonts w:ascii="Calibri" w:eastAsia="Calibri" w:hAnsi="Calibri" w:cs="Calibri"/>
          <w:sz w:val="22"/>
          <w:szCs w:val="22"/>
        </w:rPr>
        <w:t>Countervailing evidence is substantial. A separate and growing research literature proposes the opposite direction — that GLP-1 receptor agonists' effects on neuroplasticity, neurogenesis, and dopaminergic signalling could make them candidate treatments for depression rather than a cause of it — and several large cohort studies comparing GLP-1 receptor agonists against other diabetes drug classes (SGLT-2 inhibitors, DPP-4 inhibitors) found no increased suicidality risk (Glucagon-Like Peptide-1 Receptor Agonists for Mood Disorders and Suicide Risk, 2026; Ueda et al., 2025). A comprehensive 2026 Bradford Hill-informed review of the drug class concluded that current evidence supports some biological plausibility for a relationship between GLP-1 receptor agonists and neuropsychiatric outcomes broadly, but remains insufficient to establish causality for suicidality specifically — and separately found that GLP-1 receptor agonists as a class did not demonstrate an increased risk of suicidal or self-injurious events (PMC13493456, 2026).</w:t>
      </w:r>
    </w:p>
    <w:p w14:paraId="63E02390" w14:textId="77777777" w:rsidR="0013233F" w:rsidRDefault="00000000">
      <w:pPr>
        <w:spacing w:after="160" w:line="276" w:lineRule="auto"/>
      </w:pPr>
      <w:r>
        <w:rPr>
          <w:rFonts w:ascii="Calibri" w:eastAsia="Calibri" w:hAnsi="Calibri" w:cs="Calibri"/>
          <w:i/>
          <w:iCs/>
          <w:sz w:val="22"/>
          <w:szCs w:val="22"/>
        </w:rPr>
        <w:t>Overall assessment: plausibility is mixed and unresolved rather than strongly supportive or strongly refuting. Multiple credible mechanistic pathways exist in both directions, and no single mechanism has been established as dominant.</w:t>
      </w:r>
    </w:p>
    <w:p w14:paraId="28C12B5F"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4. Confounding by Indication and Population</w:t>
      </w:r>
    </w:p>
    <w:p w14:paraId="15A9B01C" w14:textId="77777777" w:rsidR="0013233F" w:rsidRDefault="00000000">
      <w:pPr>
        <w:spacing w:after="160" w:line="276" w:lineRule="auto"/>
      </w:pPr>
      <w:r>
        <w:rPr>
          <w:rFonts w:ascii="Calibri" w:eastAsia="Calibri" w:hAnsi="Calibri" w:cs="Calibri"/>
          <w:sz w:val="22"/>
          <w:szCs w:val="22"/>
        </w:rPr>
        <w:t>This is likely the most important interpretive caveat for this signal. Patients prescribed semaglutide for chronic weight management (Wegovy) or type 2 diabetes (Ozempic, Rybelsus) are drawn from populations with independently elevated baseline rates of depression and suicidality:</w:t>
      </w:r>
    </w:p>
    <w:p w14:paraId="29D5D86C" w14:textId="77777777" w:rsidR="0013233F" w:rsidRDefault="00000000">
      <w:pPr>
        <w:pStyle w:val="ListParagraph"/>
        <w:numPr>
          <w:ilvl w:val="0"/>
          <w:numId w:val="2"/>
        </w:numPr>
        <w:spacing w:after="80"/>
      </w:pPr>
      <w:r>
        <w:rPr>
          <w:rFonts w:ascii="Calibri" w:eastAsia="Calibri" w:hAnsi="Calibri" w:cs="Calibri"/>
          <w:sz w:val="22"/>
          <w:szCs w:val="22"/>
        </w:rPr>
        <w:t>Obesity itself is associated with elevated rates of depression and suicidal ideation in multiple epidemiological studies, independent of any drug exposure.</w:t>
      </w:r>
    </w:p>
    <w:p w14:paraId="0BDC6E32" w14:textId="77777777" w:rsidR="0013233F" w:rsidRDefault="00000000">
      <w:pPr>
        <w:pStyle w:val="ListParagraph"/>
        <w:numPr>
          <w:ilvl w:val="0"/>
          <w:numId w:val="2"/>
        </w:numPr>
        <w:spacing w:after="80"/>
      </w:pPr>
      <w:r>
        <w:rPr>
          <w:rFonts w:ascii="Calibri" w:eastAsia="Calibri" w:hAnsi="Calibri" w:cs="Calibri"/>
          <w:sz w:val="22"/>
          <w:szCs w:val="22"/>
        </w:rPr>
        <w:t>Patients selected for weight-management pharmacotherapy may be more likely to have current or historical mental health diagnoses than the general population, which could inflate reporting even absent a drug effect.</w:t>
      </w:r>
    </w:p>
    <w:p w14:paraId="227C282B" w14:textId="77777777" w:rsidR="0013233F" w:rsidRDefault="00000000">
      <w:pPr>
        <w:pStyle w:val="ListParagraph"/>
        <w:numPr>
          <w:ilvl w:val="0"/>
          <w:numId w:val="2"/>
        </w:numPr>
        <w:spacing w:after="80"/>
      </w:pPr>
      <w:r>
        <w:rPr>
          <w:rFonts w:ascii="Calibri" w:eastAsia="Calibri" w:hAnsi="Calibri" w:cs="Calibri"/>
          <w:sz w:val="22"/>
          <w:szCs w:val="22"/>
        </w:rPr>
        <w:lastRenderedPageBreak/>
        <w:t xml:space="preserve">Rapid or substantial weight loss — regardless of mechanism (surgical, </w:t>
      </w:r>
      <w:proofErr w:type="spellStart"/>
      <w:r>
        <w:rPr>
          <w:rFonts w:ascii="Calibri" w:eastAsia="Calibri" w:hAnsi="Calibri" w:cs="Calibri"/>
          <w:sz w:val="22"/>
          <w:szCs w:val="22"/>
        </w:rPr>
        <w:t>behavioral</w:t>
      </w:r>
      <w:proofErr w:type="spellEnd"/>
      <w:r>
        <w:rPr>
          <w:rFonts w:ascii="Calibri" w:eastAsia="Calibri" w:hAnsi="Calibri" w:cs="Calibri"/>
          <w:sz w:val="22"/>
          <w:szCs w:val="22"/>
        </w:rPr>
        <w:t>, or pharmacological) — has itself been independently associated with mood changes in some populations, a phenomenon documented after bariatric surgery.</w:t>
      </w:r>
    </w:p>
    <w:p w14:paraId="101DAF59" w14:textId="77777777" w:rsidR="0013233F" w:rsidRDefault="00000000">
      <w:pPr>
        <w:spacing w:after="160" w:line="276" w:lineRule="auto"/>
      </w:pPr>
      <w:r>
        <w:rPr>
          <w:rFonts w:ascii="Calibri" w:eastAsia="Calibri" w:hAnsi="Calibri" w:cs="Calibri"/>
          <w:sz w:val="22"/>
          <w:szCs w:val="22"/>
        </w:rPr>
        <w:t>A raw ROR does not adjust for these confounders. This limitation was explicitly cited by EMA's PRAC in its April 2024 review conclusion, and should be weighted heavily against escalating this signal on disproportionality grounds alone.</w:t>
      </w:r>
    </w:p>
    <w:p w14:paraId="5DDCA5DF"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 xml:space="preserve">5. </w:t>
      </w:r>
      <w:proofErr w:type="spellStart"/>
      <w:r>
        <w:rPr>
          <w:rFonts w:ascii="Calibri" w:eastAsia="Calibri" w:hAnsi="Calibri" w:cs="Calibri"/>
          <w:b/>
          <w:bCs/>
          <w:color w:val="1F3864"/>
          <w:sz w:val="28"/>
          <w:szCs w:val="28"/>
        </w:rPr>
        <w:t>Dechallenge</w:t>
      </w:r>
      <w:proofErr w:type="spellEnd"/>
      <w:r>
        <w:rPr>
          <w:rFonts w:ascii="Calibri" w:eastAsia="Calibri" w:hAnsi="Calibri" w:cs="Calibri"/>
          <w:b/>
          <w:bCs/>
          <w:color w:val="1F3864"/>
          <w:sz w:val="28"/>
          <w:szCs w:val="28"/>
        </w:rPr>
        <w:t xml:space="preserve"> / Rechallenge Evidence</w:t>
      </w:r>
    </w:p>
    <w:p w14:paraId="74D45338" w14:textId="77777777" w:rsidR="0013233F" w:rsidRDefault="00000000">
      <w:pPr>
        <w:spacing w:after="160" w:line="276" w:lineRule="auto"/>
      </w:pPr>
      <w:r>
        <w:rPr>
          <w:rFonts w:ascii="Calibri" w:eastAsia="Calibri" w:hAnsi="Calibri" w:cs="Calibri"/>
          <w:sz w:val="22"/>
          <w:szCs w:val="22"/>
        </w:rPr>
        <w:t xml:space="preserve">Aggregate disproportionality data (ROR, PRR) does not itself capture individual-case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 xml:space="preserve"> (symptom resolution on discontinuation) or rechallenge (symptom recurrence on re-exposure) information — that requires case-level narrative review, which sits outside the Phase 1 statistical worksheet. Several published sources do provide this detail, however, and are summarized below:</w:t>
      </w:r>
    </w:p>
    <w:p w14:paraId="10898B2D" w14:textId="77777777" w:rsidR="0013233F" w:rsidRDefault="00000000">
      <w:pPr>
        <w:pStyle w:val="ListParagraph"/>
        <w:numPr>
          <w:ilvl w:val="0"/>
          <w:numId w:val="2"/>
        </w:numPr>
        <w:spacing w:after="80"/>
      </w:pPr>
      <w:r>
        <w:rPr>
          <w:rFonts w:ascii="Calibri" w:eastAsia="Calibri" w:hAnsi="Calibri" w:cs="Calibri"/>
          <w:sz w:val="22"/>
          <w:szCs w:val="22"/>
        </w:rPr>
        <w:t xml:space="preserve">The WHO </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study underlying this memo's "Suicidal ideation" and "Suicide attempt" figures (Noordam et al., 2024) reports that suicidal ideation resolved following drug discontinuation in roughly 62–63% of cases for semaglutide and liraglutide combined — meaning it persisted, or did not clearly resolve, in the remaining ~37%. Independent expert commentary on the study flagged this as ambiguous: partial resolution is consistent with a genuine drug effect, but is also consistent with a substantial share of cases being unrelated to the drug (JAMA </w:t>
      </w:r>
      <w:proofErr w:type="spellStart"/>
      <w:r>
        <w:rPr>
          <w:rFonts w:ascii="Calibri" w:eastAsia="Calibri" w:hAnsi="Calibri" w:cs="Calibri"/>
          <w:sz w:val="22"/>
          <w:szCs w:val="22"/>
        </w:rPr>
        <w:t>Netw</w:t>
      </w:r>
      <w:proofErr w:type="spellEnd"/>
      <w:r>
        <w:rPr>
          <w:rFonts w:ascii="Calibri" w:eastAsia="Calibri" w:hAnsi="Calibri" w:cs="Calibri"/>
          <w:sz w:val="22"/>
          <w:szCs w:val="22"/>
        </w:rPr>
        <w:t xml:space="preserve"> Open, 2024; Science Media Centre expert reaction, 2024).</w:t>
      </w:r>
    </w:p>
    <w:p w14:paraId="07ACEC55" w14:textId="77777777" w:rsidR="0013233F" w:rsidRDefault="00000000">
      <w:pPr>
        <w:pStyle w:val="ListParagraph"/>
        <w:numPr>
          <w:ilvl w:val="0"/>
          <w:numId w:val="2"/>
        </w:numPr>
        <w:spacing w:after="80"/>
      </w:pPr>
      <w:r>
        <w:rPr>
          <w:rFonts w:ascii="Calibri" w:eastAsia="Calibri" w:hAnsi="Calibri" w:cs="Calibri"/>
          <w:sz w:val="22"/>
          <w:szCs w:val="22"/>
        </w:rPr>
        <w:t xml:space="preserve">A 2026 case report describes a structured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–rechallenge protocol for oral semaglutide-associated depression with passive suicidal ideation: symptoms remitted with antidepressant treatment, recurred at the same dose step on a supervised rechallenge, and resolved again after permanent discontinuation. The authors scored the case "probable" on the Naranjo causality scale, while noting the washout period before rechallenge was shorter than semaglutide's clearance would ideally require (Frontiers in Psychiatry, 2026).</w:t>
      </w:r>
    </w:p>
    <w:p w14:paraId="0FF32816" w14:textId="77777777" w:rsidR="0013233F" w:rsidRDefault="00000000">
      <w:pPr>
        <w:pStyle w:val="ListParagraph"/>
        <w:numPr>
          <w:ilvl w:val="0"/>
          <w:numId w:val="2"/>
        </w:numPr>
        <w:spacing w:after="80"/>
      </w:pPr>
      <w:r>
        <w:rPr>
          <w:rFonts w:ascii="Calibri" w:eastAsia="Calibri" w:hAnsi="Calibri" w:cs="Calibri"/>
          <w:sz w:val="22"/>
          <w:szCs w:val="22"/>
        </w:rPr>
        <w:t>Other individual case reports describe symptom improvement within roughly 1–2 weeks to one month of semaglutide discontinuation; in at least one, formal rechallenge was deemed unethical given the seriousness of the adverse event (SAGE Journals case report, 2024).</w:t>
      </w:r>
    </w:p>
    <w:p w14:paraId="7E559819" w14:textId="77777777" w:rsidR="0013233F" w:rsidRDefault="00000000">
      <w:pPr>
        <w:pStyle w:val="ListParagraph"/>
        <w:numPr>
          <w:ilvl w:val="0"/>
          <w:numId w:val="2"/>
        </w:numPr>
        <w:spacing w:after="80"/>
      </w:pPr>
      <w:r>
        <w:rPr>
          <w:rFonts w:ascii="Calibri" w:eastAsia="Calibri" w:hAnsi="Calibri" w:cs="Calibri"/>
          <w:sz w:val="22"/>
          <w:szCs w:val="22"/>
        </w:rPr>
        <w:t xml:space="preserve">At the aggregate level, a 2026 </w:t>
      </w:r>
      <w:proofErr w:type="spellStart"/>
      <w:r>
        <w:rPr>
          <w:rFonts w:ascii="Calibri" w:eastAsia="Calibri" w:hAnsi="Calibri" w:cs="Calibri"/>
          <w:sz w:val="22"/>
          <w:szCs w:val="22"/>
        </w:rPr>
        <w:t>EudraVigilance</w:t>
      </w:r>
      <w:proofErr w:type="spellEnd"/>
      <w:r>
        <w:rPr>
          <w:rFonts w:ascii="Calibri" w:eastAsia="Calibri" w:hAnsi="Calibri" w:cs="Calibri"/>
          <w:sz w:val="22"/>
          <w:szCs w:val="22"/>
        </w:rPr>
        <w:t xml:space="preserve"> analysis of suicide/self-injury-related reports for liraglutide, semaglutide, and tirzepatide found the event was recorded as resolved or resolving in roughly 34–40% of case reports (Frontiers in Pharmacology, 2026).</w:t>
      </w:r>
    </w:p>
    <w:p w14:paraId="34B8FB8E" w14:textId="77777777" w:rsidR="0013233F" w:rsidRDefault="00000000">
      <w:pPr>
        <w:spacing w:after="160" w:line="276" w:lineRule="auto"/>
      </w:pPr>
      <w:r>
        <w:rPr>
          <w:rFonts w:ascii="Calibri" w:eastAsia="Calibri" w:hAnsi="Calibri" w:cs="Calibri"/>
          <w:sz w:val="22"/>
          <w:szCs w:val="22"/>
        </w:rPr>
        <w:t xml:space="preserve">Interpretation: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 xml:space="preserve"> evidence exists and is consistent with at least a partial causal association in a meaningful minority of cases, but resolution is far from universal, and only one identified case involved a genuine structured rechallenge. A single rechallenge case, however well-documented, is not sufficient to establish a class-wide pattern.</w:t>
      </w:r>
    </w:p>
    <w:p w14:paraId="379755D2"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6. Temporal Association</w:t>
      </w:r>
    </w:p>
    <w:p w14:paraId="43C42DF5" w14:textId="77777777" w:rsidR="0013233F" w:rsidRDefault="00000000">
      <w:pPr>
        <w:spacing w:after="160" w:line="276" w:lineRule="auto"/>
      </w:pPr>
      <w:r>
        <w:rPr>
          <w:rFonts w:ascii="Calibri" w:eastAsia="Calibri" w:hAnsi="Calibri" w:cs="Calibri"/>
          <w:sz w:val="22"/>
          <w:szCs w:val="22"/>
        </w:rPr>
        <w:t>Individual case reports consistently describe symptom onset within roughly two weeks to three months of treatment initiation, most commonly around three to four weeks in the cases reviewed (Frontiers in Psychiatry, 2026; SAGE Journals case report, 2024).</w:t>
      </w:r>
    </w:p>
    <w:p w14:paraId="5823F395" w14:textId="77777777" w:rsidR="0013233F" w:rsidRDefault="00000000">
      <w:pPr>
        <w:spacing w:after="160" w:line="276" w:lineRule="auto"/>
      </w:pPr>
      <w:r>
        <w:rPr>
          <w:rFonts w:ascii="Calibri" w:eastAsia="Calibri" w:hAnsi="Calibri" w:cs="Calibri"/>
          <w:sz w:val="22"/>
          <w:szCs w:val="22"/>
        </w:rPr>
        <w:t>A Bradford Hill-informed analysis of the broader case series found that affective symptoms and suicidal thoughts occurred within three months of drug initiation, with the probability of a reported event declining the longer a patient remained on treatment — satisfying the temporality criterion for causal inference (ScienceDirect, 2026).</w:t>
      </w:r>
    </w:p>
    <w:p w14:paraId="76448453" w14:textId="77777777" w:rsidR="0013233F" w:rsidRDefault="00000000">
      <w:pPr>
        <w:spacing w:after="160" w:line="276" w:lineRule="auto"/>
      </w:pPr>
      <w:r>
        <w:rPr>
          <w:rFonts w:ascii="Calibri" w:eastAsia="Calibri" w:hAnsi="Calibri" w:cs="Calibri"/>
          <w:sz w:val="22"/>
          <w:szCs w:val="22"/>
        </w:rPr>
        <w:lastRenderedPageBreak/>
        <w:t>However, the same analysis found no consistent dose-response (biological gradient) relationship — an absence the authors attribute possibly to slow dose-escalation regimens, discontinuation of higher-risk patients before reaching higher doses, or selective patient-population effects. The lack of a dose-response pattern weakens, rather than strengthens, a straightforward causal interpretation.</w:t>
      </w:r>
    </w:p>
    <w:p w14:paraId="3D956541" w14:textId="77777777" w:rsidR="0013233F" w:rsidRDefault="00000000">
      <w:pPr>
        <w:spacing w:after="160" w:line="276" w:lineRule="auto"/>
      </w:pPr>
      <w:r>
        <w:rPr>
          <w:rFonts w:ascii="Calibri" w:eastAsia="Calibri" w:hAnsi="Calibri" w:cs="Calibri"/>
          <w:i/>
          <w:iCs/>
          <w:sz w:val="22"/>
          <w:szCs w:val="22"/>
        </w:rPr>
        <w:t>Note: this timing information is drawn from separate published case-level analyses, not from the aggregate ROR/PRR statistics in the Phase 1 worksheet, which do not themselves contain onset-latency data.</w:t>
      </w:r>
    </w:p>
    <w:p w14:paraId="275A4741"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7. Comparison Across Data Sources</w:t>
      </w:r>
    </w:p>
    <w:p w14:paraId="4D6C5DE2" w14:textId="77777777" w:rsidR="0013233F" w:rsidRDefault="00000000">
      <w:pPr>
        <w:spacing w:after="160" w:line="276" w:lineRule="auto"/>
      </w:pPr>
      <w:r>
        <w:rPr>
          <w:rFonts w:ascii="Calibri" w:eastAsia="Calibri" w:hAnsi="Calibri" w:cs="Calibri"/>
          <w:sz w:val="22"/>
          <w:szCs w:val="22"/>
        </w:rPr>
        <w:t>A notable finding from this analysis is that the two real-world pharmacovigilance databases queried do not fully agree, both in magnitude and in direction: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400"/>
        <w:gridCol w:w="2200"/>
        <w:gridCol w:w="1350"/>
      </w:tblGrid>
      <w:tr w:rsidR="0013233F" w14:paraId="0DB91C2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15A75B3" w14:textId="77777777" w:rsidR="0013233F" w:rsidRDefault="00000000">
            <w:pPr>
              <w:jc w:val="center"/>
            </w:pPr>
            <w:r>
              <w:rPr>
                <w:rFonts w:ascii="Calibri" w:eastAsia="Calibri" w:hAnsi="Calibri" w:cs="Calibri"/>
                <w:b/>
                <w:bCs/>
                <w:color w:val="FFFFFF"/>
              </w:rPr>
              <w:t>Term</w:t>
            </w:r>
          </w:p>
        </w:tc>
        <w:tc>
          <w:tcPr>
            <w:tcW w:w="2200" w:type="dxa"/>
            <w:shd w:val="clear" w:color="auto" w:fill="1F3864"/>
            <w:tcMar>
              <w:top w:w="80" w:type="dxa"/>
              <w:left w:w="100" w:type="dxa"/>
              <w:bottom w:w="80" w:type="dxa"/>
              <w:right w:w="100" w:type="dxa"/>
            </w:tcMar>
            <w:vAlign w:val="center"/>
          </w:tcPr>
          <w:p w14:paraId="166242A0" w14:textId="77777777" w:rsidR="0013233F" w:rsidRDefault="00000000">
            <w:pPr>
              <w:jc w:val="center"/>
            </w:pPr>
            <w:r>
              <w:rPr>
                <w:rFonts w:ascii="Calibri" w:eastAsia="Calibri" w:hAnsi="Calibri" w:cs="Calibri"/>
                <w:b/>
                <w:bCs/>
                <w:color w:val="FFFFFF"/>
              </w:rPr>
              <w:t>Database</w:t>
            </w:r>
          </w:p>
        </w:tc>
        <w:tc>
          <w:tcPr>
            <w:tcW w:w="1400" w:type="dxa"/>
            <w:shd w:val="clear" w:color="auto" w:fill="1F3864"/>
            <w:tcMar>
              <w:top w:w="80" w:type="dxa"/>
              <w:left w:w="100" w:type="dxa"/>
              <w:bottom w:w="80" w:type="dxa"/>
              <w:right w:w="100" w:type="dxa"/>
            </w:tcMar>
            <w:vAlign w:val="center"/>
          </w:tcPr>
          <w:p w14:paraId="52A2AB7F" w14:textId="77777777" w:rsidR="0013233F" w:rsidRDefault="00000000">
            <w:pPr>
              <w:jc w:val="center"/>
            </w:pPr>
            <w:r>
              <w:rPr>
                <w:rFonts w:ascii="Calibri" w:eastAsia="Calibri" w:hAnsi="Calibri" w:cs="Calibri"/>
                <w:b/>
                <w:bCs/>
                <w:color w:val="FFFFFF"/>
              </w:rPr>
              <w:t>a (cases)</w:t>
            </w:r>
          </w:p>
        </w:tc>
        <w:tc>
          <w:tcPr>
            <w:tcW w:w="2200" w:type="dxa"/>
            <w:shd w:val="clear" w:color="auto" w:fill="1F3864"/>
            <w:tcMar>
              <w:top w:w="80" w:type="dxa"/>
              <w:left w:w="100" w:type="dxa"/>
              <w:bottom w:w="80" w:type="dxa"/>
              <w:right w:w="100" w:type="dxa"/>
            </w:tcMar>
            <w:vAlign w:val="center"/>
          </w:tcPr>
          <w:p w14:paraId="459A09E4" w14:textId="77777777" w:rsidR="0013233F" w:rsidRDefault="00000000">
            <w:pPr>
              <w:jc w:val="center"/>
            </w:pPr>
            <w:r>
              <w:rPr>
                <w:rFonts w:ascii="Calibri" w:eastAsia="Calibri" w:hAnsi="Calibri" w:cs="Calibri"/>
                <w:b/>
                <w:bCs/>
                <w:color w:val="FFFFFF"/>
              </w:rPr>
              <w:t>ROR (95% CI)</w:t>
            </w:r>
          </w:p>
        </w:tc>
        <w:tc>
          <w:tcPr>
            <w:tcW w:w="1350" w:type="dxa"/>
            <w:shd w:val="clear" w:color="auto" w:fill="1F3864"/>
            <w:tcMar>
              <w:top w:w="80" w:type="dxa"/>
              <w:left w:w="100" w:type="dxa"/>
              <w:bottom w:w="80" w:type="dxa"/>
              <w:right w:w="100" w:type="dxa"/>
            </w:tcMar>
            <w:vAlign w:val="center"/>
          </w:tcPr>
          <w:p w14:paraId="417A591A" w14:textId="77777777" w:rsidR="0013233F" w:rsidRDefault="00000000">
            <w:pPr>
              <w:jc w:val="center"/>
            </w:pPr>
            <w:r>
              <w:rPr>
                <w:rFonts w:ascii="Calibri" w:eastAsia="Calibri" w:hAnsi="Calibri" w:cs="Calibri"/>
                <w:b/>
                <w:bCs/>
                <w:color w:val="FFFFFF"/>
              </w:rPr>
              <w:t>Direction</w:t>
            </w:r>
          </w:p>
        </w:tc>
      </w:tr>
      <w:tr w:rsidR="0013233F" w14:paraId="14D12398" w14:textId="77777777">
        <w:tblPrEx>
          <w:tblCellMar>
            <w:top w:w="0" w:type="dxa"/>
            <w:bottom w:w="0" w:type="dxa"/>
          </w:tblCellMar>
        </w:tblPrEx>
        <w:tc>
          <w:tcPr>
            <w:tcW w:w="2200" w:type="dxa"/>
            <w:tcMar>
              <w:top w:w="80" w:type="dxa"/>
              <w:left w:w="100" w:type="dxa"/>
              <w:bottom w:w="80" w:type="dxa"/>
              <w:right w:w="100" w:type="dxa"/>
            </w:tcMar>
            <w:vAlign w:val="center"/>
          </w:tcPr>
          <w:p w14:paraId="1179D89E" w14:textId="77777777" w:rsidR="0013233F" w:rsidRDefault="00000000">
            <w:r>
              <w:rPr>
                <w:rFonts w:ascii="Calibri" w:eastAsia="Calibri" w:hAnsi="Calibri" w:cs="Calibri"/>
                <w:color w:val="000000"/>
              </w:rPr>
              <w:t>Suicidal ideation</w:t>
            </w:r>
          </w:p>
        </w:tc>
        <w:tc>
          <w:tcPr>
            <w:tcW w:w="2200" w:type="dxa"/>
            <w:tcMar>
              <w:top w:w="80" w:type="dxa"/>
              <w:left w:w="100" w:type="dxa"/>
              <w:bottom w:w="80" w:type="dxa"/>
              <w:right w:w="100" w:type="dxa"/>
            </w:tcMar>
            <w:vAlign w:val="center"/>
          </w:tcPr>
          <w:p w14:paraId="0A77CDB7" w14:textId="77777777" w:rsidR="0013233F" w:rsidRDefault="00000000">
            <w:pPr>
              <w:jc w:val="center"/>
            </w:pPr>
            <w:r>
              <w:rPr>
                <w:rFonts w:ascii="Calibri" w:eastAsia="Calibri" w:hAnsi="Calibri" w:cs="Calibri"/>
                <w:color w:val="000000"/>
              </w:rPr>
              <w:t xml:space="preserve">WHO </w:t>
            </w:r>
            <w:proofErr w:type="spellStart"/>
            <w:r>
              <w:rPr>
                <w:rFonts w:ascii="Calibri" w:eastAsia="Calibri" w:hAnsi="Calibri" w:cs="Calibri"/>
                <w:color w:val="000000"/>
              </w:rPr>
              <w:t>VigiBase</w:t>
            </w:r>
            <w:proofErr w:type="spellEnd"/>
            <w:r>
              <w:rPr>
                <w:rFonts w:ascii="Calibri" w:eastAsia="Calibri" w:hAnsi="Calibri" w:cs="Calibri"/>
                <w:color w:val="000000"/>
              </w:rPr>
              <w:t xml:space="preserve"> (global)</w:t>
            </w:r>
          </w:p>
        </w:tc>
        <w:tc>
          <w:tcPr>
            <w:tcW w:w="1400" w:type="dxa"/>
            <w:tcMar>
              <w:top w:w="80" w:type="dxa"/>
              <w:left w:w="100" w:type="dxa"/>
              <w:bottom w:w="80" w:type="dxa"/>
              <w:right w:w="100" w:type="dxa"/>
            </w:tcMar>
            <w:vAlign w:val="center"/>
          </w:tcPr>
          <w:p w14:paraId="311B8E51" w14:textId="77777777" w:rsidR="0013233F" w:rsidRDefault="00000000">
            <w:pPr>
              <w:jc w:val="center"/>
            </w:pPr>
            <w:r>
              <w:rPr>
                <w:rFonts w:ascii="Calibri" w:eastAsia="Calibri" w:hAnsi="Calibri" w:cs="Calibri"/>
                <w:color w:val="000000"/>
              </w:rPr>
              <w:t>94</w:t>
            </w:r>
          </w:p>
        </w:tc>
        <w:tc>
          <w:tcPr>
            <w:tcW w:w="2200" w:type="dxa"/>
            <w:tcMar>
              <w:top w:w="80" w:type="dxa"/>
              <w:left w:w="100" w:type="dxa"/>
              <w:bottom w:w="80" w:type="dxa"/>
              <w:right w:w="100" w:type="dxa"/>
            </w:tcMar>
            <w:vAlign w:val="center"/>
          </w:tcPr>
          <w:p w14:paraId="092F930B" w14:textId="77777777" w:rsidR="0013233F" w:rsidRDefault="00000000">
            <w:pPr>
              <w:jc w:val="center"/>
            </w:pPr>
            <w:r>
              <w:rPr>
                <w:rFonts w:ascii="Calibri" w:eastAsia="Calibri" w:hAnsi="Calibri" w:cs="Calibri"/>
                <w:color w:val="000000"/>
              </w:rPr>
              <w:t>1.45 (1.18–1.77)</w:t>
            </w:r>
          </w:p>
        </w:tc>
        <w:tc>
          <w:tcPr>
            <w:tcW w:w="1350" w:type="dxa"/>
            <w:tcMar>
              <w:top w:w="80" w:type="dxa"/>
              <w:left w:w="100" w:type="dxa"/>
              <w:bottom w:w="80" w:type="dxa"/>
              <w:right w:w="100" w:type="dxa"/>
            </w:tcMar>
            <w:vAlign w:val="center"/>
          </w:tcPr>
          <w:p w14:paraId="0128C9C4" w14:textId="77777777" w:rsidR="0013233F" w:rsidRDefault="00000000">
            <w:pPr>
              <w:jc w:val="center"/>
            </w:pPr>
            <w:r>
              <w:rPr>
                <w:rFonts w:ascii="Calibri" w:eastAsia="Calibri" w:hAnsi="Calibri" w:cs="Calibri"/>
                <w:color w:val="000000"/>
              </w:rPr>
              <w:t>Positive, significant</w:t>
            </w:r>
          </w:p>
        </w:tc>
      </w:tr>
      <w:tr w:rsidR="0013233F" w14:paraId="36900BD6" w14:textId="77777777">
        <w:tblPrEx>
          <w:tblCellMar>
            <w:top w:w="0" w:type="dxa"/>
            <w:bottom w:w="0" w:type="dxa"/>
          </w:tblCellMar>
        </w:tblPrEx>
        <w:tc>
          <w:tcPr>
            <w:tcW w:w="2200" w:type="dxa"/>
            <w:tcMar>
              <w:top w:w="80" w:type="dxa"/>
              <w:left w:w="100" w:type="dxa"/>
              <w:bottom w:w="80" w:type="dxa"/>
              <w:right w:w="100" w:type="dxa"/>
            </w:tcMar>
            <w:vAlign w:val="center"/>
          </w:tcPr>
          <w:p w14:paraId="364F4B52" w14:textId="77777777" w:rsidR="0013233F" w:rsidRDefault="00000000">
            <w:r>
              <w:rPr>
                <w:rFonts w:ascii="Calibri" w:eastAsia="Calibri" w:hAnsi="Calibri" w:cs="Calibri"/>
                <w:color w:val="000000"/>
              </w:rPr>
              <w:t>Suicidal ideation</w:t>
            </w:r>
          </w:p>
        </w:tc>
        <w:tc>
          <w:tcPr>
            <w:tcW w:w="2200" w:type="dxa"/>
            <w:tcMar>
              <w:top w:w="80" w:type="dxa"/>
              <w:left w:w="100" w:type="dxa"/>
              <w:bottom w:w="80" w:type="dxa"/>
              <w:right w:w="100" w:type="dxa"/>
            </w:tcMar>
            <w:vAlign w:val="center"/>
          </w:tcPr>
          <w:p w14:paraId="1B096A9C" w14:textId="77777777" w:rsidR="0013233F" w:rsidRDefault="00000000">
            <w:pPr>
              <w:jc w:val="center"/>
            </w:pPr>
            <w:r>
              <w:rPr>
                <w:rFonts w:ascii="Calibri" w:eastAsia="Calibri" w:hAnsi="Calibri" w:cs="Calibri"/>
                <w:color w:val="000000"/>
              </w:rPr>
              <w:t>FDA FAERS (US)</w:t>
            </w:r>
          </w:p>
        </w:tc>
        <w:tc>
          <w:tcPr>
            <w:tcW w:w="1400" w:type="dxa"/>
            <w:tcMar>
              <w:top w:w="80" w:type="dxa"/>
              <w:left w:w="100" w:type="dxa"/>
              <w:bottom w:w="80" w:type="dxa"/>
              <w:right w:w="100" w:type="dxa"/>
            </w:tcMar>
            <w:vAlign w:val="center"/>
          </w:tcPr>
          <w:p w14:paraId="534BAE59" w14:textId="77777777" w:rsidR="0013233F" w:rsidRDefault="00000000">
            <w:pPr>
              <w:jc w:val="center"/>
            </w:pPr>
            <w:r>
              <w:rPr>
                <w:rFonts w:ascii="Calibri" w:eastAsia="Calibri" w:hAnsi="Calibri" w:cs="Calibri"/>
                <w:color w:val="000000"/>
              </w:rPr>
              <w:t>44</w:t>
            </w:r>
          </w:p>
        </w:tc>
        <w:tc>
          <w:tcPr>
            <w:tcW w:w="2200" w:type="dxa"/>
            <w:tcMar>
              <w:top w:w="80" w:type="dxa"/>
              <w:left w:w="100" w:type="dxa"/>
              <w:bottom w:w="80" w:type="dxa"/>
              <w:right w:w="100" w:type="dxa"/>
            </w:tcMar>
            <w:vAlign w:val="center"/>
          </w:tcPr>
          <w:p w14:paraId="196C77B5" w14:textId="77777777" w:rsidR="0013233F" w:rsidRDefault="00000000">
            <w:pPr>
              <w:jc w:val="center"/>
            </w:pPr>
            <w:r>
              <w:rPr>
                <w:rFonts w:ascii="Calibri" w:eastAsia="Calibri" w:hAnsi="Calibri" w:cs="Calibri"/>
                <w:color w:val="000000"/>
              </w:rPr>
              <w:t>1.39 (0.99–1.96)</w:t>
            </w:r>
          </w:p>
        </w:tc>
        <w:tc>
          <w:tcPr>
            <w:tcW w:w="1350" w:type="dxa"/>
            <w:tcMar>
              <w:top w:w="80" w:type="dxa"/>
              <w:left w:w="100" w:type="dxa"/>
              <w:bottom w:w="80" w:type="dxa"/>
              <w:right w:w="100" w:type="dxa"/>
            </w:tcMar>
            <w:vAlign w:val="center"/>
          </w:tcPr>
          <w:p w14:paraId="71391964" w14:textId="77777777" w:rsidR="0013233F" w:rsidRDefault="00000000">
            <w:pPr>
              <w:jc w:val="center"/>
            </w:pPr>
            <w:r>
              <w:rPr>
                <w:rFonts w:ascii="Calibri" w:eastAsia="Calibri" w:hAnsi="Calibri" w:cs="Calibri"/>
                <w:color w:val="000000"/>
              </w:rPr>
              <w:t>Positive, not significant</w:t>
            </w:r>
          </w:p>
        </w:tc>
      </w:tr>
      <w:tr w:rsidR="0013233F" w14:paraId="480875B2" w14:textId="77777777">
        <w:tblPrEx>
          <w:tblCellMar>
            <w:top w:w="0" w:type="dxa"/>
            <w:bottom w:w="0" w:type="dxa"/>
          </w:tblCellMar>
        </w:tblPrEx>
        <w:tc>
          <w:tcPr>
            <w:tcW w:w="2200" w:type="dxa"/>
            <w:tcMar>
              <w:top w:w="80" w:type="dxa"/>
              <w:left w:w="100" w:type="dxa"/>
              <w:bottom w:w="80" w:type="dxa"/>
              <w:right w:w="100" w:type="dxa"/>
            </w:tcMar>
            <w:vAlign w:val="center"/>
          </w:tcPr>
          <w:p w14:paraId="4F22E9FB" w14:textId="77777777" w:rsidR="0013233F" w:rsidRDefault="00000000">
            <w:r>
              <w:rPr>
                <w:rFonts w:ascii="Calibri" w:eastAsia="Calibri" w:hAnsi="Calibri" w:cs="Calibri"/>
                <w:color w:val="000000"/>
              </w:rPr>
              <w:t>Suicide attempt</w:t>
            </w:r>
          </w:p>
        </w:tc>
        <w:tc>
          <w:tcPr>
            <w:tcW w:w="2200" w:type="dxa"/>
            <w:tcMar>
              <w:top w:w="80" w:type="dxa"/>
              <w:left w:w="100" w:type="dxa"/>
              <w:bottom w:w="80" w:type="dxa"/>
              <w:right w:w="100" w:type="dxa"/>
            </w:tcMar>
            <w:vAlign w:val="center"/>
          </w:tcPr>
          <w:p w14:paraId="097728D7" w14:textId="77777777" w:rsidR="0013233F" w:rsidRDefault="00000000">
            <w:pPr>
              <w:jc w:val="center"/>
            </w:pPr>
            <w:r>
              <w:rPr>
                <w:rFonts w:ascii="Calibri" w:eastAsia="Calibri" w:hAnsi="Calibri" w:cs="Calibri"/>
                <w:color w:val="000000"/>
              </w:rPr>
              <w:t xml:space="preserve">WHO </w:t>
            </w:r>
            <w:proofErr w:type="spellStart"/>
            <w:r>
              <w:rPr>
                <w:rFonts w:ascii="Calibri" w:eastAsia="Calibri" w:hAnsi="Calibri" w:cs="Calibri"/>
                <w:color w:val="000000"/>
              </w:rPr>
              <w:t>VigiBase</w:t>
            </w:r>
            <w:proofErr w:type="spellEnd"/>
            <w:r>
              <w:rPr>
                <w:rFonts w:ascii="Calibri" w:eastAsia="Calibri" w:hAnsi="Calibri" w:cs="Calibri"/>
                <w:color w:val="000000"/>
              </w:rPr>
              <w:t xml:space="preserve"> (global)</w:t>
            </w:r>
          </w:p>
        </w:tc>
        <w:tc>
          <w:tcPr>
            <w:tcW w:w="1400" w:type="dxa"/>
            <w:tcMar>
              <w:top w:w="80" w:type="dxa"/>
              <w:left w:w="100" w:type="dxa"/>
              <w:bottom w:w="80" w:type="dxa"/>
              <w:right w:w="100" w:type="dxa"/>
            </w:tcMar>
            <w:vAlign w:val="center"/>
          </w:tcPr>
          <w:p w14:paraId="3B666DBD" w14:textId="77777777" w:rsidR="0013233F" w:rsidRDefault="00000000">
            <w:pPr>
              <w:jc w:val="center"/>
            </w:pPr>
            <w:r>
              <w:rPr>
                <w:rFonts w:ascii="Calibri" w:eastAsia="Calibri" w:hAnsi="Calibri" w:cs="Calibri"/>
                <w:color w:val="000000"/>
              </w:rPr>
              <w:t>7</w:t>
            </w:r>
          </w:p>
        </w:tc>
        <w:tc>
          <w:tcPr>
            <w:tcW w:w="2200" w:type="dxa"/>
            <w:tcMar>
              <w:top w:w="80" w:type="dxa"/>
              <w:left w:w="100" w:type="dxa"/>
              <w:bottom w:w="80" w:type="dxa"/>
              <w:right w:w="100" w:type="dxa"/>
            </w:tcMar>
            <w:vAlign w:val="center"/>
          </w:tcPr>
          <w:p w14:paraId="638CB6E3" w14:textId="77777777" w:rsidR="0013233F" w:rsidRDefault="00000000">
            <w:pPr>
              <w:jc w:val="center"/>
            </w:pPr>
            <w:r>
              <w:rPr>
                <w:rFonts w:ascii="Calibri" w:eastAsia="Calibri" w:hAnsi="Calibri" w:cs="Calibri"/>
                <w:color w:val="000000"/>
              </w:rPr>
              <w:t>0.16 (0.08–0.33)</w:t>
            </w:r>
          </w:p>
        </w:tc>
        <w:tc>
          <w:tcPr>
            <w:tcW w:w="1350" w:type="dxa"/>
            <w:tcMar>
              <w:top w:w="80" w:type="dxa"/>
              <w:left w:w="100" w:type="dxa"/>
              <w:bottom w:w="80" w:type="dxa"/>
              <w:right w:w="100" w:type="dxa"/>
            </w:tcMar>
            <w:vAlign w:val="center"/>
          </w:tcPr>
          <w:p w14:paraId="28510A64" w14:textId="77777777" w:rsidR="0013233F" w:rsidRDefault="00000000">
            <w:pPr>
              <w:jc w:val="center"/>
            </w:pPr>
            <w:r>
              <w:rPr>
                <w:rFonts w:ascii="Calibri" w:eastAsia="Calibri" w:hAnsi="Calibri" w:cs="Calibri"/>
                <w:color w:val="000000"/>
              </w:rPr>
              <w:t>Negative, significant</w:t>
            </w:r>
          </w:p>
        </w:tc>
      </w:tr>
      <w:tr w:rsidR="0013233F" w14:paraId="593D391C" w14:textId="77777777">
        <w:tblPrEx>
          <w:tblCellMar>
            <w:top w:w="0" w:type="dxa"/>
            <w:bottom w:w="0" w:type="dxa"/>
          </w:tblCellMar>
        </w:tblPrEx>
        <w:tc>
          <w:tcPr>
            <w:tcW w:w="2200" w:type="dxa"/>
            <w:tcMar>
              <w:top w:w="80" w:type="dxa"/>
              <w:left w:w="100" w:type="dxa"/>
              <w:bottom w:w="80" w:type="dxa"/>
              <w:right w:w="100" w:type="dxa"/>
            </w:tcMar>
            <w:vAlign w:val="center"/>
          </w:tcPr>
          <w:p w14:paraId="0797FF91" w14:textId="77777777" w:rsidR="0013233F" w:rsidRDefault="00000000">
            <w:r>
              <w:rPr>
                <w:rFonts w:ascii="Calibri" w:eastAsia="Calibri" w:hAnsi="Calibri" w:cs="Calibri"/>
                <w:color w:val="000000"/>
              </w:rPr>
              <w:t>Suicide attempt</w:t>
            </w:r>
          </w:p>
        </w:tc>
        <w:tc>
          <w:tcPr>
            <w:tcW w:w="2200" w:type="dxa"/>
            <w:tcMar>
              <w:top w:w="80" w:type="dxa"/>
              <w:left w:w="100" w:type="dxa"/>
              <w:bottom w:w="80" w:type="dxa"/>
              <w:right w:w="100" w:type="dxa"/>
            </w:tcMar>
            <w:vAlign w:val="center"/>
          </w:tcPr>
          <w:p w14:paraId="6D33FF3E" w14:textId="77777777" w:rsidR="0013233F" w:rsidRDefault="00000000">
            <w:pPr>
              <w:jc w:val="center"/>
            </w:pPr>
            <w:r>
              <w:rPr>
                <w:rFonts w:ascii="Calibri" w:eastAsia="Calibri" w:hAnsi="Calibri" w:cs="Calibri"/>
                <w:color w:val="000000"/>
              </w:rPr>
              <w:t>FDA FAERS (US)</w:t>
            </w:r>
          </w:p>
        </w:tc>
        <w:tc>
          <w:tcPr>
            <w:tcW w:w="1400" w:type="dxa"/>
            <w:tcMar>
              <w:top w:w="80" w:type="dxa"/>
              <w:left w:w="100" w:type="dxa"/>
              <w:bottom w:w="80" w:type="dxa"/>
              <w:right w:w="100" w:type="dxa"/>
            </w:tcMar>
            <w:vAlign w:val="center"/>
          </w:tcPr>
          <w:p w14:paraId="7ED3D5BF" w14:textId="77777777" w:rsidR="0013233F" w:rsidRDefault="00000000">
            <w:pPr>
              <w:jc w:val="center"/>
            </w:pPr>
            <w:r>
              <w:rPr>
                <w:rFonts w:ascii="Calibri" w:eastAsia="Calibri" w:hAnsi="Calibri" w:cs="Calibri"/>
                <w:color w:val="000000"/>
              </w:rPr>
              <w:t>4</w:t>
            </w:r>
          </w:p>
        </w:tc>
        <w:tc>
          <w:tcPr>
            <w:tcW w:w="2200" w:type="dxa"/>
            <w:tcMar>
              <w:top w:w="80" w:type="dxa"/>
              <w:left w:w="100" w:type="dxa"/>
              <w:bottom w:w="80" w:type="dxa"/>
              <w:right w:w="100" w:type="dxa"/>
            </w:tcMar>
            <w:vAlign w:val="center"/>
          </w:tcPr>
          <w:p w14:paraId="1FBBF3B4" w14:textId="77777777" w:rsidR="0013233F" w:rsidRDefault="00000000">
            <w:pPr>
              <w:jc w:val="center"/>
            </w:pPr>
            <w:r>
              <w:rPr>
                <w:rFonts w:ascii="Calibri" w:eastAsia="Calibri" w:hAnsi="Calibri" w:cs="Calibri"/>
                <w:color w:val="000000"/>
              </w:rPr>
              <w:t>1.39 (0.45–4.30)</w:t>
            </w:r>
          </w:p>
        </w:tc>
        <w:tc>
          <w:tcPr>
            <w:tcW w:w="1350" w:type="dxa"/>
            <w:tcMar>
              <w:top w:w="80" w:type="dxa"/>
              <w:left w:w="100" w:type="dxa"/>
              <w:bottom w:w="80" w:type="dxa"/>
              <w:right w:w="100" w:type="dxa"/>
            </w:tcMar>
            <w:vAlign w:val="center"/>
          </w:tcPr>
          <w:p w14:paraId="088108DA" w14:textId="77777777" w:rsidR="0013233F" w:rsidRDefault="00000000">
            <w:pPr>
              <w:jc w:val="center"/>
            </w:pPr>
            <w:r>
              <w:rPr>
                <w:rFonts w:ascii="Calibri" w:eastAsia="Calibri" w:hAnsi="Calibri" w:cs="Calibri"/>
                <w:color w:val="000000"/>
              </w:rPr>
              <w:t>Positive, not significant</w:t>
            </w:r>
          </w:p>
        </w:tc>
      </w:tr>
    </w:tbl>
    <w:p w14:paraId="1CC4BD91" w14:textId="77777777" w:rsidR="0013233F" w:rsidRDefault="0013233F">
      <w:pPr>
        <w:spacing w:after="160" w:line="276" w:lineRule="auto"/>
      </w:pPr>
    </w:p>
    <w:p w14:paraId="42A927B6" w14:textId="77777777" w:rsidR="0013233F" w:rsidRDefault="00000000">
      <w:pPr>
        <w:spacing w:after="160" w:line="276" w:lineRule="auto"/>
      </w:pPr>
      <w:r>
        <w:rPr>
          <w:rFonts w:ascii="Calibri" w:eastAsia="Calibri" w:hAnsi="Calibri" w:cs="Calibri"/>
          <w:sz w:val="22"/>
          <w:szCs w:val="22"/>
        </w:rPr>
        <w:t xml:space="preserve">For suicidal ideation, both databases show a positive (if modest) association, though only </w:t>
      </w:r>
      <w:proofErr w:type="spellStart"/>
      <w:r>
        <w:rPr>
          <w:rFonts w:ascii="Calibri" w:eastAsia="Calibri" w:hAnsi="Calibri" w:cs="Calibri"/>
          <w:sz w:val="22"/>
          <w:szCs w:val="22"/>
        </w:rPr>
        <w:t>VigiBase's</w:t>
      </w:r>
      <w:proofErr w:type="spellEnd"/>
      <w:r>
        <w:rPr>
          <w:rFonts w:ascii="Calibri" w:eastAsia="Calibri" w:hAnsi="Calibri" w:cs="Calibri"/>
          <w:sz w:val="22"/>
          <w:szCs w:val="22"/>
        </w:rPr>
        <w:t xml:space="preserve"> is statistically significant. For suicide attempt, the two databases diverge in direction entirely — </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shows under-reporting relative to background (ROR 0.16) while FAERS shows a non-significant over-reporting (ROR 1.39). This divergence is consistent with known sources of heterogeneity between the two systems: </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pools </w:t>
      </w:r>
      <w:proofErr w:type="gramStart"/>
      <w:r>
        <w:rPr>
          <w:rFonts w:ascii="Calibri" w:eastAsia="Calibri" w:hAnsi="Calibri" w:cs="Calibri"/>
          <w:sz w:val="22"/>
          <w:szCs w:val="22"/>
        </w:rPr>
        <w:t>reports</w:t>
      </w:r>
      <w:proofErr w:type="gramEnd"/>
      <w:r>
        <w:rPr>
          <w:rFonts w:ascii="Calibri" w:eastAsia="Calibri" w:hAnsi="Calibri" w:cs="Calibri"/>
          <w:sz w:val="22"/>
          <w:szCs w:val="22"/>
        </w:rPr>
        <w:t xml:space="preserve"> globally across more than 150 countries with differing reporting cultures and denominators, while FAERS reflects US-only reporting with its own comparator population. Given this instability across sources, no single database result should be treated as definitive; convergent evidence across databases is a stronger basis for signal escalation than a result from either database in isolation.</w:t>
      </w:r>
    </w:p>
    <w:p w14:paraId="6E654842"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8. Regulatory Context</w:t>
      </w:r>
    </w:p>
    <w:p w14:paraId="3E91EF55" w14:textId="77777777" w:rsidR="0013233F" w:rsidRDefault="00000000">
      <w:pPr>
        <w:spacing w:after="160" w:line="276" w:lineRule="auto"/>
      </w:pPr>
      <w:r>
        <w:rPr>
          <w:rFonts w:ascii="Calibri" w:eastAsia="Calibri" w:hAnsi="Calibri" w:cs="Calibri"/>
          <w:sz w:val="22"/>
          <w:szCs w:val="22"/>
        </w:rPr>
        <w:t>Regulators have already conducted a formal review of this exact signal, providing an important external benchmark for this memo's conclusions: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13233F" w14:paraId="413D9E5D"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7F976452" w14:textId="77777777" w:rsidR="0013233F" w:rsidRDefault="00000000">
            <w:pPr>
              <w:jc w:val="center"/>
            </w:pPr>
            <w:r>
              <w:rPr>
                <w:rFonts w:ascii="Calibri" w:eastAsia="Calibri" w:hAnsi="Calibri" w:cs="Calibri"/>
                <w:b/>
                <w:bCs/>
                <w:color w:val="FFFFFF"/>
              </w:rPr>
              <w:t>Date</w:t>
            </w:r>
          </w:p>
        </w:tc>
        <w:tc>
          <w:tcPr>
            <w:tcW w:w="7550" w:type="dxa"/>
            <w:shd w:val="clear" w:color="auto" w:fill="1F3864"/>
            <w:tcMar>
              <w:top w:w="80" w:type="dxa"/>
              <w:left w:w="100" w:type="dxa"/>
              <w:bottom w:w="80" w:type="dxa"/>
              <w:right w:w="100" w:type="dxa"/>
            </w:tcMar>
            <w:vAlign w:val="center"/>
          </w:tcPr>
          <w:p w14:paraId="6DF092D3" w14:textId="77777777" w:rsidR="0013233F" w:rsidRDefault="00000000">
            <w:r>
              <w:rPr>
                <w:rFonts w:ascii="Calibri" w:eastAsia="Calibri" w:hAnsi="Calibri" w:cs="Calibri"/>
                <w:b/>
                <w:bCs/>
                <w:color w:val="FFFFFF"/>
              </w:rPr>
              <w:t>Event</w:t>
            </w:r>
          </w:p>
        </w:tc>
      </w:tr>
      <w:tr w:rsidR="0013233F" w14:paraId="59582D88" w14:textId="77777777">
        <w:tblPrEx>
          <w:tblCellMar>
            <w:top w:w="0" w:type="dxa"/>
            <w:bottom w:w="0" w:type="dxa"/>
          </w:tblCellMar>
        </w:tblPrEx>
        <w:tc>
          <w:tcPr>
            <w:tcW w:w="1800" w:type="dxa"/>
            <w:tcMar>
              <w:top w:w="80" w:type="dxa"/>
              <w:left w:w="100" w:type="dxa"/>
              <w:bottom w:w="80" w:type="dxa"/>
              <w:right w:w="100" w:type="dxa"/>
            </w:tcMar>
            <w:vAlign w:val="center"/>
          </w:tcPr>
          <w:p w14:paraId="73F13D68" w14:textId="77777777" w:rsidR="0013233F" w:rsidRDefault="00000000">
            <w:pPr>
              <w:jc w:val="center"/>
            </w:pPr>
            <w:r>
              <w:rPr>
                <w:rFonts w:ascii="Calibri" w:eastAsia="Calibri" w:hAnsi="Calibri" w:cs="Calibri"/>
                <w:b/>
                <w:bCs/>
                <w:color w:val="000000"/>
              </w:rPr>
              <w:t>3 Jul 2023</w:t>
            </w:r>
          </w:p>
        </w:tc>
        <w:tc>
          <w:tcPr>
            <w:tcW w:w="7550" w:type="dxa"/>
            <w:tcMar>
              <w:top w:w="80" w:type="dxa"/>
              <w:left w:w="100" w:type="dxa"/>
              <w:bottom w:w="80" w:type="dxa"/>
              <w:right w:w="100" w:type="dxa"/>
            </w:tcMar>
            <w:vAlign w:val="center"/>
          </w:tcPr>
          <w:p w14:paraId="08CDC701" w14:textId="77777777" w:rsidR="0013233F" w:rsidRDefault="00000000">
            <w:r>
              <w:rPr>
                <w:rFonts w:ascii="Calibri" w:eastAsia="Calibri" w:hAnsi="Calibri" w:cs="Calibri"/>
                <w:color w:val="000000"/>
              </w:rPr>
              <w:t>Icelandic Medicines Agency reports 3 cases of suicidal/self-harm thoughts in patients on liraglutide/semaglutide. EMA's PRAC opens a formal safety review of the GLP-1 RA class.</w:t>
            </w:r>
          </w:p>
        </w:tc>
      </w:tr>
      <w:tr w:rsidR="0013233F" w14:paraId="61774352" w14:textId="77777777">
        <w:tblPrEx>
          <w:tblCellMar>
            <w:top w:w="0" w:type="dxa"/>
            <w:bottom w:w="0" w:type="dxa"/>
          </w:tblCellMar>
        </w:tblPrEx>
        <w:tc>
          <w:tcPr>
            <w:tcW w:w="1800" w:type="dxa"/>
            <w:tcMar>
              <w:top w:w="80" w:type="dxa"/>
              <w:left w:w="100" w:type="dxa"/>
              <w:bottom w:w="80" w:type="dxa"/>
              <w:right w:w="100" w:type="dxa"/>
            </w:tcMar>
            <w:vAlign w:val="center"/>
          </w:tcPr>
          <w:p w14:paraId="26D78EC7" w14:textId="77777777" w:rsidR="0013233F" w:rsidRDefault="00000000">
            <w:pPr>
              <w:jc w:val="center"/>
            </w:pPr>
            <w:r>
              <w:rPr>
                <w:rFonts w:ascii="Calibri" w:eastAsia="Calibri" w:hAnsi="Calibri" w:cs="Calibri"/>
                <w:b/>
                <w:bCs/>
                <w:color w:val="000000"/>
              </w:rPr>
              <w:t>2023</w:t>
            </w:r>
          </w:p>
        </w:tc>
        <w:tc>
          <w:tcPr>
            <w:tcW w:w="7550" w:type="dxa"/>
            <w:tcMar>
              <w:top w:w="80" w:type="dxa"/>
              <w:left w:w="100" w:type="dxa"/>
              <w:bottom w:w="80" w:type="dxa"/>
              <w:right w:w="100" w:type="dxa"/>
            </w:tcMar>
            <w:vAlign w:val="center"/>
          </w:tcPr>
          <w:p w14:paraId="368D3000" w14:textId="77777777" w:rsidR="0013233F" w:rsidRDefault="00000000">
            <w:r>
              <w:rPr>
                <w:rFonts w:ascii="Calibri" w:eastAsia="Calibri" w:hAnsi="Calibri" w:cs="Calibri"/>
                <w:color w:val="000000"/>
              </w:rPr>
              <w:t>EMA states it is analysing approx. 150 reports of possible suicidal ideation/self-injury cases across the class, against an exposure base of 20+ million patient-years.</w:t>
            </w:r>
          </w:p>
        </w:tc>
      </w:tr>
      <w:tr w:rsidR="0013233F" w14:paraId="40776329" w14:textId="77777777">
        <w:tblPrEx>
          <w:tblCellMar>
            <w:top w:w="0" w:type="dxa"/>
            <w:bottom w:w="0" w:type="dxa"/>
          </w:tblCellMar>
        </w:tblPrEx>
        <w:tc>
          <w:tcPr>
            <w:tcW w:w="1800" w:type="dxa"/>
            <w:tcMar>
              <w:top w:w="80" w:type="dxa"/>
              <w:left w:w="100" w:type="dxa"/>
              <w:bottom w:w="80" w:type="dxa"/>
              <w:right w:w="100" w:type="dxa"/>
            </w:tcMar>
            <w:vAlign w:val="center"/>
          </w:tcPr>
          <w:p w14:paraId="375E7A08" w14:textId="77777777" w:rsidR="0013233F" w:rsidRDefault="00000000">
            <w:pPr>
              <w:jc w:val="center"/>
            </w:pPr>
            <w:r>
              <w:rPr>
                <w:rFonts w:ascii="Calibri" w:eastAsia="Calibri" w:hAnsi="Calibri" w:cs="Calibri"/>
                <w:b/>
                <w:bCs/>
                <w:color w:val="000000"/>
              </w:rPr>
              <w:lastRenderedPageBreak/>
              <w:t>12 Apr 2024</w:t>
            </w:r>
          </w:p>
        </w:tc>
        <w:tc>
          <w:tcPr>
            <w:tcW w:w="7550" w:type="dxa"/>
            <w:tcMar>
              <w:top w:w="80" w:type="dxa"/>
              <w:left w:w="100" w:type="dxa"/>
              <w:bottom w:w="80" w:type="dxa"/>
              <w:right w:w="100" w:type="dxa"/>
            </w:tcMar>
            <w:vAlign w:val="center"/>
          </w:tcPr>
          <w:p w14:paraId="3E7C4532" w14:textId="77777777" w:rsidR="0013233F" w:rsidRDefault="00000000">
            <w:r>
              <w:rPr>
                <w:rFonts w:ascii="Calibri" w:eastAsia="Calibri" w:hAnsi="Calibri" w:cs="Calibri"/>
                <w:color w:val="000000"/>
              </w:rPr>
              <w:t>PRAC concludes: after reviewing non-clinical data, clinical trials, and post-marketing/spontaneous-report data, no update to product information is warranted. Continued monitoring required.</w:t>
            </w:r>
          </w:p>
        </w:tc>
      </w:tr>
      <w:tr w:rsidR="0013233F" w14:paraId="791DA0CD" w14:textId="77777777">
        <w:tblPrEx>
          <w:tblCellMar>
            <w:top w:w="0" w:type="dxa"/>
            <w:bottom w:w="0" w:type="dxa"/>
          </w:tblCellMar>
        </w:tblPrEx>
        <w:tc>
          <w:tcPr>
            <w:tcW w:w="1800" w:type="dxa"/>
            <w:tcMar>
              <w:top w:w="80" w:type="dxa"/>
              <w:left w:w="100" w:type="dxa"/>
              <w:bottom w:w="80" w:type="dxa"/>
              <w:right w:w="100" w:type="dxa"/>
            </w:tcMar>
            <w:vAlign w:val="center"/>
          </w:tcPr>
          <w:p w14:paraId="3F23E71F" w14:textId="77777777" w:rsidR="0013233F" w:rsidRDefault="00000000">
            <w:pPr>
              <w:jc w:val="center"/>
            </w:pPr>
            <w:r>
              <w:rPr>
                <w:rFonts w:ascii="Calibri" w:eastAsia="Calibri" w:hAnsi="Calibri" w:cs="Calibri"/>
                <w:b/>
                <w:bCs/>
                <w:color w:val="000000"/>
              </w:rPr>
              <w:t>2024–2026</w:t>
            </w:r>
          </w:p>
        </w:tc>
        <w:tc>
          <w:tcPr>
            <w:tcW w:w="7550" w:type="dxa"/>
            <w:tcMar>
              <w:top w:w="80" w:type="dxa"/>
              <w:left w:w="100" w:type="dxa"/>
              <w:bottom w:w="80" w:type="dxa"/>
              <w:right w:w="100" w:type="dxa"/>
            </w:tcMar>
            <w:vAlign w:val="center"/>
          </w:tcPr>
          <w:p w14:paraId="5F667830" w14:textId="77777777" w:rsidR="0013233F" w:rsidRDefault="00000000">
            <w:r>
              <w:rPr>
                <w:rFonts w:ascii="Calibri" w:eastAsia="Calibri" w:hAnsi="Calibri" w:cs="Calibri"/>
                <w:color w:val="000000"/>
              </w:rPr>
              <w:t xml:space="preserve">Independent disproportionality studies published (FAERS- and </w:t>
            </w:r>
            <w:proofErr w:type="spellStart"/>
            <w:r>
              <w:rPr>
                <w:rFonts w:ascii="Calibri" w:eastAsia="Calibri" w:hAnsi="Calibri" w:cs="Calibri"/>
                <w:color w:val="000000"/>
              </w:rPr>
              <w:t>VigiBase</w:t>
            </w:r>
            <w:proofErr w:type="spellEnd"/>
            <w:r>
              <w:rPr>
                <w:rFonts w:ascii="Calibri" w:eastAsia="Calibri" w:hAnsi="Calibri" w:cs="Calibri"/>
                <w:color w:val="000000"/>
              </w:rPr>
              <w:t>-based) — see statistical summary above.</w:t>
            </w:r>
          </w:p>
        </w:tc>
      </w:tr>
      <w:tr w:rsidR="0013233F" w14:paraId="56026D2B" w14:textId="77777777">
        <w:tblPrEx>
          <w:tblCellMar>
            <w:top w:w="0" w:type="dxa"/>
            <w:bottom w:w="0" w:type="dxa"/>
          </w:tblCellMar>
        </w:tblPrEx>
        <w:tc>
          <w:tcPr>
            <w:tcW w:w="1800" w:type="dxa"/>
            <w:tcMar>
              <w:top w:w="80" w:type="dxa"/>
              <w:left w:w="100" w:type="dxa"/>
              <w:bottom w:w="80" w:type="dxa"/>
              <w:right w:w="100" w:type="dxa"/>
            </w:tcMar>
            <w:vAlign w:val="center"/>
          </w:tcPr>
          <w:p w14:paraId="00AED0BD" w14:textId="77777777" w:rsidR="0013233F" w:rsidRDefault="00000000">
            <w:pPr>
              <w:jc w:val="center"/>
            </w:pPr>
            <w:r>
              <w:rPr>
                <w:rFonts w:ascii="Calibri" w:eastAsia="Calibri" w:hAnsi="Calibri" w:cs="Calibri"/>
                <w:b/>
                <w:bCs/>
                <w:color w:val="000000"/>
              </w:rPr>
              <w:t>13 Jan 2026</w:t>
            </w:r>
          </w:p>
        </w:tc>
        <w:tc>
          <w:tcPr>
            <w:tcW w:w="7550" w:type="dxa"/>
            <w:tcMar>
              <w:top w:w="80" w:type="dxa"/>
              <w:left w:w="100" w:type="dxa"/>
              <w:bottom w:w="80" w:type="dxa"/>
              <w:right w:w="100" w:type="dxa"/>
            </w:tcMar>
            <w:vAlign w:val="center"/>
          </w:tcPr>
          <w:p w14:paraId="4D8A844D" w14:textId="77777777" w:rsidR="0013233F" w:rsidRDefault="00000000">
            <w:r>
              <w:rPr>
                <w:rFonts w:ascii="Calibri" w:eastAsia="Calibri" w:hAnsi="Calibri" w:cs="Calibri"/>
                <w:color w:val="000000"/>
              </w:rPr>
              <w:t xml:space="preserve">FDA removes the Section 5 precautionary suicidality warning from Wegovy, </w:t>
            </w:r>
            <w:proofErr w:type="spellStart"/>
            <w:r>
              <w:rPr>
                <w:rFonts w:ascii="Calibri" w:eastAsia="Calibri" w:hAnsi="Calibri" w:cs="Calibri"/>
                <w:color w:val="000000"/>
              </w:rPr>
              <w:t>Saxenda</w:t>
            </w:r>
            <w:proofErr w:type="spellEnd"/>
            <w:r>
              <w:rPr>
                <w:rFonts w:ascii="Calibri" w:eastAsia="Calibri" w:hAnsi="Calibri" w:cs="Calibri"/>
                <w:color w:val="000000"/>
              </w:rPr>
              <w:t xml:space="preserve"> and Zepbound </w:t>
            </w:r>
            <w:proofErr w:type="spellStart"/>
            <w:r>
              <w:rPr>
                <w:rFonts w:ascii="Calibri" w:eastAsia="Calibri" w:hAnsi="Calibri" w:cs="Calibri"/>
                <w:color w:val="000000"/>
              </w:rPr>
              <w:t>labeling</w:t>
            </w:r>
            <w:proofErr w:type="spellEnd"/>
            <w:r>
              <w:rPr>
                <w:rFonts w:ascii="Calibri" w:eastAsia="Calibri" w:hAnsi="Calibri" w:cs="Calibri"/>
                <w:color w:val="000000"/>
              </w:rPr>
              <w:t xml:space="preserve"> after review of 91 placebo-controlled trials (~107,910 patients) found no causal signal.</w:t>
            </w:r>
          </w:p>
        </w:tc>
      </w:tr>
    </w:tbl>
    <w:p w14:paraId="3622DED7"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9. Assessment and Recommendation</w:t>
      </w:r>
    </w:p>
    <w:p w14:paraId="72CBBE3C" w14:textId="77777777" w:rsidR="0013233F" w:rsidRDefault="00000000">
      <w:pPr>
        <w:spacing w:after="160" w:line="276" w:lineRule="auto"/>
      </w:pPr>
      <w:r>
        <w:rPr>
          <w:rFonts w:ascii="Calibri" w:eastAsia="Calibri" w:hAnsi="Calibri" w:cs="Calibri"/>
          <w:sz w:val="22"/>
          <w:szCs w:val="22"/>
        </w:rPr>
        <w:t>Weighing the evidence above:</w:t>
      </w:r>
    </w:p>
    <w:p w14:paraId="0D4E05BA" w14:textId="77777777" w:rsidR="0013233F" w:rsidRDefault="00000000">
      <w:pPr>
        <w:pStyle w:val="ListParagraph"/>
        <w:numPr>
          <w:ilvl w:val="0"/>
          <w:numId w:val="2"/>
        </w:numPr>
        <w:spacing w:after="80"/>
      </w:pPr>
      <w:r>
        <w:rPr>
          <w:rFonts w:ascii="Calibri" w:eastAsia="Calibri" w:hAnsi="Calibri" w:cs="Calibri"/>
          <w:sz w:val="22"/>
          <w:szCs w:val="22"/>
        </w:rPr>
        <w:t>Disproportionality findings are modest in magnitude and inconsistent in statistical significance across terms and databases.</w:t>
      </w:r>
    </w:p>
    <w:p w14:paraId="053E62DA" w14:textId="77777777" w:rsidR="0013233F" w:rsidRDefault="00000000">
      <w:pPr>
        <w:pStyle w:val="ListParagraph"/>
        <w:numPr>
          <w:ilvl w:val="0"/>
          <w:numId w:val="2"/>
        </w:numPr>
        <w:spacing w:after="80"/>
      </w:pPr>
      <w:r>
        <w:rPr>
          <w:rFonts w:ascii="Calibri" w:eastAsia="Calibri" w:hAnsi="Calibri" w:cs="Calibri"/>
          <w:sz w:val="22"/>
          <w:szCs w:val="22"/>
        </w:rPr>
        <w:t xml:space="preserve">No term in the FAERS analysis meets the stricter PRR-based signal threshold (PRR ≥ 2, chi-square ≥ 4, a ≥ 3); only </w:t>
      </w:r>
      <w:proofErr w:type="spellStart"/>
      <w:r>
        <w:rPr>
          <w:rFonts w:ascii="Calibri" w:eastAsia="Calibri" w:hAnsi="Calibri" w:cs="Calibri"/>
          <w:sz w:val="22"/>
          <w:szCs w:val="22"/>
        </w:rPr>
        <w:t>VigiBase's</w:t>
      </w:r>
      <w:proofErr w:type="spellEnd"/>
      <w:r>
        <w:rPr>
          <w:rFonts w:ascii="Calibri" w:eastAsia="Calibri" w:hAnsi="Calibri" w:cs="Calibri"/>
          <w:sz w:val="22"/>
          <w:szCs w:val="22"/>
        </w:rPr>
        <w:t xml:space="preserve"> suicidal ideation result clears the ROR-based threshold.</w:t>
      </w:r>
    </w:p>
    <w:p w14:paraId="4562F41A" w14:textId="77777777" w:rsidR="0013233F" w:rsidRDefault="00000000">
      <w:pPr>
        <w:pStyle w:val="ListParagraph"/>
        <w:numPr>
          <w:ilvl w:val="0"/>
          <w:numId w:val="2"/>
        </w:numPr>
        <w:spacing w:after="80"/>
      </w:pPr>
      <w:r>
        <w:rPr>
          <w:rFonts w:ascii="Calibri" w:eastAsia="Calibri" w:hAnsi="Calibri" w:cs="Calibri"/>
          <w:sz w:val="22"/>
          <w:szCs w:val="22"/>
        </w:rPr>
        <w:t>Confounding by indication (obesity/depression comorbidity in the treated population) is a plausible alternative explanation not addressed by disproportionality statistics alone.</w:t>
      </w:r>
    </w:p>
    <w:p w14:paraId="003B580D" w14:textId="77777777" w:rsidR="0013233F" w:rsidRDefault="00000000">
      <w:pPr>
        <w:pStyle w:val="ListParagraph"/>
        <w:numPr>
          <w:ilvl w:val="0"/>
          <w:numId w:val="2"/>
        </w:numPr>
        <w:spacing w:after="80"/>
      </w:pPr>
      <w:r>
        <w:rPr>
          <w:rFonts w:ascii="Calibri" w:eastAsia="Calibri" w:hAnsi="Calibri" w:cs="Calibri"/>
          <w:sz w:val="22"/>
          <w:szCs w:val="22"/>
        </w:rPr>
        <w:t xml:space="preserve">This exact signal has already undergone formal regulatory review (EMA PRAC, concluded April 2024) with a conclusion of no product information update required, subsequently reinforced by FDA's removal of precautionary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in January 2026 based on pooled randomized-trial evidence — a substantially stronger evidence base than spontaneous reports.</w:t>
      </w:r>
    </w:p>
    <w:p w14:paraId="7FAD8C96" w14:textId="77777777" w:rsidR="0013233F" w:rsidRDefault="00000000">
      <w:pPr>
        <w:spacing w:after="160" w:line="276" w:lineRule="auto"/>
      </w:pPr>
      <w:r>
        <w:rPr>
          <w:rFonts w:ascii="Calibri" w:eastAsia="Calibri" w:hAnsi="Calibri" w:cs="Calibri"/>
          <w:sz w:val="22"/>
          <w:szCs w:val="22"/>
        </w:rPr>
        <w:t xml:space="preserve">Recommendation: No new regulatory action is warranted at this time; this aligns with EMA PRAC's April 2024 conclusion and the FDA's January 2026 </w:t>
      </w:r>
      <w:proofErr w:type="spellStart"/>
      <w:r>
        <w:rPr>
          <w:rFonts w:ascii="Calibri" w:eastAsia="Calibri" w:hAnsi="Calibri" w:cs="Calibri"/>
          <w:sz w:val="22"/>
          <w:szCs w:val="22"/>
        </w:rPr>
        <w:t>labeling</w:t>
      </w:r>
      <w:proofErr w:type="spellEnd"/>
      <w:r>
        <w:rPr>
          <w:rFonts w:ascii="Calibri" w:eastAsia="Calibri" w:hAnsi="Calibri" w:cs="Calibri"/>
          <w:sz w:val="22"/>
          <w:szCs w:val="22"/>
        </w:rPr>
        <w:t xml:space="preserve"> decision, both of which drew on larger and more rigorous evidence (randomized trial data, non-clinical data) than the spontaneous-report disproportionality analysis in this memo. However, routine signal monitoring should continue rather than closing the signal outright, for three reasons drawn directly from the evidence above: (1) </w:t>
      </w:r>
      <w:proofErr w:type="spellStart"/>
      <w:r>
        <w:rPr>
          <w:rFonts w:ascii="Calibri" w:eastAsia="Calibri" w:hAnsi="Calibri" w:cs="Calibri"/>
          <w:sz w:val="22"/>
          <w:szCs w:val="22"/>
        </w:rPr>
        <w:t>dechallenge</w:t>
      </w:r>
      <w:proofErr w:type="spellEnd"/>
      <w:r>
        <w:rPr>
          <w:rFonts w:ascii="Calibri" w:eastAsia="Calibri" w:hAnsi="Calibri" w:cs="Calibri"/>
          <w:sz w:val="22"/>
          <w:szCs w:val="22"/>
        </w:rPr>
        <w:t xml:space="preserve"> evidence in Section 5 shows partial symptom resolution in a meaningful minority but not the majority of cases, leaving a genuine causal contribution un-excluded; (2) the temporality criterion is satisfied (Section 6) even though the dose-response criterion is not, a pattern that does not cleanly rule in or rule out causality; and (3) confounding by indication (Section 4) remains unaddressed by any of the disproportionality figures cited. Enhanced prescriber-level mood screening during the first three months of treatment — the window in which case reports concentrate — is a proportionate interim measure that does not require a formal label change.</w:t>
      </w:r>
    </w:p>
    <w:p w14:paraId="3FF75A98" w14:textId="77777777" w:rsidR="0013233F" w:rsidRDefault="00000000">
      <w:pPr>
        <w:pStyle w:val="Heading1"/>
        <w:pBdr>
          <w:bottom w:val="single" w:sz="6" w:space="4" w:color="1F3864"/>
        </w:pBdr>
        <w:spacing w:before="320" w:after="160"/>
      </w:pPr>
      <w:r>
        <w:rPr>
          <w:rFonts w:ascii="Calibri" w:eastAsia="Calibri" w:hAnsi="Calibri" w:cs="Calibri"/>
          <w:b/>
          <w:bCs/>
          <w:color w:val="1F3864"/>
          <w:sz w:val="28"/>
          <w:szCs w:val="28"/>
        </w:rPr>
        <w:t>10. Limitations of This Analysis</w:t>
      </w:r>
    </w:p>
    <w:p w14:paraId="0F5B4413" w14:textId="77777777" w:rsidR="0013233F" w:rsidRDefault="00000000">
      <w:pPr>
        <w:pStyle w:val="ListParagraph"/>
        <w:numPr>
          <w:ilvl w:val="0"/>
          <w:numId w:val="2"/>
        </w:numPr>
        <w:spacing w:after="80"/>
      </w:pPr>
      <w:r>
        <w:rPr>
          <w:rFonts w:ascii="Calibri" w:eastAsia="Calibri" w:hAnsi="Calibri" w:cs="Calibri"/>
          <w:sz w:val="22"/>
          <w:szCs w:val="22"/>
        </w:rPr>
        <w:t>Two of five target MedDRA terms had no available case-count data (see Section 2).</w:t>
      </w:r>
    </w:p>
    <w:p w14:paraId="3B4F51FD" w14:textId="77777777" w:rsidR="0013233F" w:rsidRDefault="00000000">
      <w:pPr>
        <w:pStyle w:val="ListParagraph"/>
        <w:numPr>
          <w:ilvl w:val="0"/>
          <w:numId w:val="2"/>
        </w:numPr>
        <w:spacing w:after="80"/>
      </w:pPr>
      <w:r>
        <w:rPr>
          <w:rFonts w:ascii="Calibri" w:eastAsia="Calibri" w:hAnsi="Calibri" w:cs="Calibri"/>
          <w:sz w:val="22"/>
          <w:szCs w:val="22"/>
        </w:rPr>
        <w:t>Reconstructed denominators were required for several statistics where source publications reported only summary ROR/CI without raw contingency table counts; these are clearly flagged in the Phase 1 worksheet and should not be cited as official FAERS/</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figures.</w:t>
      </w:r>
    </w:p>
    <w:p w14:paraId="6D091C84" w14:textId="77777777" w:rsidR="0013233F" w:rsidRDefault="00000000">
      <w:pPr>
        <w:pStyle w:val="ListParagraph"/>
        <w:numPr>
          <w:ilvl w:val="0"/>
          <w:numId w:val="2"/>
        </w:numPr>
        <w:spacing w:after="80"/>
      </w:pPr>
      <w:proofErr w:type="spellStart"/>
      <w:r>
        <w:rPr>
          <w:rFonts w:ascii="Calibri" w:eastAsia="Calibri" w:hAnsi="Calibri" w:cs="Calibri"/>
          <w:sz w:val="22"/>
          <w:szCs w:val="22"/>
        </w:rPr>
        <w:t>Dechallenge</w:t>
      </w:r>
      <w:proofErr w:type="spellEnd"/>
      <w:r>
        <w:rPr>
          <w:rFonts w:ascii="Calibri" w:eastAsia="Calibri" w:hAnsi="Calibri" w:cs="Calibri"/>
          <w:sz w:val="22"/>
          <w:szCs w:val="22"/>
        </w:rPr>
        <w:t xml:space="preserve">/rechallenge and temporal evidence in Sections 5–6 is drawn from a small number of published case reports and one pooled </w:t>
      </w:r>
      <w:proofErr w:type="spellStart"/>
      <w:r>
        <w:rPr>
          <w:rFonts w:ascii="Calibri" w:eastAsia="Calibri" w:hAnsi="Calibri" w:cs="Calibri"/>
          <w:sz w:val="22"/>
          <w:szCs w:val="22"/>
        </w:rPr>
        <w:t>EudraVigilance</w:t>
      </w:r>
      <w:proofErr w:type="spellEnd"/>
      <w:r>
        <w:rPr>
          <w:rFonts w:ascii="Calibri" w:eastAsia="Calibri" w:hAnsi="Calibri" w:cs="Calibri"/>
          <w:sz w:val="22"/>
          <w:szCs w:val="22"/>
        </w:rPr>
        <w:t xml:space="preserve"> analysis, not from independent case-level review of the </w:t>
      </w:r>
      <w:r>
        <w:rPr>
          <w:rFonts w:ascii="Calibri" w:eastAsia="Calibri" w:hAnsi="Calibri" w:cs="Calibri"/>
          <w:sz w:val="22"/>
          <w:szCs w:val="22"/>
        </w:rPr>
        <w:lastRenderedPageBreak/>
        <w:t>FAERS/</w:t>
      </w:r>
      <w:proofErr w:type="spellStart"/>
      <w:r>
        <w:rPr>
          <w:rFonts w:ascii="Calibri" w:eastAsia="Calibri" w:hAnsi="Calibri" w:cs="Calibri"/>
          <w:sz w:val="22"/>
          <w:szCs w:val="22"/>
        </w:rPr>
        <w:t>VigiBase</w:t>
      </w:r>
      <w:proofErr w:type="spellEnd"/>
      <w:r>
        <w:rPr>
          <w:rFonts w:ascii="Calibri" w:eastAsia="Calibri" w:hAnsi="Calibri" w:cs="Calibri"/>
          <w:sz w:val="22"/>
          <w:szCs w:val="22"/>
        </w:rPr>
        <w:t xml:space="preserve"> reports underlying this memo's own statistics — the two evidence streams have not been formally linked.</w:t>
      </w:r>
    </w:p>
    <w:p w14:paraId="1197EA58" w14:textId="77777777" w:rsidR="0013233F" w:rsidRDefault="00000000">
      <w:pPr>
        <w:pStyle w:val="ListParagraph"/>
        <w:numPr>
          <w:ilvl w:val="0"/>
          <w:numId w:val="2"/>
        </w:numPr>
        <w:spacing w:after="80"/>
      </w:pPr>
      <w:r>
        <w:rPr>
          <w:rFonts w:ascii="Calibri" w:eastAsia="Calibri" w:hAnsi="Calibri" w:cs="Calibri"/>
          <w:sz w:val="22"/>
          <w:szCs w:val="22"/>
        </w:rPr>
        <w:t>No formal adjustment for confounding by indication was performed; Section 4 discusses this qualitatively but does not include an adjusted analysis (e.g. active-comparator or propensity-matched design).</w:t>
      </w:r>
    </w:p>
    <w:p w14:paraId="0C05E526" w14:textId="77777777" w:rsidR="0013233F" w:rsidRDefault="00000000">
      <w:pPr>
        <w:pStyle w:val="ListParagraph"/>
        <w:numPr>
          <w:ilvl w:val="0"/>
          <w:numId w:val="2"/>
        </w:numPr>
        <w:spacing w:after="80"/>
      </w:pPr>
      <w:r>
        <w:rPr>
          <w:rFonts w:ascii="Calibri" w:eastAsia="Calibri" w:hAnsi="Calibri" w:cs="Calibri"/>
          <w:sz w:val="22"/>
          <w:szCs w:val="22"/>
        </w:rPr>
        <w:t>Live querying of the FAERS Public Dashboard was not possible during this project; all figures are drawn from previously published literature current as of the search dates used in Phase 1.</w:t>
      </w:r>
    </w:p>
    <w:sectPr w:rsidR="0013233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803A" w14:textId="77777777" w:rsidR="00752FA4" w:rsidRDefault="00752FA4">
      <w:r>
        <w:separator/>
      </w:r>
    </w:p>
  </w:endnote>
  <w:endnote w:type="continuationSeparator" w:id="0">
    <w:p w14:paraId="4A69C4DB" w14:textId="77777777" w:rsidR="00752FA4" w:rsidRDefault="0075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4CCB" w14:textId="77777777" w:rsidR="0013233F"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EF62CC">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74C2" w14:textId="77777777" w:rsidR="00752FA4" w:rsidRDefault="00752FA4">
      <w:r>
        <w:separator/>
      </w:r>
    </w:p>
  </w:footnote>
  <w:footnote w:type="continuationSeparator" w:id="0">
    <w:p w14:paraId="33706B08" w14:textId="77777777" w:rsidR="00752FA4" w:rsidRDefault="00752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1872" w14:textId="77777777" w:rsidR="0013233F" w:rsidRDefault="00000000">
    <w:pPr>
      <w:jc w:val="right"/>
    </w:pPr>
    <w:r>
      <w:rPr>
        <w:rFonts w:ascii="Calibri" w:eastAsia="Calibri" w:hAnsi="Calibri" w:cs="Calibri"/>
        <w:i/>
        <w:iCs/>
        <w:color w:val="888888"/>
        <w:sz w:val="16"/>
        <w:szCs w:val="16"/>
      </w:rPr>
      <w:t>Signal Validation Memo — Semaglutide / Suicidality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E03E4"/>
    <w:multiLevelType w:val="hybridMultilevel"/>
    <w:tmpl w:val="F93886D2"/>
    <w:lvl w:ilvl="0" w:tplc="A2C6F16C">
      <w:start w:val="1"/>
      <w:numFmt w:val="bullet"/>
      <w:lvlText w:val="•"/>
      <w:lvlJc w:val="left"/>
      <w:pPr>
        <w:ind w:left="400" w:hanging="260"/>
      </w:pPr>
    </w:lvl>
    <w:lvl w:ilvl="1" w:tplc="859EA578">
      <w:numFmt w:val="decimal"/>
      <w:lvlText w:val=""/>
      <w:lvlJc w:val="left"/>
    </w:lvl>
    <w:lvl w:ilvl="2" w:tplc="8AE2664A">
      <w:numFmt w:val="decimal"/>
      <w:lvlText w:val=""/>
      <w:lvlJc w:val="left"/>
    </w:lvl>
    <w:lvl w:ilvl="3" w:tplc="83D63A56">
      <w:numFmt w:val="decimal"/>
      <w:lvlText w:val=""/>
      <w:lvlJc w:val="left"/>
    </w:lvl>
    <w:lvl w:ilvl="4" w:tplc="743C854E">
      <w:numFmt w:val="decimal"/>
      <w:lvlText w:val=""/>
      <w:lvlJc w:val="left"/>
    </w:lvl>
    <w:lvl w:ilvl="5" w:tplc="A524E52E">
      <w:numFmt w:val="decimal"/>
      <w:lvlText w:val=""/>
      <w:lvlJc w:val="left"/>
    </w:lvl>
    <w:lvl w:ilvl="6" w:tplc="B044A876">
      <w:numFmt w:val="decimal"/>
      <w:lvlText w:val=""/>
      <w:lvlJc w:val="left"/>
    </w:lvl>
    <w:lvl w:ilvl="7" w:tplc="2A94FC14">
      <w:numFmt w:val="decimal"/>
      <w:lvlText w:val=""/>
      <w:lvlJc w:val="left"/>
    </w:lvl>
    <w:lvl w:ilvl="8" w:tplc="15B62570">
      <w:numFmt w:val="decimal"/>
      <w:lvlText w:val=""/>
      <w:lvlJc w:val="left"/>
    </w:lvl>
  </w:abstractNum>
  <w:abstractNum w:abstractNumId="1" w15:restartNumberingAfterBreak="0">
    <w:nsid w:val="73C808A8"/>
    <w:multiLevelType w:val="hybridMultilevel"/>
    <w:tmpl w:val="AF1C4E18"/>
    <w:lvl w:ilvl="0" w:tplc="5052DB4A">
      <w:start w:val="1"/>
      <w:numFmt w:val="bullet"/>
      <w:lvlText w:val="●"/>
      <w:lvlJc w:val="left"/>
      <w:pPr>
        <w:ind w:left="720" w:hanging="360"/>
      </w:pPr>
    </w:lvl>
    <w:lvl w:ilvl="1" w:tplc="419C89C2">
      <w:start w:val="1"/>
      <w:numFmt w:val="bullet"/>
      <w:lvlText w:val="○"/>
      <w:lvlJc w:val="left"/>
      <w:pPr>
        <w:ind w:left="1440" w:hanging="360"/>
      </w:pPr>
    </w:lvl>
    <w:lvl w:ilvl="2" w:tplc="7B6A07DC">
      <w:start w:val="1"/>
      <w:numFmt w:val="bullet"/>
      <w:lvlText w:val="■"/>
      <w:lvlJc w:val="left"/>
      <w:pPr>
        <w:ind w:left="2160" w:hanging="360"/>
      </w:pPr>
    </w:lvl>
    <w:lvl w:ilvl="3" w:tplc="079A2282">
      <w:start w:val="1"/>
      <w:numFmt w:val="bullet"/>
      <w:lvlText w:val="●"/>
      <w:lvlJc w:val="left"/>
      <w:pPr>
        <w:ind w:left="2880" w:hanging="360"/>
      </w:pPr>
    </w:lvl>
    <w:lvl w:ilvl="4" w:tplc="197ABDB0">
      <w:start w:val="1"/>
      <w:numFmt w:val="bullet"/>
      <w:lvlText w:val="○"/>
      <w:lvlJc w:val="left"/>
      <w:pPr>
        <w:ind w:left="3600" w:hanging="360"/>
      </w:pPr>
    </w:lvl>
    <w:lvl w:ilvl="5" w:tplc="8C7ACC6E">
      <w:start w:val="1"/>
      <w:numFmt w:val="bullet"/>
      <w:lvlText w:val="■"/>
      <w:lvlJc w:val="left"/>
      <w:pPr>
        <w:ind w:left="4320" w:hanging="360"/>
      </w:pPr>
    </w:lvl>
    <w:lvl w:ilvl="6" w:tplc="0FDA88B4">
      <w:start w:val="1"/>
      <w:numFmt w:val="bullet"/>
      <w:lvlText w:val="●"/>
      <w:lvlJc w:val="left"/>
      <w:pPr>
        <w:ind w:left="5040" w:hanging="360"/>
      </w:pPr>
    </w:lvl>
    <w:lvl w:ilvl="7" w:tplc="06E86BE2">
      <w:start w:val="1"/>
      <w:numFmt w:val="bullet"/>
      <w:lvlText w:val="●"/>
      <w:lvlJc w:val="left"/>
      <w:pPr>
        <w:ind w:left="5760" w:hanging="360"/>
      </w:pPr>
    </w:lvl>
    <w:lvl w:ilvl="8" w:tplc="43C42214">
      <w:start w:val="1"/>
      <w:numFmt w:val="bullet"/>
      <w:lvlText w:val="●"/>
      <w:lvlJc w:val="left"/>
      <w:pPr>
        <w:ind w:left="6480" w:hanging="360"/>
      </w:pPr>
    </w:lvl>
  </w:abstractNum>
  <w:num w:numId="1" w16cid:durableId="1379086907">
    <w:abstractNumId w:val="1"/>
    <w:lvlOverride w:ilvl="0">
      <w:startOverride w:val="1"/>
    </w:lvlOverride>
  </w:num>
  <w:num w:numId="2" w16cid:durableId="270549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33F"/>
    <w:rsid w:val="0013233F"/>
    <w:rsid w:val="00752FA4"/>
    <w:rsid w:val="008F0AA4"/>
    <w:rsid w:val="00EF62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FC7C"/>
  <w15:docId w15:val="{4ECD0335-91C3-441A-A039-9AEF45A1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2245</Words>
  <Characters>12803</Characters>
  <Application>Microsoft Office Word</Application>
  <DocSecurity>0</DocSecurity>
  <Lines>106</Lines>
  <Paragraphs>30</Paragraphs>
  <ScaleCrop>false</ScaleCrop>
  <Company/>
  <LinksUpToDate>false</LinksUpToDate>
  <CharactersWithSpaces>15018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ZEEHAAN AKTAR</cp:lastModifiedBy>
  <cp:revision>2</cp:revision>
  <dcterms:created xsi:type="dcterms:W3CDTF">2026-09-10T15:27:00Z</dcterms:created>
  <dcterms:modified xsi:type="dcterms:W3CDTF">2026-09-16T09:06:00Z</dcterms:modified>
</cp:coreProperties>
</file>