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CF20" w14:textId="08626BDD" w:rsidR="00CF39E2" w:rsidRPr="00770AA5" w:rsidRDefault="00CF39E2" w:rsidP="00770AA5">
      <w:pPr>
        <w:jc w:val="center"/>
        <w:rPr>
          <w:b/>
          <w:bCs/>
          <w:sz w:val="28"/>
          <w:szCs w:val="28"/>
        </w:rPr>
      </w:pPr>
      <w:r w:rsidRPr="00770AA5">
        <w:rPr>
          <w:b/>
          <w:bCs/>
          <w:sz w:val="28"/>
          <w:szCs w:val="28"/>
        </w:rPr>
        <w:t xml:space="preserve">Will high inflation and interest rates </w:t>
      </w:r>
      <w:r w:rsidR="00770AA5" w:rsidRPr="00770AA5">
        <w:rPr>
          <w:b/>
          <w:bCs/>
          <w:sz w:val="28"/>
          <w:szCs w:val="28"/>
        </w:rPr>
        <w:t xml:space="preserve">bring the US economy </w:t>
      </w:r>
      <w:r w:rsidR="00770AA5">
        <w:rPr>
          <w:b/>
          <w:bCs/>
          <w:sz w:val="28"/>
          <w:szCs w:val="28"/>
        </w:rPr>
        <w:t>in</w:t>
      </w:r>
      <w:r w:rsidR="00770AA5" w:rsidRPr="00770AA5">
        <w:rPr>
          <w:b/>
          <w:bCs/>
          <w:sz w:val="28"/>
          <w:szCs w:val="28"/>
        </w:rPr>
        <w:t>to a recession?</w:t>
      </w:r>
    </w:p>
    <w:p w14:paraId="47634255" w14:textId="330748E0" w:rsidR="00EA2CEB" w:rsidRPr="0069698F" w:rsidRDefault="002F783E">
      <w:pPr>
        <w:rPr>
          <w:b/>
          <w:bCs/>
        </w:rPr>
      </w:pPr>
      <w:r>
        <w:rPr>
          <w:b/>
          <w:bCs/>
        </w:rPr>
        <w:t>Findings on Inflation</w:t>
      </w:r>
      <w:r w:rsidR="009C77C8">
        <w:rPr>
          <w:b/>
          <w:bCs/>
        </w:rPr>
        <w:t xml:space="preserve"> and</w:t>
      </w:r>
      <w:r w:rsidR="00810E89">
        <w:rPr>
          <w:b/>
          <w:bCs/>
        </w:rPr>
        <w:t xml:space="preserve"> Interest rates</w:t>
      </w:r>
    </w:p>
    <w:p w14:paraId="5641AD1B" w14:textId="495CA66E" w:rsidR="00EA2CEB" w:rsidRDefault="00D16FCD">
      <w:pPr>
        <w:rPr>
          <w:noProof/>
        </w:rPr>
      </w:pPr>
      <w:r>
        <w:rPr>
          <w:noProof/>
        </w:rPr>
        <w:t>The above data shows the federal funds rate</w:t>
      </w:r>
      <w:r w:rsidR="002F26BC">
        <w:rPr>
          <w:noProof/>
        </w:rPr>
        <w:t xml:space="preserve">, </w:t>
      </w:r>
      <w:r w:rsidR="00BF002A">
        <w:rPr>
          <w:noProof/>
        </w:rPr>
        <w:t xml:space="preserve">change in </w:t>
      </w:r>
      <w:r w:rsidR="00933E6B">
        <w:rPr>
          <w:noProof/>
        </w:rPr>
        <w:t>Personal Consumption Expenditure</w:t>
      </w:r>
      <w:r w:rsidR="006E760E">
        <w:rPr>
          <w:noProof/>
        </w:rPr>
        <w:t xml:space="preserve"> (</w:t>
      </w:r>
      <w:r w:rsidR="00933E6B">
        <w:rPr>
          <w:noProof/>
        </w:rPr>
        <w:t>PCE</w:t>
      </w:r>
      <w:r w:rsidR="006E760E">
        <w:rPr>
          <w:noProof/>
        </w:rPr>
        <w:t>)</w:t>
      </w:r>
      <w:r w:rsidR="00E208DC">
        <w:rPr>
          <w:noProof/>
        </w:rPr>
        <w:t xml:space="preserve"> Index</w:t>
      </w:r>
      <w:r w:rsidR="002F26BC">
        <w:rPr>
          <w:noProof/>
        </w:rPr>
        <w:t xml:space="preserve"> and </w:t>
      </w:r>
      <w:r w:rsidR="00E208DC">
        <w:rPr>
          <w:noProof/>
        </w:rPr>
        <w:t xml:space="preserve">Core </w:t>
      </w:r>
      <w:r w:rsidR="002F26BC">
        <w:rPr>
          <w:noProof/>
        </w:rPr>
        <w:t>Consumer Price Index (CPI)</w:t>
      </w:r>
      <w:r w:rsidR="00B01AE4">
        <w:rPr>
          <w:noProof/>
        </w:rPr>
        <w:t xml:space="preserve"> in percentage</w:t>
      </w:r>
      <w:r w:rsidR="006E760E">
        <w:rPr>
          <w:noProof/>
        </w:rPr>
        <w:t xml:space="preserve">. The above </w:t>
      </w:r>
      <w:r w:rsidR="00933E6B">
        <w:rPr>
          <w:noProof/>
        </w:rPr>
        <w:t>PCE</w:t>
      </w:r>
      <w:r w:rsidR="006E760E">
        <w:rPr>
          <w:noProof/>
        </w:rPr>
        <w:t xml:space="preserve"> </w:t>
      </w:r>
      <w:r w:rsidR="002F26BC">
        <w:rPr>
          <w:noProof/>
        </w:rPr>
        <w:t xml:space="preserve">and CPI </w:t>
      </w:r>
      <w:r w:rsidR="006E760E">
        <w:rPr>
          <w:noProof/>
        </w:rPr>
        <w:t xml:space="preserve">in % is calculated by </w:t>
      </w:r>
      <w:r w:rsidR="00BF002A">
        <w:rPr>
          <w:noProof/>
        </w:rPr>
        <w:t xml:space="preserve">the change </w:t>
      </w:r>
      <w:r w:rsidR="001F5AC5">
        <w:rPr>
          <w:noProof/>
        </w:rPr>
        <w:t>over a period of 1 year.</w:t>
      </w:r>
    </w:p>
    <w:p w14:paraId="4B54AA06" w14:textId="5B6EE5E8" w:rsidR="007C3E59" w:rsidRDefault="00273FCD">
      <w:pPr>
        <w:rPr>
          <w:noProof/>
        </w:rPr>
      </w:pPr>
      <w:r>
        <w:rPr>
          <w:noProof/>
        </w:rPr>
        <w:t xml:space="preserve">From </w:t>
      </w:r>
      <w:r w:rsidR="001059C3">
        <w:rPr>
          <w:noProof/>
        </w:rPr>
        <w:t xml:space="preserve">the start of 2020, the federal funds rate was below </w:t>
      </w:r>
      <w:r w:rsidR="00717CBC">
        <w:rPr>
          <w:noProof/>
        </w:rPr>
        <w:t>PCE</w:t>
      </w:r>
      <w:r w:rsidR="002F26BC">
        <w:rPr>
          <w:noProof/>
        </w:rPr>
        <w:t xml:space="preserve"> and CPI</w:t>
      </w:r>
      <w:r w:rsidR="001059C3">
        <w:rPr>
          <w:noProof/>
        </w:rPr>
        <w:t xml:space="preserve">, indicating </w:t>
      </w:r>
      <w:r w:rsidR="00B94FCE">
        <w:rPr>
          <w:noProof/>
        </w:rPr>
        <w:t>a expansionary</w:t>
      </w:r>
      <w:r w:rsidR="001059C3">
        <w:rPr>
          <w:noProof/>
        </w:rPr>
        <w:t xml:space="preserve"> monetary policy </w:t>
      </w:r>
      <w:r w:rsidR="00A074EA">
        <w:rPr>
          <w:noProof/>
        </w:rPr>
        <w:t xml:space="preserve">from the </w:t>
      </w:r>
      <w:r w:rsidR="007C3E59">
        <w:rPr>
          <w:noProof/>
        </w:rPr>
        <w:t>F</w:t>
      </w:r>
      <w:r w:rsidR="00A074EA">
        <w:rPr>
          <w:noProof/>
        </w:rPr>
        <w:t xml:space="preserve">ederal </w:t>
      </w:r>
      <w:r w:rsidR="007C3E59">
        <w:rPr>
          <w:noProof/>
        </w:rPr>
        <w:t>R</w:t>
      </w:r>
      <w:r w:rsidR="00A074EA">
        <w:rPr>
          <w:noProof/>
        </w:rPr>
        <w:t>eserve</w:t>
      </w:r>
      <w:r w:rsidR="007C3E59">
        <w:rPr>
          <w:noProof/>
        </w:rPr>
        <w:t>.</w:t>
      </w:r>
      <w:r w:rsidR="00A074EA">
        <w:rPr>
          <w:noProof/>
        </w:rPr>
        <w:t xml:space="preserve"> </w:t>
      </w:r>
      <w:r w:rsidR="00BF084F">
        <w:rPr>
          <w:noProof/>
        </w:rPr>
        <w:t xml:space="preserve">From April 2020 to February 2022, interest rates remained close to </w:t>
      </w:r>
      <w:r w:rsidR="00DD29D1">
        <w:rPr>
          <w:noProof/>
        </w:rPr>
        <w:t xml:space="preserve">0 as the </w:t>
      </w:r>
      <w:r w:rsidR="00757659">
        <w:rPr>
          <w:noProof/>
        </w:rPr>
        <w:t>Federal Reserve</w:t>
      </w:r>
      <w:r w:rsidR="00DD29D1">
        <w:rPr>
          <w:noProof/>
        </w:rPr>
        <w:t xml:space="preserve"> </w:t>
      </w:r>
      <w:r w:rsidR="005C3A77">
        <w:rPr>
          <w:noProof/>
        </w:rPr>
        <w:t>stimulated the economy during covid</w:t>
      </w:r>
      <w:r w:rsidR="00ED5CB8">
        <w:rPr>
          <w:noProof/>
        </w:rPr>
        <w:t xml:space="preserve">. From </w:t>
      </w:r>
      <w:r w:rsidR="00E208DC">
        <w:rPr>
          <w:noProof/>
        </w:rPr>
        <w:t>February</w:t>
      </w:r>
      <w:r w:rsidR="00A651BC">
        <w:rPr>
          <w:noProof/>
        </w:rPr>
        <w:t xml:space="preserve"> to April 2021, inflation data showed a jump of </w:t>
      </w:r>
      <w:r w:rsidR="00E208DC">
        <w:rPr>
          <w:noProof/>
        </w:rPr>
        <w:t>67</w:t>
      </w:r>
      <w:r w:rsidR="0069698F">
        <w:rPr>
          <w:noProof/>
        </w:rPr>
        <w:t>%</w:t>
      </w:r>
      <w:r w:rsidR="00E208DC">
        <w:rPr>
          <w:noProof/>
        </w:rPr>
        <w:t xml:space="preserve"> and 70%</w:t>
      </w:r>
      <w:r w:rsidR="002F26BC">
        <w:rPr>
          <w:noProof/>
        </w:rPr>
        <w:t xml:space="preserve"> for </w:t>
      </w:r>
      <w:r w:rsidR="0069698F">
        <w:rPr>
          <w:noProof/>
        </w:rPr>
        <w:t>PCE</w:t>
      </w:r>
      <w:r w:rsidR="002F26BC">
        <w:rPr>
          <w:noProof/>
        </w:rPr>
        <w:t xml:space="preserve"> and</w:t>
      </w:r>
      <w:r w:rsidR="00E208DC">
        <w:rPr>
          <w:noProof/>
        </w:rPr>
        <w:t>,</w:t>
      </w:r>
      <w:r w:rsidR="002F26BC">
        <w:rPr>
          <w:noProof/>
        </w:rPr>
        <w:t xml:space="preserve"> </w:t>
      </w:r>
      <w:r w:rsidR="00E208DC">
        <w:rPr>
          <w:noProof/>
        </w:rPr>
        <w:t xml:space="preserve">64% and </w:t>
      </w:r>
      <w:r w:rsidR="0069698F">
        <w:rPr>
          <w:noProof/>
        </w:rPr>
        <w:t xml:space="preserve">63% </w:t>
      </w:r>
      <w:r w:rsidR="002F26BC">
        <w:rPr>
          <w:noProof/>
        </w:rPr>
        <w:t xml:space="preserve">for </w:t>
      </w:r>
      <w:r w:rsidR="0069698F">
        <w:rPr>
          <w:noProof/>
        </w:rPr>
        <w:t>CPI</w:t>
      </w:r>
      <w:r w:rsidR="00EC52FD">
        <w:rPr>
          <w:noProof/>
        </w:rPr>
        <w:t xml:space="preserve"> </w:t>
      </w:r>
      <w:r w:rsidR="00407FAD">
        <w:rPr>
          <w:noProof/>
        </w:rPr>
        <w:t xml:space="preserve">in a </w:t>
      </w:r>
      <w:r w:rsidR="00E208DC">
        <w:rPr>
          <w:noProof/>
        </w:rPr>
        <w:t>2</w:t>
      </w:r>
      <w:r w:rsidR="00407FAD">
        <w:rPr>
          <w:noProof/>
        </w:rPr>
        <w:t xml:space="preserve"> month </w:t>
      </w:r>
      <w:r w:rsidR="00EC52FD">
        <w:rPr>
          <w:noProof/>
        </w:rPr>
        <w:t>period</w:t>
      </w:r>
      <w:r w:rsidR="00E208DC">
        <w:rPr>
          <w:noProof/>
        </w:rPr>
        <w:t>. This</w:t>
      </w:r>
      <w:r w:rsidR="00EC52FD">
        <w:rPr>
          <w:noProof/>
        </w:rPr>
        <w:t xml:space="preserve"> </w:t>
      </w:r>
      <w:r w:rsidR="00E208DC">
        <w:rPr>
          <w:noProof/>
        </w:rPr>
        <w:t>jump of 2 months</w:t>
      </w:r>
      <w:r w:rsidR="00EC52FD">
        <w:rPr>
          <w:noProof/>
        </w:rPr>
        <w:t xml:space="preserve"> continued in </w:t>
      </w:r>
      <w:r w:rsidR="00407FAD">
        <w:rPr>
          <w:noProof/>
        </w:rPr>
        <w:t>a steep</w:t>
      </w:r>
      <w:r w:rsidR="00EC52FD">
        <w:rPr>
          <w:noProof/>
        </w:rPr>
        <w:t xml:space="preserve"> upward trend till </w:t>
      </w:r>
      <w:r w:rsidR="00727C10">
        <w:rPr>
          <w:noProof/>
        </w:rPr>
        <w:t>June 2022</w:t>
      </w:r>
      <w:r w:rsidR="00407FAD">
        <w:rPr>
          <w:noProof/>
        </w:rPr>
        <w:t>.</w:t>
      </w:r>
    </w:p>
    <w:p w14:paraId="750592CF" w14:textId="640A0950" w:rsidR="00757659" w:rsidRDefault="00E450A1">
      <w:pPr>
        <w:rPr>
          <w:noProof/>
        </w:rPr>
      </w:pPr>
      <w:r>
        <w:rPr>
          <w:noProof/>
        </w:rPr>
        <w:t xml:space="preserve">The Federal Funds Rate is close to CPI but is 2% away from </w:t>
      </w:r>
      <w:r w:rsidR="00926B00">
        <w:rPr>
          <w:noProof/>
        </w:rPr>
        <w:t>PCE</w:t>
      </w:r>
      <w:r>
        <w:rPr>
          <w:noProof/>
        </w:rPr>
        <w:t>. This indicates the Federal Reserve has to continue increasing interest rates to reduce the broader level of inflation.</w:t>
      </w:r>
      <w:r w:rsidR="00757659">
        <w:rPr>
          <w:noProof/>
        </w:rPr>
        <w:t xml:space="preserve"> The graph below shows a downward trend in inflation</w:t>
      </w:r>
      <w:r w:rsidR="00E208DC">
        <w:rPr>
          <w:noProof/>
        </w:rPr>
        <w:t>. The Fed Funds rate is currently above PCE and below CPI.</w:t>
      </w:r>
    </w:p>
    <w:p w14:paraId="07A5F5C4" w14:textId="68F2C0FD" w:rsidR="00415694" w:rsidRDefault="0069698F" w:rsidP="00344812">
      <w:pPr>
        <w:jc w:val="center"/>
        <w:rPr>
          <w:noProof/>
        </w:rPr>
      </w:pPr>
      <w:r>
        <w:rPr>
          <w:noProof/>
        </w:rPr>
        <w:drawing>
          <wp:inline distT="0" distB="0" distL="0" distR="0" wp14:anchorId="4E31B996" wp14:editId="37A5A68A">
            <wp:extent cx="4881880" cy="4107180"/>
            <wp:effectExtent l="0" t="0" r="0" b="7620"/>
            <wp:docPr id="1395715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1880" cy="4107180"/>
                    </a:xfrm>
                    <a:prstGeom prst="rect">
                      <a:avLst/>
                    </a:prstGeom>
                    <a:noFill/>
                    <a:ln>
                      <a:noFill/>
                    </a:ln>
                  </pic:spPr>
                </pic:pic>
              </a:graphicData>
            </a:graphic>
          </wp:inline>
        </w:drawing>
      </w:r>
    </w:p>
    <w:p w14:paraId="42758194" w14:textId="1EBB8B53" w:rsidR="004C052A" w:rsidRDefault="00757659">
      <w:pPr>
        <w:rPr>
          <w:noProof/>
        </w:rPr>
      </w:pPr>
      <w:r>
        <w:rPr>
          <w:noProof/>
        </w:rPr>
        <w:t>Comparing to</w:t>
      </w:r>
      <w:r w:rsidR="00107CA5">
        <w:rPr>
          <w:noProof/>
        </w:rPr>
        <w:t xml:space="preserve"> great recession on 2007-2008,</w:t>
      </w:r>
      <w:r>
        <w:rPr>
          <w:noProof/>
        </w:rPr>
        <w:t xml:space="preserve"> </w:t>
      </w:r>
      <w:r w:rsidR="00440E7B">
        <w:rPr>
          <w:noProof/>
        </w:rPr>
        <w:t>F</w:t>
      </w:r>
      <w:r w:rsidR="00291ADF">
        <w:rPr>
          <w:noProof/>
        </w:rPr>
        <w:t xml:space="preserve">ederal </w:t>
      </w:r>
      <w:r w:rsidR="00440E7B">
        <w:rPr>
          <w:noProof/>
        </w:rPr>
        <w:t>F</w:t>
      </w:r>
      <w:r w:rsidR="00291ADF">
        <w:rPr>
          <w:noProof/>
        </w:rPr>
        <w:t>unds rate currently</w:t>
      </w:r>
      <w:r w:rsidR="00DC6804">
        <w:rPr>
          <w:noProof/>
        </w:rPr>
        <w:t xml:space="preserve"> </w:t>
      </w:r>
      <w:r w:rsidR="00107CA5">
        <w:rPr>
          <w:noProof/>
        </w:rPr>
        <w:t>near the</w:t>
      </w:r>
      <w:r w:rsidR="00291ADF">
        <w:rPr>
          <w:noProof/>
        </w:rPr>
        <w:t xml:space="preserve"> levels </w:t>
      </w:r>
      <w:r w:rsidR="00107CA5">
        <w:rPr>
          <w:noProof/>
        </w:rPr>
        <w:t>of</w:t>
      </w:r>
      <w:r w:rsidR="00136351">
        <w:rPr>
          <w:noProof/>
        </w:rPr>
        <w:t xml:space="preserve"> the </w:t>
      </w:r>
      <w:r w:rsidR="00107CA5">
        <w:rPr>
          <w:noProof/>
        </w:rPr>
        <w:t>the dotcom bubble and the great recession.</w:t>
      </w:r>
    </w:p>
    <w:p w14:paraId="546D2240" w14:textId="4A057F20" w:rsidR="004C052A" w:rsidRDefault="008842F1">
      <w:pPr>
        <w:rPr>
          <w:noProof/>
        </w:rPr>
      </w:pPr>
      <w:r>
        <w:rPr>
          <w:noProof/>
        </w:rPr>
        <w:t xml:space="preserve">As shown </w:t>
      </w:r>
      <w:r w:rsidR="007068F0">
        <w:rPr>
          <w:noProof/>
        </w:rPr>
        <w:t xml:space="preserve">in the chart below, </w:t>
      </w:r>
      <w:r w:rsidR="00BA1D6E">
        <w:rPr>
          <w:noProof/>
        </w:rPr>
        <w:t xml:space="preserve">the </w:t>
      </w:r>
      <w:r w:rsidR="00107CA5">
        <w:rPr>
          <w:noProof/>
        </w:rPr>
        <w:t>Federal Reserve</w:t>
      </w:r>
      <w:r w:rsidR="00BA1D6E">
        <w:rPr>
          <w:noProof/>
        </w:rPr>
        <w:t xml:space="preserve"> </w:t>
      </w:r>
      <w:r w:rsidR="00E8561F">
        <w:rPr>
          <w:noProof/>
        </w:rPr>
        <w:t xml:space="preserve">responded to the 2001 Dotcom bubble crisis </w:t>
      </w:r>
      <w:r w:rsidR="00D202DA">
        <w:rPr>
          <w:noProof/>
        </w:rPr>
        <w:t>by lowering interest rates</w:t>
      </w:r>
      <w:r w:rsidR="00CA27FA">
        <w:rPr>
          <w:noProof/>
        </w:rPr>
        <w:t xml:space="preserve"> and maintained </w:t>
      </w:r>
      <w:r w:rsidR="00935517">
        <w:rPr>
          <w:noProof/>
        </w:rPr>
        <w:t xml:space="preserve">rates low through 2004. Similar to Covid Pandemic, </w:t>
      </w:r>
      <w:r w:rsidR="008D2AF4">
        <w:rPr>
          <w:noProof/>
        </w:rPr>
        <w:t>interest rates was reduced to almost 0 from mid 2020 till early 2022</w:t>
      </w:r>
      <w:r w:rsidR="0040129F">
        <w:rPr>
          <w:noProof/>
        </w:rPr>
        <w:t>.</w:t>
      </w:r>
    </w:p>
    <w:p w14:paraId="6DFD89B0" w14:textId="383E455D" w:rsidR="00520C50" w:rsidRDefault="0040129F">
      <w:pPr>
        <w:rPr>
          <w:noProof/>
        </w:rPr>
      </w:pPr>
      <w:r>
        <w:rPr>
          <w:noProof/>
        </w:rPr>
        <w:lastRenderedPageBreak/>
        <w:t>Both crisis</w:t>
      </w:r>
      <w:r w:rsidR="000D7105">
        <w:rPr>
          <w:noProof/>
        </w:rPr>
        <w:t>, beforehand,</w:t>
      </w:r>
      <w:r>
        <w:rPr>
          <w:noProof/>
        </w:rPr>
        <w:t xml:space="preserve"> saw a rise in inflation and the Federal Reserve </w:t>
      </w:r>
      <w:r w:rsidR="004B0C28">
        <w:rPr>
          <w:noProof/>
        </w:rPr>
        <w:t xml:space="preserve">thereafter, increasing the nominal interest rates </w:t>
      </w:r>
      <w:r w:rsidR="00463D4D">
        <w:rPr>
          <w:noProof/>
        </w:rPr>
        <w:t>to control inflation.</w:t>
      </w:r>
      <w:r w:rsidR="00F9449C">
        <w:rPr>
          <w:noProof/>
        </w:rPr>
        <w:t xml:space="preserve"> </w:t>
      </w:r>
      <w:r w:rsidR="004C052A">
        <w:rPr>
          <w:noProof/>
        </w:rPr>
        <w:t xml:space="preserve">From July 2006 to June 2007, interest rates were held at 5.25% over a one year period and soon after </w:t>
      </w:r>
      <w:r w:rsidR="00634F46">
        <w:rPr>
          <w:noProof/>
        </w:rPr>
        <w:t>on October 2008, saw a drop in PCE and CPI indicating a recession has occurred.</w:t>
      </w:r>
    </w:p>
    <w:p w14:paraId="4FA4BF7D" w14:textId="107AE66E" w:rsidR="0028091D" w:rsidRDefault="00A23FA1">
      <w:pPr>
        <w:rPr>
          <w:noProof/>
        </w:rPr>
      </w:pPr>
      <w:r>
        <w:rPr>
          <w:noProof/>
        </w:rPr>
        <w:t>The global financial crisis was due to Mortgage B</w:t>
      </w:r>
      <w:r w:rsidR="00F66308">
        <w:rPr>
          <w:noProof/>
        </w:rPr>
        <w:t xml:space="preserve">acked Securities becoming </w:t>
      </w:r>
      <w:r w:rsidR="005A79B2">
        <w:rPr>
          <w:noProof/>
        </w:rPr>
        <w:t xml:space="preserve">toxic assets. </w:t>
      </w:r>
      <w:r w:rsidR="009861BB">
        <w:rPr>
          <w:noProof/>
        </w:rPr>
        <w:t>Some factors</w:t>
      </w:r>
      <w:r w:rsidR="00C1488F">
        <w:rPr>
          <w:noProof/>
        </w:rPr>
        <w:t xml:space="preserve"> leading to toxic MBS</w:t>
      </w:r>
      <w:r w:rsidR="005A5F6E">
        <w:rPr>
          <w:noProof/>
        </w:rPr>
        <w:t xml:space="preserve"> were:</w:t>
      </w:r>
    </w:p>
    <w:p w14:paraId="19EEDD2D" w14:textId="46C34D70" w:rsidR="00DE3256" w:rsidRDefault="00006492" w:rsidP="00B61911">
      <w:pPr>
        <w:pStyle w:val="ListParagraph"/>
        <w:numPr>
          <w:ilvl w:val="0"/>
          <w:numId w:val="1"/>
        </w:numPr>
        <w:rPr>
          <w:noProof/>
        </w:rPr>
      </w:pPr>
      <w:r>
        <w:rPr>
          <w:noProof/>
        </w:rPr>
        <w:t xml:space="preserve">Low </w:t>
      </w:r>
      <w:r w:rsidR="00FD0F75">
        <w:rPr>
          <w:noProof/>
        </w:rPr>
        <w:t xml:space="preserve">interest rates that led to </w:t>
      </w:r>
      <w:r w:rsidR="00462DC9">
        <w:rPr>
          <w:noProof/>
        </w:rPr>
        <w:t xml:space="preserve">increase </w:t>
      </w:r>
      <w:r w:rsidR="00BE0D12">
        <w:rPr>
          <w:noProof/>
        </w:rPr>
        <w:t>in borrowing</w:t>
      </w:r>
    </w:p>
    <w:p w14:paraId="509306AA" w14:textId="290B8574" w:rsidR="00E208DC" w:rsidRDefault="00C2332A" w:rsidP="00E208DC">
      <w:pPr>
        <w:pStyle w:val="ListParagraph"/>
        <w:numPr>
          <w:ilvl w:val="0"/>
          <w:numId w:val="1"/>
        </w:numPr>
        <w:rPr>
          <w:noProof/>
        </w:rPr>
      </w:pPr>
      <w:r>
        <w:rPr>
          <w:noProof/>
        </w:rPr>
        <w:t>Increase in d</w:t>
      </w:r>
      <w:r w:rsidR="002D6663">
        <w:rPr>
          <w:noProof/>
        </w:rPr>
        <w:t>elinquency rates</w:t>
      </w:r>
      <w:r w:rsidR="00FF57EE">
        <w:rPr>
          <w:noProof/>
        </w:rPr>
        <w:t xml:space="preserve"> due to </w:t>
      </w:r>
      <w:r w:rsidR="00811010">
        <w:rPr>
          <w:noProof/>
        </w:rPr>
        <w:t>low credit ratings for housing mortgages</w:t>
      </w:r>
    </w:p>
    <w:p w14:paraId="231F3602" w14:textId="77777777" w:rsidR="007D6155" w:rsidRDefault="00814540" w:rsidP="007D6155">
      <w:pPr>
        <w:ind w:left="360"/>
        <w:rPr>
          <w:noProof/>
        </w:rPr>
      </w:pPr>
      <w:r>
        <w:rPr>
          <w:noProof/>
        </w:rPr>
        <w:t xml:space="preserve">Data </w:t>
      </w:r>
      <w:r w:rsidR="00EB13A6">
        <w:rPr>
          <w:noProof/>
        </w:rPr>
        <w:t xml:space="preserve">is </w:t>
      </w:r>
      <w:r>
        <w:rPr>
          <w:noProof/>
        </w:rPr>
        <w:t>show</w:t>
      </w:r>
      <w:r w:rsidR="00EB13A6">
        <w:rPr>
          <w:noProof/>
        </w:rPr>
        <w:t>ing</w:t>
      </w:r>
      <w:r>
        <w:rPr>
          <w:noProof/>
        </w:rPr>
        <w:t xml:space="preserve"> a similar trend that led to a financial crisis.</w:t>
      </w:r>
      <w:r w:rsidR="00AC1FDC">
        <w:rPr>
          <w:noProof/>
        </w:rPr>
        <w:t xml:space="preserve"> </w:t>
      </w:r>
      <w:r w:rsidR="00EB13A6">
        <w:rPr>
          <w:noProof/>
        </w:rPr>
        <w:t xml:space="preserve">We are seeing high inflation </w:t>
      </w:r>
      <w:r w:rsidR="002708AB">
        <w:rPr>
          <w:noProof/>
        </w:rPr>
        <w:t xml:space="preserve">and thereafter, </w:t>
      </w:r>
      <w:r w:rsidR="00214BD5">
        <w:rPr>
          <w:noProof/>
        </w:rPr>
        <w:t>high interest rate</w:t>
      </w:r>
      <w:r w:rsidR="009C77C8">
        <w:rPr>
          <w:noProof/>
        </w:rPr>
        <w:t>.</w:t>
      </w:r>
    </w:p>
    <w:p w14:paraId="4521AA12" w14:textId="14070F40" w:rsidR="002F783E" w:rsidRDefault="0069698F" w:rsidP="00344812">
      <w:pPr>
        <w:ind w:left="360"/>
        <w:jc w:val="center"/>
        <w:rPr>
          <w:noProof/>
        </w:rPr>
      </w:pPr>
      <w:r>
        <w:rPr>
          <w:noProof/>
        </w:rPr>
        <w:drawing>
          <wp:inline distT="0" distB="0" distL="0" distR="0" wp14:anchorId="53B3BAB8" wp14:editId="00C80226">
            <wp:extent cx="5145405" cy="3952240"/>
            <wp:effectExtent l="0" t="0" r="0" b="0"/>
            <wp:docPr id="1441509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5405" cy="3952240"/>
                    </a:xfrm>
                    <a:prstGeom prst="rect">
                      <a:avLst/>
                    </a:prstGeom>
                    <a:noFill/>
                    <a:ln>
                      <a:noFill/>
                    </a:ln>
                  </pic:spPr>
                </pic:pic>
              </a:graphicData>
            </a:graphic>
          </wp:inline>
        </w:drawing>
      </w:r>
    </w:p>
    <w:p w14:paraId="46CDCFCF" w14:textId="019D4345" w:rsidR="007D6155" w:rsidRPr="007D6155" w:rsidRDefault="007D6155">
      <w:pPr>
        <w:rPr>
          <w:b/>
          <w:bCs/>
          <w:noProof/>
        </w:rPr>
      </w:pPr>
      <w:r>
        <w:rPr>
          <w:b/>
          <w:bCs/>
          <w:noProof/>
        </w:rPr>
        <w:t xml:space="preserve">Strength of the </w:t>
      </w:r>
      <w:r w:rsidRPr="007D6155">
        <w:rPr>
          <w:b/>
          <w:bCs/>
          <w:noProof/>
        </w:rPr>
        <w:t>USA economy</w:t>
      </w:r>
      <w:r>
        <w:rPr>
          <w:b/>
          <w:bCs/>
          <w:noProof/>
        </w:rPr>
        <w:t xml:space="preserve"> and comparing </w:t>
      </w:r>
      <w:r w:rsidR="004F36E8">
        <w:rPr>
          <w:b/>
          <w:bCs/>
          <w:noProof/>
        </w:rPr>
        <w:t>to 2007/08 Global Financial Crisis.</w:t>
      </w:r>
    </w:p>
    <w:p w14:paraId="5BA47753" w14:textId="1D7D4E29" w:rsidR="002859BE" w:rsidRDefault="00BC6137">
      <w:pPr>
        <w:rPr>
          <w:noProof/>
        </w:rPr>
      </w:pPr>
      <w:r>
        <w:rPr>
          <w:noProof/>
        </w:rPr>
        <w:t>I</w:t>
      </w:r>
      <w:r w:rsidR="00052AA2">
        <w:rPr>
          <w:noProof/>
        </w:rPr>
        <w:t xml:space="preserve">n this </w:t>
      </w:r>
      <w:r>
        <w:rPr>
          <w:noProof/>
        </w:rPr>
        <w:t>high interest rate environment</w:t>
      </w:r>
      <w:r w:rsidR="009126B7">
        <w:rPr>
          <w:noProof/>
        </w:rPr>
        <w:t xml:space="preserve"> due to inflation</w:t>
      </w:r>
      <w:r>
        <w:rPr>
          <w:noProof/>
        </w:rPr>
        <w:t xml:space="preserve">, </w:t>
      </w:r>
      <w:r w:rsidR="00305F73">
        <w:rPr>
          <w:noProof/>
        </w:rPr>
        <w:t>c</w:t>
      </w:r>
      <w:r>
        <w:rPr>
          <w:noProof/>
        </w:rPr>
        <w:t xml:space="preserve">omparing </w:t>
      </w:r>
      <w:r w:rsidR="00522642">
        <w:rPr>
          <w:noProof/>
        </w:rPr>
        <w:t>U</w:t>
      </w:r>
      <w:r w:rsidR="007A4D93">
        <w:rPr>
          <w:noProof/>
        </w:rPr>
        <w:t xml:space="preserve">nemployment </w:t>
      </w:r>
      <w:r w:rsidR="00522642">
        <w:rPr>
          <w:noProof/>
        </w:rPr>
        <w:t>R</w:t>
      </w:r>
      <w:r w:rsidR="007A4D93">
        <w:rPr>
          <w:noProof/>
        </w:rPr>
        <w:t xml:space="preserve">ates, </w:t>
      </w:r>
      <w:r w:rsidR="00522642">
        <w:rPr>
          <w:noProof/>
        </w:rPr>
        <w:t>J</w:t>
      </w:r>
      <w:r w:rsidR="007A4D93">
        <w:rPr>
          <w:noProof/>
        </w:rPr>
        <w:t xml:space="preserve">ob </w:t>
      </w:r>
      <w:r w:rsidR="00522642">
        <w:rPr>
          <w:noProof/>
        </w:rPr>
        <w:t>O</w:t>
      </w:r>
      <w:r w:rsidR="007A4D93">
        <w:rPr>
          <w:noProof/>
        </w:rPr>
        <w:t xml:space="preserve">penings, </w:t>
      </w:r>
      <w:r w:rsidR="006D4B5B">
        <w:rPr>
          <w:noProof/>
        </w:rPr>
        <w:t>PCE,</w:t>
      </w:r>
      <w:r w:rsidR="00F92AB6">
        <w:rPr>
          <w:noProof/>
        </w:rPr>
        <w:t xml:space="preserve"> </w:t>
      </w:r>
      <w:r w:rsidR="00522642">
        <w:rPr>
          <w:noProof/>
        </w:rPr>
        <w:t>Retail Sales</w:t>
      </w:r>
      <w:r w:rsidR="00613A3D">
        <w:rPr>
          <w:noProof/>
        </w:rPr>
        <w:t xml:space="preserve"> and business Inventory</w:t>
      </w:r>
      <w:r w:rsidR="00305F73">
        <w:rPr>
          <w:noProof/>
        </w:rPr>
        <w:t xml:space="preserve"> can give us </w:t>
      </w:r>
      <w:r w:rsidR="00F743FB">
        <w:rPr>
          <w:noProof/>
        </w:rPr>
        <w:t xml:space="preserve">a </w:t>
      </w:r>
      <w:r w:rsidR="00305F73">
        <w:rPr>
          <w:noProof/>
        </w:rPr>
        <w:t>view</w:t>
      </w:r>
      <w:r w:rsidR="00F743FB">
        <w:rPr>
          <w:noProof/>
        </w:rPr>
        <w:t xml:space="preserve"> of </w:t>
      </w:r>
      <w:r w:rsidR="00663C94">
        <w:rPr>
          <w:noProof/>
        </w:rPr>
        <w:t>strength of the</w:t>
      </w:r>
      <w:r w:rsidR="002227FC">
        <w:rPr>
          <w:noProof/>
        </w:rPr>
        <w:t xml:space="preserve"> current</w:t>
      </w:r>
      <w:r w:rsidR="00663C94">
        <w:rPr>
          <w:noProof/>
        </w:rPr>
        <w:t xml:space="preserve"> economy</w:t>
      </w:r>
      <w:r w:rsidR="002227FC">
        <w:rPr>
          <w:noProof/>
        </w:rPr>
        <w:t xml:space="preserve"> and</w:t>
      </w:r>
      <w:r w:rsidR="00663C94">
        <w:rPr>
          <w:noProof/>
        </w:rPr>
        <w:t xml:space="preserve"> before the 2007-2008 global financial crisis.</w:t>
      </w:r>
    </w:p>
    <w:p w14:paraId="7BC623A9" w14:textId="7833A60F" w:rsidR="009E0208" w:rsidRDefault="0008375D">
      <w:pPr>
        <w:rPr>
          <w:noProof/>
        </w:rPr>
      </w:pPr>
      <w:r>
        <w:rPr>
          <w:noProof/>
        </w:rPr>
        <w:t xml:space="preserve">From 2004 to 2006, </w:t>
      </w:r>
      <w:r w:rsidR="0019761B">
        <w:rPr>
          <w:noProof/>
        </w:rPr>
        <w:t xml:space="preserve">job openings were </w:t>
      </w:r>
      <w:r w:rsidR="00136247">
        <w:rPr>
          <w:noProof/>
        </w:rPr>
        <w:t>on an upward trend, as shown in the graph below. It started to modera</w:t>
      </w:r>
      <w:r w:rsidR="001D125F">
        <w:rPr>
          <w:noProof/>
        </w:rPr>
        <w:t xml:space="preserve">te in the middle of 2007 and started a downward trend </w:t>
      </w:r>
      <w:r w:rsidR="00D10624">
        <w:rPr>
          <w:noProof/>
        </w:rPr>
        <w:t>at the end of 200</w:t>
      </w:r>
      <w:r w:rsidR="00651E11">
        <w:rPr>
          <w:noProof/>
        </w:rPr>
        <w:t>7.</w:t>
      </w:r>
      <w:r w:rsidR="00902A82">
        <w:rPr>
          <w:noProof/>
        </w:rPr>
        <w:t xml:space="preserve"> Employment rate mantained at a steady upward trajectory throughout until early 2008</w:t>
      </w:r>
      <w:r w:rsidR="009E0208">
        <w:rPr>
          <w:noProof/>
        </w:rPr>
        <w:t xml:space="preserve"> when both job openings and employment rate fell, highlighting a recession has occurred.</w:t>
      </w:r>
    </w:p>
    <w:p w14:paraId="43F9BBA5" w14:textId="7FB72FF4" w:rsidR="00764C87" w:rsidRDefault="00B15A31">
      <w:pPr>
        <w:rPr>
          <w:noProof/>
        </w:rPr>
      </w:pPr>
      <w:r>
        <w:rPr>
          <w:noProof/>
        </w:rPr>
        <w:lastRenderedPageBreak/>
        <w:t xml:space="preserve">From 2020 to </w:t>
      </w:r>
      <w:r w:rsidR="00C94DD6">
        <w:rPr>
          <w:noProof/>
        </w:rPr>
        <w:t xml:space="preserve">May 2023, </w:t>
      </w:r>
      <w:r w:rsidR="007D59CB">
        <w:rPr>
          <w:noProof/>
        </w:rPr>
        <w:t>the job openings are showing an upward trend</w:t>
      </w:r>
      <w:r w:rsidR="001F0793">
        <w:rPr>
          <w:noProof/>
        </w:rPr>
        <w:t>. While it has</w:t>
      </w:r>
      <w:r w:rsidR="00BF44CE">
        <w:rPr>
          <w:noProof/>
        </w:rPr>
        <w:t xml:space="preserve"> come down from its high in early 2022</w:t>
      </w:r>
      <w:r w:rsidR="00383688">
        <w:rPr>
          <w:noProof/>
        </w:rPr>
        <w:t xml:space="preserve">, </w:t>
      </w:r>
      <w:r w:rsidR="005035F4">
        <w:rPr>
          <w:noProof/>
        </w:rPr>
        <w:t>it is still higher than previous years</w:t>
      </w:r>
      <w:r w:rsidR="00C469E0">
        <w:rPr>
          <w:noProof/>
        </w:rPr>
        <w:t>. Employment rate has also increased at a steady pace, similar to</w:t>
      </w:r>
      <w:r w:rsidR="0048468C">
        <w:rPr>
          <w:noProof/>
        </w:rPr>
        <w:t xml:space="preserve"> data shown from 2004 to mid 2007.</w:t>
      </w:r>
      <w:r w:rsidR="005035F4">
        <w:rPr>
          <w:noProof/>
        </w:rPr>
        <w:t xml:space="preserve"> This is negative news for inflation.</w:t>
      </w:r>
    </w:p>
    <w:p w14:paraId="260E4A52" w14:textId="7D1D8936" w:rsidR="008E5D40" w:rsidRDefault="00034C66" w:rsidP="00344812">
      <w:pPr>
        <w:jc w:val="right"/>
        <w:rPr>
          <w:noProof/>
        </w:rPr>
      </w:pPr>
      <w:r>
        <w:rPr>
          <w:noProof/>
        </w:rPr>
        <w:drawing>
          <wp:inline distT="0" distB="0" distL="0" distR="0" wp14:anchorId="1F414788" wp14:editId="774D4179">
            <wp:extent cx="2986092" cy="2240784"/>
            <wp:effectExtent l="0" t="0" r="5080" b="7620"/>
            <wp:docPr id="104876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9464" cy="2273330"/>
                    </a:xfrm>
                    <a:prstGeom prst="rect">
                      <a:avLst/>
                    </a:prstGeom>
                    <a:noFill/>
                    <a:ln>
                      <a:noFill/>
                    </a:ln>
                  </pic:spPr>
                </pic:pic>
              </a:graphicData>
            </a:graphic>
          </wp:inline>
        </w:drawing>
      </w:r>
      <w:r w:rsidR="008B336B">
        <w:rPr>
          <w:noProof/>
        </w:rPr>
        <w:drawing>
          <wp:inline distT="0" distB="0" distL="0" distR="0" wp14:anchorId="07C5CAAF" wp14:editId="5E6BF3AF">
            <wp:extent cx="2945807" cy="2210553"/>
            <wp:effectExtent l="0" t="0" r="6985" b="0"/>
            <wp:docPr id="1376237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8110" cy="2257305"/>
                    </a:xfrm>
                    <a:prstGeom prst="rect">
                      <a:avLst/>
                    </a:prstGeom>
                    <a:noFill/>
                    <a:ln>
                      <a:noFill/>
                    </a:ln>
                  </pic:spPr>
                </pic:pic>
              </a:graphicData>
            </a:graphic>
          </wp:inline>
        </w:drawing>
      </w:r>
    </w:p>
    <w:p w14:paraId="596E605E" w14:textId="2BCEB8F7" w:rsidR="000664A5" w:rsidRDefault="000664A5">
      <w:pPr>
        <w:rPr>
          <w:noProof/>
        </w:rPr>
      </w:pPr>
      <w:r>
        <w:rPr>
          <w:noProof/>
        </w:rPr>
        <w:t xml:space="preserve">Unemployment </w:t>
      </w:r>
      <w:r w:rsidR="00E603FC">
        <w:rPr>
          <w:noProof/>
        </w:rPr>
        <w:t>rate started rising from December 2007 at 4.7% to a peak of 10% in October 2009. It was the same period when job openings fell. Current unemployment is well below what was seen before the 2007/08 financial crisis and has remained horizontal at 3.4 to 3.8% since February 2022.</w:t>
      </w:r>
    </w:p>
    <w:p w14:paraId="767D5273" w14:textId="1B994718" w:rsidR="00E603FC" w:rsidRDefault="00E603FC">
      <w:pPr>
        <w:rPr>
          <w:noProof/>
        </w:rPr>
      </w:pPr>
      <w:r>
        <w:rPr>
          <w:noProof/>
        </w:rPr>
        <w:drawing>
          <wp:inline distT="0" distB="0" distL="0" distR="0" wp14:anchorId="563D6042" wp14:editId="60FB1674">
            <wp:extent cx="5141595" cy="4157980"/>
            <wp:effectExtent l="0" t="0" r="1905" b="0"/>
            <wp:docPr id="17212883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1595" cy="4157980"/>
                    </a:xfrm>
                    <a:prstGeom prst="rect">
                      <a:avLst/>
                    </a:prstGeom>
                    <a:noFill/>
                    <a:ln>
                      <a:noFill/>
                    </a:ln>
                  </pic:spPr>
                </pic:pic>
              </a:graphicData>
            </a:graphic>
          </wp:inline>
        </w:drawing>
      </w:r>
    </w:p>
    <w:p w14:paraId="5CC25892" w14:textId="416BA38E" w:rsidR="006D7D11" w:rsidRDefault="00310FA0">
      <w:pPr>
        <w:rPr>
          <w:noProof/>
        </w:rPr>
      </w:pPr>
      <w:r>
        <w:rPr>
          <w:noProof/>
        </w:rPr>
        <w:lastRenderedPageBreak/>
        <w:t xml:space="preserve">Looking at retail sales and inventories, </w:t>
      </w:r>
      <w:r w:rsidR="00F30C0C">
        <w:rPr>
          <w:noProof/>
        </w:rPr>
        <w:t>data shows</w:t>
      </w:r>
      <w:r w:rsidR="00DF66A8">
        <w:rPr>
          <w:noProof/>
        </w:rPr>
        <w:t xml:space="preserve"> a</w:t>
      </w:r>
      <w:r w:rsidR="00F30C0C">
        <w:rPr>
          <w:noProof/>
        </w:rPr>
        <w:t xml:space="preserve"> </w:t>
      </w:r>
      <w:r w:rsidR="00BE4E2D">
        <w:rPr>
          <w:noProof/>
        </w:rPr>
        <w:t>flatten</w:t>
      </w:r>
      <w:r w:rsidR="00DF66A8">
        <w:rPr>
          <w:noProof/>
        </w:rPr>
        <w:t>ing</w:t>
      </w:r>
      <w:r w:rsidR="00CE41E3">
        <w:rPr>
          <w:noProof/>
        </w:rPr>
        <w:t xml:space="preserve"> in retail sales since march 2022</w:t>
      </w:r>
      <w:r w:rsidR="00F12571">
        <w:rPr>
          <w:noProof/>
        </w:rPr>
        <w:t xml:space="preserve">. </w:t>
      </w:r>
      <w:r w:rsidR="00107EDC">
        <w:rPr>
          <w:noProof/>
        </w:rPr>
        <w:t>However</w:t>
      </w:r>
      <w:r w:rsidR="007B4493">
        <w:rPr>
          <w:noProof/>
        </w:rPr>
        <w:t xml:space="preserve">, there has been a </w:t>
      </w:r>
      <w:r w:rsidR="008E6D2A">
        <w:rPr>
          <w:noProof/>
        </w:rPr>
        <w:t xml:space="preserve">build up in retail inventories </w:t>
      </w:r>
      <w:r w:rsidR="008F5F25">
        <w:rPr>
          <w:noProof/>
        </w:rPr>
        <w:t>since that period.</w:t>
      </w:r>
      <w:r w:rsidR="00BB732E">
        <w:rPr>
          <w:noProof/>
        </w:rPr>
        <w:t xml:space="preserve"> </w:t>
      </w:r>
      <w:r w:rsidR="00242F2B">
        <w:rPr>
          <w:noProof/>
        </w:rPr>
        <w:t xml:space="preserve">Looking at the inventory to sales ratio, </w:t>
      </w:r>
      <w:r w:rsidR="00B12859">
        <w:rPr>
          <w:noProof/>
        </w:rPr>
        <w:t xml:space="preserve">from </w:t>
      </w:r>
      <w:r w:rsidR="004340A7">
        <w:rPr>
          <w:noProof/>
        </w:rPr>
        <w:t>November</w:t>
      </w:r>
      <w:r w:rsidR="00B12859">
        <w:rPr>
          <w:noProof/>
        </w:rPr>
        <w:t xml:space="preserve"> 2021 to March 2023, inventory to sales ratio has been increasing from </w:t>
      </w:r>
      <w:r w:rsidR="004340A7">
        <w:rPr>
          <w:noProof/>
        </w:rPr>
        <w:t xml:space="preserve">1.13 in November 2021 to </w:t>
      </w:r>
      <w:r w:rsidR="009E119B">
        <w:rPr>
          <w:noProof/>
        </w:rPr>
        <w:t>a peak of 1.30 in December 2022 and March 202</w:t>
      </w:r>
      <w:r w:rsidR="006A1292">
        <w:rPr>
          <w:noProof/>
        </w:rPr>
        <w:t>3.</w:t>
      </w:r>
      <w:r w:rsidR="00DB4D5F">
        <w:rPr>
          <w:noProof/>
        </w:rPr>
        <w:t xml:space="preserve"> This is a positive for bring</w:t>
      </w:r>
      <w:r w:rsidR="008C46C0">
        <w:rPr>
          <w:noProof/>
        </w:rPr>
        <w:t>ing</w:t>
      </w:r>
      <w:r w:rsidR="00DB4D5F">
        <w:rPr>
          <w:noProof/>
        </w:rPr>
        <w:t xml:space="preserve"> inflation down.</w:t>
      </w:r>
    </w:p>
    <w:p w14:paraId="41047509" w14:textId="25E48A1A" w:rsidR="008F5F25" w:rsidRDefault="008F5F25" w:rsidP="00344812">
      <w:pPr>
        <w:jc w:val="center"/>
        <w:rPr>
          <w:noProof/>
        </w:rPr>
      </w:pPr>
      <w:r>
        <w:rPr>
          <w:noProof/>
        </w:rPr>
        <w:drawing>
          <wp:inline distT="0" distB="0" distL="0" distR="0" wp14:anchorId="4B92DC0A" wp14:editId="24750C59">
            <wp:extent cx="4817310" cy="3316747"/>
            <wp:effectExtent l="0" t="0" r="2540" b="0"/>
            <wp:docPr id="725207315" name="Picture 1" descr="A graph of sales and inventor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07315" name="Picture 1" descr="A graph of sales and inventory&#10;&#10;Description automatically generated with low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b="29880"/>
                    <a:stretch/>
                  </pic:blipFill>
                  <pic:spPr bwMode="auto">
                    <a:xfrm>
                      <a:off x="0" y="0"/>
                      <a:ext cx="4827075" cy="3323470"/>
                    </a:xfrm>
                    <a:prstGeom prst="rect">
                      <a:avLst/>
                    </a:prstGeom>
                    <a:noFill/>
                    <a:ln>
                      <a:noFill/>
                    </a:ln>
                    <a:extLst>
                      <a:ext uri="{53640926-AAD7-44D8-BBD7-CCE9431645EC}">
                        <a14:shadowObscured xmlns:a14="http://schemas.microsoft.com/office/drawing/2010/main"/>
                      </a:ext>
                    </a:extLst>
                  </pic:spPr>
                </pic:pic>
              </a:graphicData>
            </a:graphic>
          </wp:inline>
        </w:drawing>
      </w:r>
    </w:p>
    <w:p w14:paraId="548B1BA1" w14:textId="2A38E3F9" w:rsidR="008F5F25" w:rsidRDefault="008F5F25" w:rsidP="00E208DC">
      <w:pPr>
        <w:jc w:val="center"/>
        <w:rPr>
          <w:noProof/>
        </w:rPr>
      </w:pPr>
      <w:r>
        <w:rPr>
          <w:noProof/>
        </w:rPr>
        <w:drawing>
          <wp:inline distT="0" distB="0" distL="0" distR="0" wp14:anchorId="652CA025" wp14:editId="0F721A50">
            <wp:extent cx="4895888" cy="906651"/>
            <wp:effectExtent l="0" t="0" r="0" b="8255"/>
            <wp:docPr id="1965625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25705"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81140"/>
                    <a:stretch/>
                  </pic:blipFill>
                  <pic:spPr bwMode="auto">
                    <a:xfrm>
                      <a:off x="0" y="0"/>
                      <a:ext cx="4948146" cy="916328"/>
                    </a:xfrm>
                    <a:prstGeom prst="rect">
                      <a:avLst/>
                    </a:prstGeom>
                    <a:noFill/>
                    <a:ln>
                      <a:noFill/>
                    </a:ln>
                    <a:extLst>
                      <a:ext uri="{53640926-AAD7-44D8-BBD7-CCE9431645EC}">
                        <a14:shadowObscured xmlns:a14="http://schemas.microsoft.com/office/drawing/2010/main"/>
                      </a:ext>
                    </a:extLst>
                  </pic:spPr>
                </pic:pic>
              </a:graphicData>
            </a:graphic>
          </wp:inline>
        </w:drawing>
      </w:r>
    </w:p>
    <w:p w14:paraId="1D71DA58" w14:textId="7E5917B4" w:rsidR="00246481" w:rsidRPr="00246481" w:rsidRDefault="00246481">
      <w:pPr>
        <w:rPr>
          <w:b/>
          <w:bCs/>
          <w:noProof/>
        </w:rPr>
      </w:pPr>
      <w:r w:rsidRPr="00246481">
        <w:rPr>
          <w:b/>
          <w:bCs/>
          <w:noProof/>
        </w:rPr>
        <w:t>Consumer’s</w:t>
      </w:r>
      <w:r w:rsidR="00834583">
        <w:rPr>
          <w:b/>
          <w:bCs/>
          <w:noProof/>
        </w:rPr>
        <w:t xml:space="preserve"> financial</w:t>
      </w:r>
      <w:r w:rsidRPr="00246481">
        <w:rPr>
          <w:b/>
          <w:bCs/>
          <w:noProof/>
        </w:rPr>
        <w:t xml:space="preserve"> health</w:t>
      </w:r>
    </w:p>
    <w:p w14:paraId="4DAFBE5F" w14:textId="2B10F6D1" w:rsidR="00B40293" w:rsidRDefault="009263C2">
      <w:pPr>
        <w:rPr>
          <w:rFonts w:cstheme="minorHAnsi"/>
          <w:color w:val="333333"/>
          <w:shd w:val="clear" w:color="auto" w:fill="FFFFFF"/>
        </w:rPr>
      </w:pPr>
      <w:r>
        <w:rPr>
          <w:noProof/>
        </w:rPr>
        <w:t>In a high inflation environment, there will be a strain to consumers</w:t>
      </w:r>
      <w:r w:rsidR="00022FFA">
        <w:rPr>
          <w:noProof/>
        </w:rPr>
        <w:t xml:space="preserve"> spending. Looking at </w:t>
      </w:r>
      <w:r w:rsidR="00662EF2">
        <w:rPr>
          <w:noProof/>
        </w:rPr>
        <w:t>p</w:t>
      </w:r>
      <w:r w:rsidR="00237FF1">
        <w:rPr>
          <w:noProof/>
        </w:rPr>
        <w:t xml:space="preserve">ersonal </w:t>
      </w:r>
      <w:r w:rsidR="00662EF2">
        <w:rPr>
          <w:noProof/>
        </w:rPr>
        <w:t>s</w:t>
      </w:r>
      <w:r w:rsidR="00237FF1">
        <w:rPr>
          <w:noProof/>
        </w:rPr>
        <w:t>avings,</w:t>
      </w:r>
      <w:r w:rsidR="00182602">
        <w:rPr>
          <w:noProof/>
        </w:rPr>
        <w:t xml:space="preserve"> we can see consumer’s behaviour towards spending and saving.</w:t>
      </w:r>
      <w:r w:rsidR="00237FF1">
        <w:rPr>
          <w:noProof/>
        </w:rPr>
        <w:t xml:space="preserve"> </w:t>
      </w:r>
      <w:r w:rsidR="00182602">
        <w:rPr>
          <w:noProof/>
        </w:rPr>
        <w:t xml:space="preserve">Personal </w:t>
      </w:r>
      <w:r w:rsidR="00662EF2">
        <w:rPr>
          <w:noProof/>
        </w:rPr>
        <w:t>s</w:t>
      </w:r>
      <w:r w:rsidR="00182602">
        <w:rPr>
          <w:noProof/>
        </w:rPr>
        <w:t>avings</w:t>
      </w:r>
      <w:r w:rsidR="00662EF2">
        <w:rPr>
          <w:noProof/>
        </w:rPr>
        <w:t>’</w:t>
      </w:r>
      <w:r w:rsidR="00182602">
        <w:rPr>
          <w:noProof/>
        </w:rPr>
        <w:t xml:space="preserve"> data </w:t>
      </w:r>
      <w:r w:rsidR="00A0537A">
        <w:rPr>
          <w:noProof/>
        </w:rPr>
        <w:t xml:space="preserve">used </w:t>
      </w:r>
      <w:r w:rsidR="00BB0A8F">
        <w:rPr>
          <w:noProof/>
        </w:rPr>
        <w:t xml:space="preserve">is calculated </w:t>
      </w:r>
      <w:r w:rsidR="002B7EA6">
        <w:rPr>
          <w:rFonts w:cstheme="minorHAnsi"/>
          <w:color w:val="333333"/>
          <w:shd w:val="clear" w:color="auto" w:fill="FFFFFF"/>
        </w:rPr>
        <w:t>with</w:t>
      </w:r>
      <w:r w:rsidR="00BB0A8F" w:rsidRPr="00BB0A8F">
        <w:rPr>
          <w:rFonts w:cstheme="minorHAnsi"/>
          <w:color w:val="333333"/>
          <w:shd w:val="clear" w:color="auto" w:fill="FFFFFF"/>
        </w:rPr>
        <w:t xml:space="preserve"> personal income </w:t>
      </w:r>
      <w:proofErr w:type="gramStart"/>
      <w:r w:rsidR="00BB0A8F" w:rsidRPr="00BB0A8F">
        <w:rPr>
          <w:rFonts w:cstheme="minorHAnsi"/>
          <w:color w:val="333333"/>
          <w:shd w:val="clear" w:color="auto" w:fill="FFFFFF"/>
        </w:rPr>
        <w:t>less</w:t>
      </w:r>
      <w:proofErr w:type="gramEnd"/>
      <w:r w:rsidR="00BB0A8F" w:rsidRPr="00BB0A8F">
        <w:rPr>
          <w:rFonts w:cstheme="minorHAnsi"/>
          <w:color w:val="333333"/>
          <w:shd w:val="clear" w:color="auto" w:fill="FFFFFF"/>
        </w:rPr>
        <w:t xml:space="preserve"> personal outlays and personal taxes</w:t>
      </w:r>
      <w:r w:rsidR="00662EF2">
        <w:rPr>
          <w:rFonts w:cstheme="minorHAnsi"/>
          <w:color w:val="333333"/>
          <w:shd w:val="clear" w:color="auto" w:fill="FFFFFF"/>
        </w:rPr>
        <w:t>.</w:t>
      </w:r>
    </w:p>
    <w:p w14:paraId="006D15DE" w14:textId="27667344" w:rsidR="009A3BD4" w:rsidRDefault="00F63276">
      <w:pPr>
        <w:rPr>
          <w:rFonts w:cstheme="minorHAnsi"/>
          <w:noProof/>
          <w:color w:val="333333"/>
          <w:shd w:val="clear" w:color="auto" w:fill="FFFFFF"/>
        </w:rPr>
      </w:pPr>
      <w:r>
        <w:rPr>
          <w:rFonts w:cstheme="minorHAnsi"/>
          <w:color w:val="333333"/>
          <w:shd w:val="clear" w:color="auto" w:fill="FFFFFF"/>
        </w:rPr>
        <w:t>Personal savings</w:t>
      </w:r>
      <w:r w:rsidR="007E323A">
        <w:rPr>
          <w:rFonts w:cstheme="minorHAnsi"/>
          <w:color w:val="333333"/>
          <w:shd w:val="clear" w:color="auto" w:fill="FFFFFF"/>
        </w:rPr>
        <w:t xml:space="preserve"> </w:t>
      </w:r>
      <w:r w:rsidR="00452E1F">
        <w:rPr>
          <w:rFonts w:cstheme="minorHAnsi"/>
          <w:color w:val="333333"/>
          <w:shd w:val="clear" w:color="auto" w:fill="FFFFFF"/>
        </w:rPr>
        <w:t>data shows</w:t>
      </w:r>
      <w:r>
        <w:rPr>
          <w:rFonts w:cstheme="minorHAnsi"/>
          <w:color w:val="333333"/>
          <w:shd w:val="clear" w:color="auto" w:fill="FFFFFF"/>
        </w:rPr>
        <w:t xml:space="preserve"> a steep decline </w:t>
      </w:r>
      <w:r w:rsidR="001374F7">
        <w:rPr>
          <w:rFonts w:cstheme="minorHAnsi"/>
          <w:color w:val="333333"/>
          <w:shd w:val="clear" w:color="auto" w:fill="FFFFFF"/>
        </w:rPr>
        <w:t>from covid highs</w:t>
      </w:r>
      <w:r w:rsidR="00D1218E">
        <w:rPr>
          <w:rFonts w:cstheme="minorHAnsi"/>
          <w:color w:val="333333"/>
          <w:shd w:val="clear" w:color="auto" w:fill="FFFFFF"/>
        </w:rPr>
        <w:t xml:space="preserve"> of 33.8</w:t>
      </w:r>
      <w:r w:rsidR="00D8294F">
        <w:rPr>
          <w:rFonts w:cstheme="minorHAnsi"/>
          <w:color w:val="333333"/>
          <w:shd w:val="clear" w:color="auto" w:fill="FFFFFF"/>
        </w:rPr>
        <w:t xml:space="preserve"> and </w:t>
      </w:r>
      <w:r w:rsidR="00262668">
        <w:rPr>
          <w:rFonts w:cstheme="minorHAnsi"/>
          <w:color w:val="333333"/>
          <w:shd w:val="clear" w:color="auto" w:fill="FFFFFF"/>
        </w:rPr>
        <w:t>a low of 2.7 in June 2022</w:t>
      </w:r>
      <w:r w:rsidR="00460EC9">
        <w:rPr>
          <w:rFonts w:cstheme="minorHAnsi"/>
          <w:noProof/>
          <w:color w:val="333333"/>
          <w:shd w:val="clear" w:color="auto" w:fill="FFFFFF"/>
        </w:rPr>
        <w:t xml:space="preserve">. Current personal savings </w:t>
      </w:r>
      <w:r w:rsidR="006746D0">
        <w:rPr>
          <w:rFonts w:cstheme="minorHAnsi"/>
          <w:noProof/>
          <w:color w:val="333333"/>
          <w:shd w:val="clear" w:color="auto" w:fill="FFFFFF"/>
        </w:rPr>
        <w:t xml:space="preserve">is at 4.1. This level has not been met since </w:t>
      </w:r>
      <w:r w:rsidR="00DF5CF8">
        <w:rPr>
          <w:rFonts w:cstheme="minorHAnsi"/>
          <w:noProof/>
          <w:color w:val="333333"/>
          <w:shd w:val="clear" w:color="auto" w:fill="FFFFFF"/>
        </w:rPr>
        <w:t>the global financial crisis of 2007/08</w:t>
      </w:r>
      <w:r w:rsidR="00E97CB4">
        <w:rPr>
          <w:rFonts w:cstheme="minorHAnsi"/>
          <w:noProof/>
          <w:color w:val="333333"/>
          <w:shd w:val="clear" w:color="auto" w:fill="FFFFFF"/>
        </w:rPr>
        <w:t xml:space="preserve"> and year 2005 leading to the global financial crisis</w:t>
      </w:r>
      <w:r w:rsidR="00EE17CD">
        <w:rPr>
          <w:rFonts w:cstheme="minorHAnsi"/>
          <w:noProof/>
          <w:color w:val="333333"/>
          <w:shd w:val="clear" w:color="auto" w:fill="FFFFFF"/>
        </w:rPr>
        <w:t xml:space="preserve">, ranging from </w:t>
      </w:r>
      <w:r w:rsidR="00C639D9">
        <w:rPr>
          <w:rFonts w:cstheme="minorHAnsi"/>
          <w:noProof/>
          <w:color w:val="333333"/>
          <w:shd w:val="clear" w:color="auto" w:fill="FFFFFF"/>
        </w:rPr>
        <w:t>2.1 to 4.1.</w:t>
      </w:r>
      <w:r w:rsidR="001E6DF4">
        <w:rPr>
          <w:rFonts w:cstheme="minorHAnsi"/>
          <w:noProof/>
          <w:color w:val="333333"/>
          <w:shd w:val="clear" w:color="auto" w:fill="FFFFFF"/>
        </w:rPr>
        <w:t xml:space="preserve"> This is </w:t>
      </w:r>
      <w:r w:rsidR="009B3168">
        <w:rPr>
          <w:rFonts w:cstheme="minorHAnsi"/>
          <w:noProof/>
          <w:color w:val="333333"/>
          <w:shd w:val="clear" w:color="auto" w:fill="FFFFFF"/>
        </w:rPr>
        <w:t>positive news for inflation</w:t>
      </w:r>
      <w:r w:rsidR="00016618">
        <w:rPr>
          <w:rFonts w:cstheme="minorHAnsi"/>
          <w:noProof/>
          <w:color w:val="333333"/>
          <w:shd w:val="clear" w:color="auto" w:fill="FFFFFF"/>
        </w:rPr>
        <w:t>.</w:t>
      </w:r>
    </w:p>
    <w:p w14:paraId="2166FBA6" w14:textId="5B4B0DC4" w:rsidR="0055742C" w:rsidRPr="00610714" w:rsidRDefault="0055742C" w:rsidP="00344812">
      <w:pPr>
        <w:jc w:val="center"/>
        <w:rPr>
          <w:rFonts w:cstheme="minorHAnsi"/>
          <w:color w:val="333333"/>
          <w:shd w:val="clear" w:color="auto" w:fill="FFFFFF"/>
        </w:rPr>
      </w:pPr>
      <w:r>
        <w:rPr>
          <w:rFonts w:cstheme="minorHAnsi"/>
          <w:noProof/>
          <w:color w:val="333333"/>
          <w:shd w:val="clear" w:color="auto" w:fill="FFFFFF"/>
        </w:rPr>
        <w:lastRenderedPageBreak/>
        <w:drawing>
          <wp:inline distT="0" distB="0" distL="0" distR="0" wp14:anchorId="2CD8DACE" wp14:editId="164EE91B">
            <wp:extent cx="5135245" cy="4156075"/>
            <wp:effectExtent l="0" t="0" r="8255" b="0"/>
            <wp:docPr id="1216233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245" cy="4156075"/>
                    </a:xfrm>
                    <a:prstGeom prst="rect">
                      <a:avLst/>
                    </a:prstGeom>
                    <a:noFill/>
                    <a:ln>
                      <a:noFill/>
                    </a:ln>
                  </pic:spPr>
                </pic:pic>
              </a:graphicData>
            </a:graphic>
          </wp:inline>
        </w:drawing>
      </w:r>
    </w:p>
    <w:p w14:paraId="0BECD849" w14:textId="77777777" w:rsidR="00BA3630" w:rsidRDefault="00425465">
      <w:pPr>
        <w:rPr>
          <w:noProof/>
        </w:rPr>
      </w:pPr>
      <w:r>
        <w:rPr>
          <w:noProof/>
        </w:rPr>
        <w:t xml:space="preserve">As for consumer </w:t>
      </w:r>
      <w:r w:rsidR="00034735">
        <w:rPr>
          <w:noProof/>
        </w:rPr>
        <w:t xml:space="preserve">loans and residental real estate loans, </w:t>
      </w:r>
      <w:r w:rsidR="00D249E5">
        <w:rPr>
          <w:noProof/>
        </w:rPr>
        <w:t>we are seeing similar upward trend on loans</w:t>
      </w:r>
      <w:r w:rsidR="00EC0FC7">
        <w:rPr>
          <w:noProof/>
        </w:rPr>
        <w:t xml:space="preserve"> being given out to consumers. Similar trend from before the great recession on 2007/08, we are seeing </w:t>
      </w:r>
      <w:r w:rsidR="006D4E30">
        <w:rPr>
          <w:noProof/>
        </w:rPr>
        <w:t>a steeper rise on</w:t>
      </w:r>
      <w:r w:rsidR="00B00A6A">
        <w:rPr>
          <w:noProof/>
        </w:rPr>
        <w:t xml:space="preserve"> </w:t>
      </w:r>
      <w:r w:rsidR="006D4E30">
        <w:rPr>
          <w:noProof/>
        </w:rPr>
        <w:t>housing mortgages. This similar trend is due to a expansionary monetary policy where interest rates w</w:t>
      </w:r>
      <w:r w:rsidR="002F1F55">
        <w:rPr>
          <w:noProof/>
        </w:rPr>
        <w:t>as</w:t>
      </w:r>
      <w:r w:rsidR="006D4E30">
        <w:rPr>
          <w:noProof/>
        </w:rPr>
        <w:t xml:space="preserve"> near 0.</w:t>
      </w:r>
      <w:r w:rsidR="002F1F55">
        <w:rPr>
          <w:noProof/>
        </w:rPr>
        <w:t xml:space="preserve"> </w:t>
      </w:r>
    </w:p>
    <w:p w14:paraId="66792CDA" w14:textId="3AE30AD6" w:rsidR="00B647F2" w:rsidRDefault="002F1F55">
      <w:pPr>
        <w:rPr>
          <w:noProof/>
        </w:rPr>
      </w:pPr>
      <w:r>
        <w:rPr>
          <w:noProof/>
        </w:rPr>
        <w:t>Consumer loan has seen a steeper rise than 2007/08</w:t>
      </w:r>
      <w:r w:rsidR="00721704">
        <w:rPr>
          <w:noProof/>
        </w:rPr>
        <w:t xml:space="preserve"> and showing no signs of moderation.</w:t>
      </w:r>
      <w:r w:rsidR="008E66A7">
        <w:rPr>
          <w:noProof/>
        </w:rPr>
        <w:t xml:space="preserve"> Interst rates loans have an inverse relationship. As interset rates </w:t>
      </w:r>
      <w:r w:rsidR="00877B0D">
        <w:rPr>
          <w:noProof/>
        </w:rPr>
        <w:t xml:space="preserve">incerases, </w:t>
      </w:r>
      <w:r w:rsidR="00BD4C32">
        <w:rPr>
          <w:noProof/>
        </w:rPr>
        <w:t>the level of credit consumers are willing to borrow should decrease. T</w:t>
      </w:r>
      <w:r w:rsidR="00AA7B94">
        <w:rPr>
          <w:noProof/>
        </w:rPr>
        <w:t xml:space="preserve">his is showing a </w:t>
      </w:r>
      <w:r w:rsidR="00205EE5">
        <w:rPr>
          <w:noProof/>
        </w:rPr>
        <w:t>convergence</w:t>
      </w:r>
      <w:r w:rsidR="00AA7B94">
        <w:rPr>
          <w:noProof/>
        </w:rPr>
        <w:t xml:space="preserve"> in </w:t>
      </w:r>
      <w:r w:rsidR="0089493A">
        <w:rPr>
          <w:noProof/>
        </w:rPr>
        <w:t>their relationship.</w:t>
      </w:r>
    </w:p>
    <w:p w14:paraId="59513108" w14:textId="20A1CB6E" w:rsidR="00BA3630" w:rsidRDefault="00BA3630" w:rsidP="00344812">
      <w:pPr>
        <w:jc w:val="center"/>
        <w:rPr>
          <w:noProof/>
        </w:rPr>
      </w:pPr>
      <w:r>
        <w:rPr>
          <w:noProof/>
        </w:rPr>
        <w:lastRenderedPageBreak/>
        <w:drawing>
          <wp:inline distT="0" distB="0" distL="0" distR="0" wp14:anchorId="7A05FADF" wp14:editId="52763AE4">
            <wp:extent cx="5300345" cy="4161155"/>
            <wp:effectExtent l="0" t="0" r="0" b="0"/>
            <wp:docPr id="554818848"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18848" name="Picture 1" descr="A picture containing text, screenshot, diagram,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0345" cy="4161155"/>
                    </a:xfrm>
                    <a:prstGeom prst="rect">
                      <a:avLst/>
                    </a:prstGeom>
                    <a:noFill/>
                    <a:ln>
                      <a:noFill/>
                    </a:ln>
                  </pic:spPr>
                </pic:pic>
              </a:graphicData>
            </a:graphic>
          </wp:inline>
        </w:drawing>
      </w:r>
    </w:p>
    <w:p w14:paraId="2DAE76B4" w14:textId="0386D16D" w:rsidR="00BF0D45" w:rsidRDefault="00785378">
      <w:pPr>
        <w:rPr>
          <w:noProof/>
        </w:rPr>
      </w:pPr>
      <w:r>
        <w:rPr>
          <w:noProof/>
        </w:rPr>
        <w:t xml:space="preserve">With an increase in consumer loans and housing mortgages, </w:t>
      </w:r>
      <w:r w:rsidR="00B146E5">
        <w:rPr>
          <w:noProof/>
        </w:rPr>
        <w:t xml:space="preserve">taking a look into </w:t>
      </w:r>
      <w:r w:rsidR="002A24FE">
        <w:rPr>
          <w:noProof/>
        </w:rPr>
        <w:t xml:space="preserve">delinquency rates on both categories </w:t>
      </w:r>
      <w:r w:rsidR="008704A7">
        <w:rPr>
          <w:noProof/>
        </w:rPr>
        <w:t xml:space="preserve">can show us </w:t>
      </w:r>
      <w:r w:rsidR="004C00B4">
        <w:rPr>
          <w:noProof/>
        </w:rPr>
        <w:t xml:space="preserve">credit risk </w:t>
      </w:r>
      <w:r w:rsidR="0012618B">
        <w:rPr>
          <w:noProof/>
        </w:rPr>
        <w:t xml:space="preserve">that </w:t>
      </w:r>
      <w:r w:rsidR="004C00B4">
        <w:rPr>
          <w:noProof/>
        </w:rPr>
        <w:t>banks could face.</w:t>
      </w:r>
    </w:p>
    <w:p w14:paraId="15122817" w14:textId="77777777" w:rsidR="00666E6F" w:rsidRDefault="000F2B24">
      <w:pPr>
        <w:rPr>
          <w:noProof/>
        </w:rPr>
      </w:pPr>
      <w:r>
        <w:rPr>
          <w:noProof/>
        </w:rPr>
        <w:t xml:space="preserve">Prior to 2007/08 financial crisis, delinquency rate for housing mortgages </w:t>
      </w:r>
      <w:r w:rsidR="008B04E4">
        <w:rPr>
          <w:noProof/>
        </w:rPr>
        <w:t xml:space="preserve">saw a steep increases every month, starting from </w:t>
      </w:r>
      <w:r w:rsidR="00035AD5">
        <w:rPr>
          <w:noProof/>
        </w:rPr>
        <w:t xml:space="preserve">april 2007 to Jan 2009. </w:t>
      </w:r>
      <w:r w:rsidR="003E3326">
        <w:rPr>
          <w:noProof/>
        </w:rPr>
        <w:t>The left data is the % change every month</w:t>
      </w:r>
      <w:r w:rsidR="006367F3">
        <w:rPr>
          <w:noProof/>
        </w:rPr>
        <w:t xml:space="preserve"> on housing mortgages delinquency rate</w:t>
      </w:r>
      <w:r w:rsidR="00770CE8">
        <w:rPr>
          <w:noProof/>
        </w:rPr>
        <w:t>. From April 2007, there was a</w:t>
      </w:r>
      <w:r w:rsidR="000A7EA1">
        <w:rPr>
          <w:noProof/>
        </w:rPr>
        <w:t xml:space="preserve"> steep increase of </w:t>
      </w:r>
      <w:r w:rsidR="00770CE8">
        <w:rPr>
          <w:noProof/>
        </w:rPr>
        <w:t xml:space="preserve">10% </w:t>
      </w:r>
      <w:r w:rsidR="000A7EA1">
        <w:rPr>
          <w:noProof/>
        </w:rPr>
        <w:t xml:space="preserve">in </w:t>
      </w:r>
      <w:r w:rsidR="00770CE8">
        <w:rPr>
          <w:noProof/>
        </w:rPr>
        <w:t xml:space="preserve">housing mortgage </w:t>
      </w:r>
      <w:r w:rsidR="008F6873">
        <w:rPr>
          <w:noProof/>
        </w:rPr>
        <w:t>delinquency rate</w:t>
      </w:r>
      <w:r w:rsidR="000A7EA1">
        <w:rPr>
          <w:noProof/>
        </w:rPr>
        <w:t xml:space="preserve">. This continued through to </w:t>
      </w:r>
      <w:r w:rsidR="00204CE0">
        <w:rPr>
          <w:noProof/>
        </w:rPr>
        <w:t xml:space="preserve">the first quarter of 2010 and </w:t>
      </w:r>
      <w:r w:rsidR="002D32D0">
        <w:rPr>
          <w:noProof/>
        </w:rPr>
        <w:t>it reached a peak of 24% on</w:t>
      </w:r>
      <w:r w:rsidR="00666E6F">
        <w:rPr>
          <w:noProof/>
        </w:rPr>
        <w:t xml:space="preserve"> October 2008.</w:t>
      </w:r>
    </w:p>
    <w:p w14:paraId="704E060A" w14:textId="2D6890B7" w:rsidR="000C1BA8" w:rsidRDefault="00CC43C1">
      <w:pPr>
        <w:rPr>
          <w:noProof/>
        </w:rPr>
      </w:pPr>
      <w:r>
        <w:rPr>
          <w:noProof/>
        </w:rPr>
        <w:t xml:space="preserve">Consumer loans saw a rise </w:t>
      </w:r>
      <w:r w:rsidR="007342F5">
        <w:rPr>
          <w:noProof/>
        </w:rPr>
        <w:t>in delinquency rate.</w:t>
      </w:r>
      <w:r w:rsidR="008C4219">
        <w:rPr>
          <w:noProof/>
        </w:rPr>
        <w:t xml:space="preserve"> </w:t>
      </w:r>
      <w:r w:rsidR="0060523E">
        <w:rPr>
          <w:noProof/>
        </w:rPr>
        <w:t>D</w:t>
      </w:r>
      <w:r w:rsidR="00843B41">
        <w:rPr>
          <w:noProof/>
        </w:rPr>
        <w:t>elinquency rates started increasing on Jan 2006</w:t>
      </w:r>
      <w:r w:rsidR="002748E5">
        <w:rPr>
          <w:noProof/>
        </w:rPr>
        <w:t xml:space="preserve"> before starting to see </w:t>
      </w:r>
      <w:r w:rsidR="0006736D">
        <w:rPr>
          <w:noProof/>
        </w:rPr>
        <w:t xml:space="preserve">a steep upward trajectory </w:t>
      </w:r>
      <w:r w:rsidR="00BF2164">
        <w:rPr>
          <w:noProof/>
        </w:rPr>
        <w:t>on April 2007 to April 2009</w:t>
      </w:r>
      <w:r w:rsidR="0079400C">
        <w:rPr>
          <w:noProof/>
        </w:rPr>
        <w:t xml:space="preserve">, similar time when housing mortgages started to </w:t>
      </w:r>
      <w:r w:rsidR="00DB42E4">
        <w:rPr>
          <w:noProof/>
        </w:rPr>
        <w:t>default</w:t>
      </w:r>
      <w:r w:rsidR="00DD6639">
        <w:rPr>
          <w:noProof/>
        </w:rPr>
        <w:t xml:space="preserve">, before </w:t>
      </w:r>
      <w:r w:rsidR="00ED3634">
        <w:rPr>
          <w:noProof/>
        </w:rPr>
        <w:t xml:space="preserve">consumer loan delinquency rate started to </w:t>
      </w:r>
      <w:r w:rsidR="00DD6639">
        <w:rPr>
          <w:noProof/>
        </w:rPr>
        <w:t xml:space="preserve">taper down on </w:t>
      </w:r>
      <w:r w:rsidR="004D49CF">
        <w:rPr>
          <w:noProof/>
        </w:rPr>
        <w:t>July</w:t>
      </w:r>
      <w:r w:rsidR="00DD6639">
        <w:rPr>
          <w:noProof/>
        </w:rPr>
        <w:t xml:space="preserve"> 2009</w:t>
      </w:r>
      <w:r w:rsidR="0071299B">
        <w:rPr>
          <w:noProof/>
        </w:rPr>
        <w:t>.</w:t>
      </w:r>
    </w:p>
    <w:p w14:paraId="6CF129CF" w14:textId="1353C7FB" w:rsidR="00BF3320" w:rsidRDefault="00BF3320" w:rsidP="00BF3320">
      <w:pPr>
        <w:jc w:val="center"/>
        <w:rPr>
          <w:noProof/>
        </w:rPr>
      </w:pPr>
      <w:r>
        <w:rPr>
          <w:noProof/>
        </w:rPr>
        <w:lastRenderedPageBreak/>
        <w:drawing>
          <wp:inline distT="0" distB="0" distL="0" distR="0" wp14:anchorId="154E1BB6" wp14:editId="18BDDA33">
            <wp:extent cx="1927963" cy="3134494"/>
            <wp:effectExtent l="0" t="0" r="0" b="8890"/>
            <wp:docPr id="210039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9779" name="Picture 1" descr="A screenshot of a computer&#10;&#10;Description automatically generated"/>
                    <pic:cNvPicPr/>
                  </pic:nvPicPr>
                  <pic:blipFill rotWithShape="1">
                    <a:blip r:embed="rId13"/>
                    <a:srcRect l="23989" t="12980" r="55800" b="28603"/>
                    <a:stretch/>
                  </pic:blipFill>
                  <pic:spPr bwMode="auto">
                    <a:xfrm>
                      <a:off x="0" y="0"/>
                      <a:ext cx="1961948" cy="3189747"/>
                    </a:xfrm>
                    <a:prstGeom prst="rect">
                      <a:avLst/>
                    </a:prstGeom>
                    <a:ln>
                      <a:noFill/>
                    </a:ln>
                    <a:extLst>
                      <a:ext uri="{53640926-AAD7-44D8-BBD7-CCE9431645EC}">
                        <a14:shadowObscured xmlns:a14="http://schemas.microsoft.com/office/drawing/2010/main"/>
                      </a:ext>
                    </a:extLst>
                  </pic:spPr>
                </pic:pic>
              </a:graphicData>
            </a:graphic>
          </wp:inline>
        </w:drawing>
      </w:r>
      <w:r w:rsidR="00724ADD">
        <w:rPr>
          <w:noProof/>
        </w:rPr>
        <w:drawing>
          <wp:inline distT="0" distB="0" distL="0" distR="0" wp14:anchorId="023D11EC" wp14:editId="0353E559">
            <wp:extent cx="3979872" cy="3220771"/>
            <wp:effectExtent l="0" t="0" r="1905" b="0"/>
            <wp:docPr id="176394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3879" cy="3232106"/>
                    </a:xfrm>
                    <a:prstGeom prst="rect">
                      <a:avLst/>
                    </a:prstGeom>
                    <a:noFill/>
                    <a:ln>
                      <a:noFill/>
                    </a:ln>
                  </pic:spPr>
                </pic:pic>
              </a:graphicData>
            </a:graphic>
          </wp:inline>
        </w:drawing>
      </w:r>
    </w:p>
    <w:p w14:paraId="7DDB7748" w14:textId="77777777" w:rsidR="00BF3320" w:rsidRDefault="00BF3320" w:rsidP="00BF3320">
      <w:pPr>
        <w:rPr>
          <w:noProof/>
        </w:rPr>
      </w:pPr>
    </w:p>
    <w:p w14:paraId="184CE2E0" w14:textId="32657F20" w:rsidR="00072A2E" w:rsidRDefault="00072A2E" w:rsidP="00072A2E">
      <w:pPr>
        <w:rPr>
          <w:noProof/>
        </w:rPr>
      </w:pPr>
      <w:r>
        <w:rPr>
          <w:noProof/>
        </w:rPr>
        <w:t xml:space="preserve">In conclusion, the current economic landscape in the United States presents a mixed picture. While the PCE levels remain below the federal funds rates, indicating the need for a restrictive monetary policy to bring down inflation, the overall strength of the US economy is evident. The economy continues to exhibit robust indicators such as high employment rates, job openings, and retail sales. However, it is essential to consider the lessons from the past, particularly the period from early 2006 to mid-2007 when interest rates were held above 4%. This restrictive monetary policy constrained businesses, leading to cost-cutting measures, lower job openings, and higher unemployment rates. If the Federal Reserve were to pursue a similar high-interest-rate environment, it could impede economic growth and prompt companies with short-term debts and upcoming long-term loan payments to adopt conservative approaches, potentially resulting in increased unemployment. </w:t>
      </w:r>
    </w:p>
    <w:p w14:paraId="527BD2A1" w14:textId="7ACAB1D5" w:rsidR="00072A2E" w:rsidRDefault="00072A2E" w:rsidP="00072A2E">
      <w:pPr>
        <w:rPr>
          <w:noProof/>
        </w:rPr>
      </w:pPr>
      <w:r>
        <w:rPr>
          <w:noProof/>
        </w:rPr>
        <w:t>Notably, retail sales have plateaued since March 2022, and a recent buildup in inventory suggests that consumers may have reached their peak consumption of retail goods. This divergence between demand and supply, along with the slowdown in demand caused by the restrictive monetary policy, indicates a downward trend in inflation. This provides the Federal Reserve with more flexibility in determining its future monetary policy approach.</w:t>
      </w:r>
    </w:p>
    <w:p w14:paraId="4F70417D" w14:textId="4D1535F5" w:rsidR="00072A2E" w:rsidRDefault="00072A2E" w:rsidP="00072A2E">
      <w:pPr>
        <w:rPr>
          <w:noProof/>
        </w:rPr>
      </w:pPr>
      <w:r>
        <w:rPr>
          <w:noProof/>
        </w:rPr>
        <w:t>It is concerning to observe an increase in loans coupled with a decrease in personal savings, drawing parallels to the period before the 2007/08 financial crisis. Current personal savings levels resemble those seen in 2005 before the crisis hit. High inflation has compelled consumers to tap into their savings while facing difficulties setting aside funds for future saving. As consumer spending habits shift toward a more conservative approach, an increase in personal savings and a further decrease in inflation could be expected.</w:t>
      </w:r>
    </w:p>
    <w:p w14:paraId="208D4163" w14:textId="77777777" w:rsidR="00072A2E" w:rsidRDefault="00072A2E" w:rsidP="00072A2E">
      <w:pPr>
        <w:rPr>
          <w:noProof/>
        </w:rPr>
      </w:pPr>
      <w:r>
        <w:rPr>
          <w:noProof/>
        </w:rPr>
        <w:t xml:space="preserve">Looking at housing mortgages and consumer loans, similar trends are emerging. Housing mortgages experienced a steep increase from 2006 to 2008, followed by a sharp decline. Presently, housing loans </w:t>
      </w:r>
      <w:r>
        <w:rPr>
          <w:noProof/>
        </w:rPr>
        <w:lastRenderedPageBreak/>
        <w:t>show a notable upward trajectory. Consumer loans, on the other hand, have seen a steeper increase since the COVID-19 pandemic compared to the data from the 2007/08 financial crisis.</w:t>
      </w:r>
    </w:p>
    <w:p w14:paraId="661238CC" w14:textId="77777777" w:rsidR="00072A2E" w:rsidRDefault="00072A2E" w:rsidP="00072A2E">
      <w:pPr>
        <w:rPr>
          <w:noProof/>
        </w:rPr>
      </w:pPr>
    </w:p>
    <w:p w14:paraId="6419CF09" w14:textId="77777777" w:rsidR="00072A2E" w:rsidRDefault="00072A2E" w:rsidP="00072A2E">
      <w:pPr>
        <w:rPr>
          <w:noProof/>
        </w:rPr>
      </w:pPr>
      <w:r>
        <w:rPr>
          <w:noProof/>
        </w:rPr>
        <w:t>Analyzing defaults on housing mortgages and consumer loans, there is an inversion in risk. The decrease in housing mortgage defaults indicates a lower likelihood of a banking crisis similar to the one experienced in the United States. However, the increasing default rates on consumer loans, reaching 9.7% in January 2023, suggest the potential for a credit crisis should the unemployment rate rise while personal savings remain at levels seen during the 2007/08 crisis. Despite the increase in consumer loan defaults, they still remain below the levels observed before and during the financial crisis.</w:t>
      </w:r>
    </w:p>
    <w:p w14:paraId="6751B5B0" w14:textId="12CE80B1" w:rsidR="00634B20" w:rsidRPr="00634B20" w:rsidRDefault="00072A2E" w:rsidP="00072A2E">
      <w:pPr>
        <w:rPr>
          <w:noProof/>
        </w:rPr>
      </w:pPr>
      <w:r>
        <w:rPr>
          <w:noProof/>
        </w:rPr>
        <w:t>In summary, the current economic environment presents a complex situation where the need for a restrictive monetary policy to control inflation intersects with a strong US economy. The risk of a recession is not evident yet with the current data at hand but, the divergence in demand and supply, changin consumer spending habits, and the potential for credit crisis warrant close monitoring and appropriate policy responses to ensure sustainable economic growth and stability.</w:t>
      </w:r>
      <w:r w:rsidR="00634B20" w:rsidRPr="00634B20">
        <w:rPr>
          <w:rFonts w:ascii="Arial" w:eastAsia="Times New Roman" w:hAnsi="Arial" w:cs="Arial"/>
          <w:vanish/>
          <w:kern w:val="0"/>
          <w:sz w:val="16"/>
          <w:szCs w:val="16"/>
          <w14:ligatures w14:val="none"/>
        </w:rPr>
        <w:t>Top of Form</w:t>
      </w:r>
    </w:p>
    <w:p w14:paraId="24449764" w14:textId="77777777" w:rsidR="00634B20" w:rsidRPr="002F783E" w:rsidRDefault="00634B20">
      <w:pPr>
        <w:rPr>
          <w:noProof/>
        </w:rPr>
      </w:pPr>
    </w:p>
    <w:sectPr w:rsidR="00634B20" w:rsidRPr="002F7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16C0D"/>
    <w:multiLevelType w:val="hybridMultilevel"/>
    <w:tmpl w:val="DD7EE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54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16"/>
    <w:rsid w:val="00001BB7"/>
    <w:rsid w:val="000053F6"/>
    <w:rsid w:val="0000548E"/>
    <w:rsid w:val="00006492"/>
    <w:rsid w:val="00014BE4"/>
    <w:rsid w:val="00016618"/>
    <w:rsid w:val="000222B8"/>
    <w:rsid w:val="00022FFA"/>
    <w:rsid w:val="000300BA"/>
    <w:rsid w:val="00034735"/>
    <w:rsid w:val="00034C66"/>
    <w:rsid w:val="00035AD5"/>
    <w:rsid w:val="00052AA2"/>
    <w:rsid w:val="00054128"/>
    <w:rsid w:val="00057F26"/>
    <w:rsid w:val="000664A5"/>
    <w:rsid w:val="0006736D"/>
    <w:rsid w:val="00072A2E"/>
    <w:rsid w:val="00081D6B"/>
    <w:rsid w:val="0008375D"/>
    <w:rsid w:val="000A7EA1"/>
    <w:rsid w:val="000B0A50"/>
    <w:rsid w:val="000C1BA8"/>
    <w:rsid w:val="000C253A"/>
    <w:rsid w:val="000D7105"/>
    <w:rsid w:val="000E084C"/>
    <w:rsid w:val="000F162D"/>
    <w:rsid w:val="000F2B24"/>
    <w:rsid w:val="000F7575"/>
    <w:rsid w:val="001025BC"/>
    <w:rsid w:val="001059C3"/>
    <w:rsid w:val="00107CA5"/>
    <w:rsid w:val="00107EDC"/>
    <w:rsid w:val="0012618B"/>
    <w:rsid w:val="00136247"/>
    <w:rsid w:val="00136351"/>
    <w:rsid w:val="001374F7"/>
    <w:rsid w:val="0014146D"/>
    <w:rsid w:val="00145B81"/>
    <w:rsid w:val="00151D29"/>
    <w:rsid w:val="00182602"/>
    <w:rsid w:val="00183ED0"/>
    <w:rsid w:val="0019761B"/>
    <w:rsid w:val="001A06CB"/>
    <w:rsid w:val="001C25B5"/>
    <w:rsid w:val="001C295D"/>
    <w:rsid w:val="001C6799"/>
    <w:rsid w:val="001D125F"/>
    <w:rsid w:val="001D78AE"/>
    <w:rsid w:val="001E6DF4"/>
    <w:rsid w:val="001F0793"/>
    <w:rsid w:val="001F5AC5"/>
    <w:rsid w:val="00204CE0"/>
    <w:rsid w:val="00205EE5"/>
    <w:rsid w:val="00214BD5"/>
    <w:rsid w:val="002227FC"/>
    <w:rsid w:val="00237FF1"/>
    <w:rsid w:val="00242F2B"/>
    <w:rsid w:val="00243D09"/>
    <w:rsid w:val="00246481"/>
    <w:rsid w:val="00262668"/>
    <w:rsid w:val="00264128"/>
    <w:rsid w:val="002708AB"/>
    <w:rsid w:val="00273FCD"/>
    <w:rsid w:val="002748E5"/>
    <w:rsid w:val="0028091D"/>
    <w:rsid w:val="00283C42"/>
    <w:rsid w:val="002859BE"/>
    <w:rsid w:val="00291ADF"/>
    <w:rsid w:val="002A24FE"/>
    <w:rsid w:val="002A3176"/>
    <w:rsid w:val="002A6F34"/>
    <w:rsid w:val="002B7EA6"/>
    <w:rsid w:val="002D32D0"/>
    <w:rsid w:val="002D6663"/>
    <w:rsid w:val="002F1F55"/>
    <w:rsid w:val="002F26BC"/>
    <w:rsid w:val="002F783E"/>
    <w:rsid w:val="00305F73"/>
    <w:rsid w:val="00310FA0"/>
    <w:rsid w:val="00327C41"/>
    <w:rsid w:val="00344812"/>
    <w:rsid w:val="00355078"/>
    <w:rsid w:val="003653BF"/>
    <w:rsid w:val="00383688"/>
    <w:rsid w:val="003A2881"/>
    <w:rsid w:val="003A35F7"/>
    <w:rsid w:val="003A668B"/>
    <w:rsid w:val="003B4603"/>
    <w:rsid w:val="003D51A8"/>
    <w:rsid w:val="003E2AA1"/>
    <w:rsid w:val="003E3326"/>
    <w:rsid w:val="0040129F"/>
    <w:rsid w:val="00407FAD"/>
    <w:rsid w:val="004136DE"/>
    <w:rsid w:val="00415694"/>
    <w:rsid w:val="00416F64"/>
    <w:rsid w:val="00425465"/>
    <w:rsid w:val="004340A7"/>
    <w:rsid w:val="00440E7B"/>
    <w:rsid w:val="0044223D"/>
    <w:rsid w:val="00452E1F"/>
    <w:rsid w:val="00460EC9"/>
    <w:rsid w:val="00462DC9"/>
    <w:rsid w:val="00463D4D"/>
    <w:rsid w:val="0048468C"/>
    <w:rsid w:val="00491DDE"/>
    <w:rsid w:val="004B0C28"/>
    <w:rsid w:val="004B3488"/>
    <w:rsid w:val="004C00B4"/>
    <w:rsid w:val="004C052A"/>
    <w:rsid w:val="004C2A68"/>
    <w:rsid w:val="004C2C15"/>
    <w:rsid w:val="004D49CF"/>
    <w:rsid w:val="004D60FA"/>
    <w:rsid w:val="004E6B87"/>
    <w:rsid w:val="004E6FDB"/>
    <w:rsid w:val="004F1987"/>
    <w:rsid w:val="004F36E8"/>
    <w:rsid w:val="005035F4"/>
    <w:rsid w:val="00520C50"/>
    <w:rsid w:val="00522642"/>
    <w:rsid w:val="00522A68"/>
    <w:rsid w:val="00534C51"/>
    <w:rsid w:val="00547716"/>
    <w:rsid w:val="0055742C"/>
    <w:rsid w:val="0056709D"/>
    <w:rsid w:val="005679CE"/>
    <w:rsid w:val="005741E0"/>
    <w:rsid w:val="00575233"/>
    <w:rsid w:val="00577466"/>
    <w:rsid w:val="005A198F"/>
    <w:rsid w:val="005A5F6E"/>
    <w:rsid w:val="005A76E5"/>
    <w:rsid w:val="005A79B2"/>
    <w:rsid w:val="005C0DCA"/>
    <w:rsid w:val="005C3A77"/>
    <w:rsid w:val="0060523E"/>
    <w:rsid w:val="00610714"/>
    <w:rsid w:val="00612CA1"/>
    <w:rsid w:val="00613A3D"/>
    <w:rsid w:val="00616135"/>
    <w:rsid w:val="00627D5A"/>
    <w:rsid w:val="00632660"/>
    <w:rsid w:val="00634B20"/>
    <w:rsid w:val="00634F46"/>
    <w:rsid w:val="006367F3"/>
    <w:rsid w:val="00651E11"/>
    <w:rsid w:val="00662EF2"/>
    <w:rsid w:val="00663C94"/>
    <w:rsid w:val="00666E6F"/>
    <w:rsid w:val="006746D0"/>
    <w:rsid w:val="0069698F"/>
    <w:rsid w:val="006A1292"/>
    <w:rsid w:val="006A4B4E"/>
    <w:rsid w:val="006A618F"/>
    <w:rsid w:val="006B1132"/>
    <w:rsid w:val="006D4B5B"/>
    <w:rsid w:val="006D4E30"/>
    <w:rsid w:val="006D7D11"/>
    <w:rsid w:val="006E4B21"/>
    <w:rsid w:val="006E760E"/>
    <w:rsid w:val="006F116E"/>
    <w:rsid w:val="00704124"/>
    <w:rsid w:val="007068F0"/>
    <w:rsid w:val="00707772"/>
    <w:rsid w:val="007115DA"/>
    <w:rsid w:val="00711602"/>
    <w:rsid w:val="0071299B"/>
    <w:rsid w:val="00717CBC"/>
    <w:rsid w:val="00721704"/>
    <w:rsid w:val="00724ADD"/>
    <w:rsid w:val="00727C10"/>
    <w:rsid w:val="007342F5"/>
    <w:rsid w:val="00735B44"/>
    <w:rsid w:val="00737DE0"/>
    <w:rsid w:val="007503BD"/>
    <w:rsid w:val="0075315B"/>
    <w:rsid w:val="00756455"/>
    <w:rsid w:val="00757659"/>
    <w:rsid w:val="00764C87"/>
    <w:rsid w:val="00770AA5"/>
    <w:rsid w:val="00770CE8"/>
    <w:rsid w:val="00785378"/>
    <w:rsid w:val="0079048B"/>
    <w:rsid w:val="0079400C"/>
    <w:rsid w:val="007A4D93"/>
    <w:rsid w:val="007B4493"/>
    <w:rsid w:val="007C2630"/>
    <w:rsid w:val="007C3E59"/>
    <w:rsid w:val="007C71D1"/>
    <w:rsid w:val="007D1CE9"/>
    <w:rsid w:val="007D2393"/>
    <w:rsid w:val="007D252D"/>
    <w:rsid w:val="007D59CB"/>
    <w:rsid w:val="007D6155"/>
    <w:rsid w:val="007E323A"/>
    <w:rsid w:val="007F1112"/>
    <w:rsid w:val="00803565"/>
    <w:rsid w:val="00803DDD"/>
    <w:rsid w:val="00810E89"/>
    <w:rsid w:val="00811010"/>
    <w:rsid w:val="00814540"/>
    <w:rsid w:val="00834583"/>
    <w:rsid w:val="00843B41"/>
    <w:rsid w:val="008670E9"/>
    <w:rsid w:val="008704A7"/>
    <w:rsid w:val="00873753"/>
    <w:rsid w:val="00877B0D"/>
    <w:rsid w:val="00884006"/>
    <w:rsid w:val="008842F1"/>
    <w:rsid w:val="0089493A"/>
    <w:rsid w:val="008A3CDF"/>
    <w:rsid w:val="008B04E4"/>
    <w:rsid w:val="008B336B"/>
    <w:rsid w:val="008C4219"/>
    <w:rsid w:val="008C46C0"/>
    <w:rsid w:val="008D230E"/>
    <w:rsid w:val="008D2AF4"/>
    <w:rsid w:val="008E1BCA"/>
    <w:rsid w:val="008E5D40"/>
    <w:rsid w:val="008E66A7"/>
    <w:rsid w:val="008E6D2A"/>
    <w:rsid w:val="008F5F25"/>
    <w:rsid w:val="008F6873"/>
    <w:rsid w:val="00902A82"/>
    <w:rsid w:val="009126B7"/>
    <w:rsid w:val="00916AA0"/>
    <w:rsid w:val="00921DE1"/>
    <w:rsid w:val="009263C2"/>
    <w:rsid w:val="00926B00"/>
    <w:rsid w:val="00933E6B"/>
    <w:rsid w:val="00935517"/>
    <w:rsid w:val="0093658E"/>
    <w:rsid w:val="00941FEF"/>
    <w:rsid w:val="009477AA"/>
    <w:rsid w:val="0097121C"/>
    <w:rsid w:val="00975047"/>
    <w:rsid w:val="00985ECA"/>
    <w:rsid w:val="009861BB"/>
    <w:rsid w:val="00994376"/>
    <w:rsid w:val="009A3BD4"/>
    <w:rsid w:val="009A400A"/>
    <w:rsid w:val="009B09CB"/>
    <w:rsid w:val="009B3168"/>
    <w:rsid w:val="009B4AD0"/>
    <w:rsid w:val="009C71F8"/>
    <w:rsid w:val="009C77C8"/>
    <w:rsid w:val="009E0208"/>
    <w:rsid w:val="009E119B"/>
    <w:rsid w:val="009E2936"/>
    <w:rsid w:val="009F2354"/>
    <w:rsid w:val="00A03E5D"/>
    <w:rsid w:val="00A0537A"/>
    <w:rsid w:val="00A074EA"/>
    <w:rsid w:val="00A1184D"/>
    <w:rsid w:val="00A23FA1"/>
    <w:rsid w:val="00A6013C"/>
    <w:rsid w:val="00A62E70"/>
    <w:rsid w:val="00A6514E"/>
    <w:rsid w:val="00A651BC"/>
    <w:rsid w:val="00A66ABA"/>
    <w:rsid w:val="00A778C0"/>
    <w:rsid w:val="00AA7B94"/>
    <w:rsid w:val="00AA7D1A"/>
    <w:rsid w:val="00AC04A4"/>
    <w:rsid w:val="00AC1211"/>
    <w:rsid w:val="00AC1FDC"/>
    <w:rsid w:val="00AE1930"/>
    <w:rsid w:val="00AE726A"/>
    <w:rsid w:val="00AF4AE8"/>
    <w:rsid w:val="00AF681C"/>
    <w:rsid w:val="00B00A6A"/>
    <w:rsid w:val="00B01AE4"/>
    <w:rsid w:val="00B12859"/>
    <w:rsid w:val="00B146E5"/>
    <w:rsid w:val="00B15A31"/>
    <w:rsid w:val="00B31689"/>
    <w:rsid w:val="00B3252A"/>
    <w:rsid w:val="00B40293"/>
    <w:rsid w:val="00B5107A"/>
    <w:rsid w:val="00B61911"/>
    <w:rsid w:val="00B645F5"/>
    <w:rsid w:val="00B647F2"/>
    <w:rsid w:val="00B76A56"/>
    <w:rsid w:val="00B86304"/>
    <w:rsid w:val="00B94FCE"/>
    <w:rsid w:val="00BA0CEE"/>
    <w:rsid w:val="00BA1D6E"/>
    <w:rsid w:val="00BA3630"/>
    <w:rsid w:val="00BB0A8F"/>
    <w:rsid w:val="00BB732E"/>
    <w:rsid w:val="00BC6137"/>
    <w:rsid w:val="00BC6A2F"/>
    <w:rsid w:val="00BD096B"/>
    <w:rsid w:val="00BD4C32"/>
    <w:rsid w:val="00BE0D12"/>
    <w:rsid w:val="00BE4E2D"/>
    <w:rsid w:val="00BF002A"/>
    <w:rsid w:val="00BF084F"/>
    <w:rsid w:val="00BF0D45"/>
    <w:rsid w:val="00BF18EF"/>
    <w:rsid w:val="00BF2164"/>
    <w:rsid w:val="00BF3320"/>
    <w:rsid w:val="00BF44CE"/>
    <w:rsid w:val="00C03FDD"/>
    <w:rsid w:val="00C07397"/>
    <w:rsid w:val="00C1488F"/>
    <w:rsid w:val="00C16E7D"/>
    <w:rsid w:val="00C2332A"/>
    <w:rsid w:val="00C34CED"/>
    <w:rsid w:val="00C469E0"/>
    <w:rsid w:val="00C50436"/>
    <w:rsid w:val="00C639D9"/>
    <w:rsid w:val="00C9321C"/>
    <w:rsid w:val="00C94DD6"/>
    <w:rsid w:val="00CA27FA"/>
    <w:rsid w:val="00CA2DCB"/>
    <w:rsid w:val="00CB3CCE"/>
    <w:rsid w:val="00CC43C1"/>
    <w:rsid w:val="00CD1CAA"/>
    <w:rsid w:val="00CE41E3"/>
    <w:rsid w:val="00CF39E2"/>
    <w:rsid w:val="00D00EDA"/>
    <w:rsid w:val="00D06372"/>
    <w:rsid w:val="00D10624"/>
    <w:rsid w:val="00D114F1"/>
    <w:rsid w:val="00D1218E"/>
    <w:rsid w:val="00D16FCD"/>
    <w:rsid w:val="00D202DA"/>
    <w:rsid w:val="00D249E5"/>
    <w:rsid w:val="00D34691"/>
    <w:rsid w:val="00D434A3"/>
    <w:rsid w:val="00D479C5"/>
    <w:rsid w:val="00D511C5"/>
    <w:rsid w:val="00D53AD1"/>
    <w:rsid w:val="00D61A82"/>
    <w:rsid w:val="00D62FB9"/>
    <w:rsid w:val="00D63626"/>
    <w:rsid w:val="00D651D2"/>
    <w:rsid w:val="00D66ACB"/>
    <w:rsid w:val="00D8089F"/>
    <w:rsid w:val="00D8294F"/>
    <w:rsid w:val="00D84744"/>
    <w:rsid w:val="00DB42E4"/>
    <w:rsid w:val="00DB4D5F"/>
    <w:rsid w:val="00DC6804"/>
    <w:rsid w:val="00DD29D1"/>
    <w:rsid w:val="00DD326D"/>
    <w:rsid w:val="00DD6639"/>
    <w:rsid w:val="00DE3256"/>
    <w:rsid w:val="00DF1395"/>
    <w:rsid w:val="00DF5CF8"/>
    <w:rsid w:val="00DF66A8"/>
    <w:rsid w:val="00E028A1"/>
    <w:rsid w:val="00E040CA"/>
    <w:rsid w:val="00E208DC"/>
    <w:rsid w:val="00E450A1"/>
    <w:rsid w:val="00E603FC"/>
    <w:rsid w:val="00E709BA"/>
    <w:rsid w:val="00E8561F"/>
    <w:rsid w:val="00E9186D"/>
    <w:rsid w:val="00E95AAA"/>
    <w:rsid w:val="00E97CB4"/>
    <w:rsid w:val="00EA2CEB"/>
    <w:rsid w:val="00EB13A6"/>
    <w:rsid w:val="00EC0FC7"/>
    <w:rsid w:val="00EC52FD"/>
    <w:rsid w:val="00ED1AD2"/>
    <w:rsid w:val="00ED3634"/>
    <w:rsid w:val="00ED5CB8"/>
    <w:rsid w:val="00EE17CD"/>
    <w:rsid w:val="00EE5873"/>
    <w:rsid w:val="00EF2301"/>
    <w:rsid w:val="00F0673C"/>
    <w:rsid w:val="00F12571"/>
    <w:rsid w:val="00F1399A"/>
    <w:rsid w:val="00F21200"/>
    <w:rsid w:val="00F2455E"/>
    <w:rsid w:val="00F30C0C"/>
    <w:rsid w:val="00F34211"/>
    <w:rsid w:val="00F41F9F"/>
    <w:rsid w:val="00F42037"/>
    <w:rsid w:val="00F6071E"/>
    <w:rsid w:val="00F63276"/>
    <w:rsid w:val="00F66217"/>
    <w:rsid w:val="00F66308"/>
    <w:rsid w:val="00F743FB"/>
    <w:rsid w:val="00F75B7C"/>
    <w:rsid w:val="00F92AB6"/>
    <w:rsid w:val="00F9449C"/>
    <w:rsid w:val="00FA5813"/>
    <w:rsid w:val="00FB0E37"/>
    <w:rsid w:val="00FB3330"/>
    <w:rsid w:val="00FC6D0C"/>
    <w:rsid w:val="00FD0F75"/>
    <w:rsid w:val="00FD1681"/>
    <w:rsid w:val="00FF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E071"/>
  <w15:chartTrackingRefBased/>
  <w15:docId w15:val="{0F4175DA-F3EE-4075-8695-D87EA5AE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F6E"/>
    <w:pPr>
      <w:ind w:left="720"/>
      <w:contextualSpacing/>
    </w:pPr>
  </w:style>
  <w:style w:type="paragraph" w:styleId="NormalWeb">
    <w:name w:val="Normal (Web)"/>
    <w:basedOn w:val="Normal"/>
    <w:uiPriority w:val="99"/>
    <w:semiHidden/>
    <w:unhideWhenUsed/>
    <w:rsid w:val="00634B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634B2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34B2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577018">
      <w:bodyDiv w:val="1"/>
      <w:marLeft w:val="0"/>
      <w:marRight w:val="0"/>
      <w:marTop w:val="0"/>
      <w:marBottom w:val="0"/>
      <w:divBdr>
        <w:top w:val="none" w:sz="0" w:space="0" w:color="auto"/>
        <w:left w:val="none" w:sz="0" w:space="0" w:color="auto"/>
        <w:bottom w:val="none" w:sz="0" w:space="0" w:color="auto"/>
        <w:right w:val="none" w:sz="0" w:space="0" w:color="auto"/>
      </w:divBdr>
      <w:divsChild>
        <w:div w:id="427698777">
          <w:marLeft w:val="0"/>
          <w:marRight w:val="0"/>
          <w:marTop w:val="0"/>
          <w:marBottom w:val="0"/>
          <w:divBdr>
            <w:top w:val="single" w:sz="2" w:space="0" w:color="D9D9E3"/>
            <w:left w:val="single" w:sz="2" w:space="0" w:color="D9D9E3"/>
            <w:bottom w:val="single" w:sz="2" w:space="0" w:color="D9D9E3"/>
            <w:right w:val="single" w:sz="2" w:space="0" w:color="D9D9E3"/>
          </w:divBdr>
          <w:divsChild>
            <w:div w:id="2137485944">
              <w:marLeft w:val="0"/>
              <w:marRight w:val="0"/>
              <w:marTop w:val="0"/>
              <w:marBottom w:val="0"/>
              <w:divBdr>
                <w:top w:val="single" w:sz="2" w:space="0" w:color="D9D9E3"/>
                <w:left w:val="single" w:sz="2" w:space="0" w:color="D9D9E3"/>
                <w:bottom w:val="single" w:sz="2" w:space="0" w:color="D9D9E3"/>
                <w:right w:val="single" w:sz="2" w:space="0" w:color="D9D9E3"/>
              </w:divBdr>
              <w:divsChild>
                <w:div w:id="319307650">
                  <w:marLeft w:val="0"/>
                  <w:marRight w:val="0"/>
                  <w:marTop w:val="0"/>
                  <w:marBottom w:val="0"/>
                  <w:divBdr>
                    <w:top w:val="single" w:sz="2" w:space="0" w:color="D9D9E3"/>
                    <w:left w:val="single" w:sz="2" w:space="0" w:color="D9D9E3"/>
                    <w:bottom w:val="single" w:sz="2" w:space="0" w:color="D9D9E3"/>
                    <w:right w:val="single" w:sz="2" w:space="0" w:color="D9D9E3"/>
                  </w:divBdr>
                  <w:divsChild>
                    <w:div w:id="795104075">
                      <w:marLeft w:val="0"/>
                      <w:marRight w:val="0"/>
                      <w:marTop w:val="0"/>
                      <w:marBottom w:val="0"/>
                      <w:divBdr>
                        <w:top w:val="single" w:sz="2" w:space="0" w:color="D9D9E3"/>
                        <w:left w:val="single" w:sz="2" w:space="0" w:color="D9D9E3"/>
                        <w:bottom w:val="single" w:sz="2" w:space="0" w:color="D9D9E3"/>
                        <w:right w:val="single" w:sz="2" w:space="0" w:color="D9D9E3"/>
                      </w:divBdr>
                      <w:divsChild>
                        <w:div w:id="1598754995">
                          <w:marLeft w:val="0"/>
                          <w:marRight w:val="0"/>
                          <w:marTop w:val="0"/>
                          <w:marBottom w:val="0"/>
                          <w:divBdr>
                            <w:top w:val="single" w:sz="2" w:space="0" w:color="auto"/>
                            <w:left w:val="single" w:sz="2" w:space="0" w:color="auto"/>
                            <w:bottom w:val="single" w:sz="6" w:space="0" w:color="auto"/>
                            <w:right w:val="single" w:sz="2" w:space="0" w:color="auto"/>
                          </w:divBdr>
                          <w:divsChild>
                            <w:div w:id="134375941">
                              <w:marLeft w:val="0"/>
                              <w:marRight w:val="0"/>
                              <w:marTop w:val="100"/>
                              <w:marBottom w:val="100"/>
                              <w:divBdr>
                                <w:top w:val="single" w:sz="2" w:space="0" w:color="D9D9E3"/>
                                <w:left w:val="single" w:sz="2" w:space="0" w:color="D9D9E3"/>
                                <w:bottom w:val="single" w:sz="2" w:space="0" w:color="D9D9E3"/>
                                <w:right w:val="single" w:sz="2" w:space="0" w:color="D9D9E3"/>
                              </w:divBdr>
                              <w:divsChild>
                                <w:div w:id="357783151">
                                  <w:marLeft w:val="0"/>
                                  <w:marRight w:val="0"/>
                                  <w:marTop w:val="0"/>
                                  <w:marBottom w:val="0"/>
                                  <w:divBdr>
                                    <w:top w:val="single" w:sz="2" w:space="0" w:color="D9D9E3"/>
                                    <w:left w:val="single" w:sz="2" w:space="0" w:color="D9D9E3"/>
                                    <w:bottom w:val="single" w:sz="2" w:space="0" w:color="D9D9E3"/>
                                    <w:right w:val="single" w:sz="2" w:space="0" w:color="D9D9E3"/>
                                  </w:divBdr>
                                  <w:divsChild>
                                    <w:div w:id="1651909571">
                                      <w:marLeft w:val="0"/>
                                      <w:marRight w:val="0"/>
                                      <w:marTop w:val="0"/>
                                      <w:marBottom w:val="0"/>
                                      <w:divBdr>
                                        <w:top w:val="single" w:sz="2" w:space="0" w:color="D9D9E3"/>
                                        <w:left w:val="single" w:sz="2" w:space="0" w:color="D9D9E3"/>
                                        <w:bottom w:val="single" w:sz="2" w:space="0" w:color="D9D9E3"/>
                                        <w:right w:val="single" w:sz="2" w:space="0" w:color="D9D9E3"/>
                                      </w:divBdr>
                                      <w:divsChild>
                                        <w:div w:id="1534419680">
                                          <w:marLeft w:val="0"/>
                                          <w:marRight w:val="0"/>
                                          <w:marTop w:val="0"/>
                                          <w:marBottom w:val="0"/>
                                          <w:divBdr>
                                            <w:top w:val="single" w:sz="2" w:space="0" w:color="D9D9E3"/>
                                            <w:left w:val="single" w:sz="2" w:space="0" w:color="D9D9E3"/>
                                            <w:bottom w:val="single" w:sz="2" w:space="0" w:color="D9D9E3"/>
                                            <w:right w:val="single" w:sz="2" w:space="0" w:color="D9D9E3"/>
                                          </w:divBdr>
                                          <w:divsChild>
                                            <w:div w:id="122749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6230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8</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zachary_koh</dc:creator>
  <cp:keywords/>
  <dc:description/>
  <cp:lastModifiedBy>zachary koh</cp:lastModifiedBy>
  <cp:revision>372</cp:revision>
  <dcterms:created xsi:type="dcterms:W3CDTF">2023-05-11T08:42:00Z</dcterms:created>
  <dcterms:modified xsi:type="dcterms:W3CDTF">2023-06-13T11:27:00Z</dcterms:modified>
</cp:coreProperties>
</file>