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6E4F"/>
          <w:sz w:val="40"/>
        </w:rPr>
        <w:t>PrognosEd — International Conference Slide Content</w:t>
      </w:r>
    </w:p>
    <w:p>
      <w:pPr>
        <w:jc w:val="center"/>
      </w:pPr>
      <w:r>
        <w:rPr>
          <w:rFonts w:ascii="Calibri" w:hAnsi="Calibri" w:eastAsia="Calibri"/>
          <w:b w:val="0"/>
          <w:color w:val="475467"/>
          <w:sz w:val="22"/>
        </w:rPr>
        <w:t>Full slide-by-slide text for PowerPoint  ·  August 21, 2026</w:t>
      </w:r>
    </w:p>
    <w:p>
      <w:r>
        <w:rPr>
          <w:rFonts w:ascii="Calibri" w:hAnsi="Calibri" w:eastAsia="Calibri"/>
          <w:b w:val="0"/>
          <w:color w:val="475467"/>
          <w:sz w:val="20"/>
        </w:rPr>
        <w:t>Use the bullets under each heading directly on slides. Speaker notes are guidance for oral delivery and do not need to appear on-screen.</w:t>
      </w:r>
    </w:p>
    <w:p>
      <w:pPr>
        <w:pStyle w:val="Heading1"/>
      </w:pPr>
      <w:r>
        <w:rPr>
          <w:color w:val="0B6E4F"/>
        </w:rPr>
        <w:t>Slide 1: Title Slide — PrognosEd: AI-Powered Early-Warning Student Success Platform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PrognosEd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AI-Powered Early-Warning Student Success Platform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Predictive Analytics · Intervention Intelligence · Retrieval-Augmented Advising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International Conference Presentation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Open with the problem of delayed intervention, then position PrognosEd as an end-to-end AI platform.</w:t>
      </w:r>
    </w:p>
    <w:p>
      <w:pPr>
        <w:pStyle w:val="Heading1"/>
      </w:pPr>
      <w:r>
        <w:rPr>
          <w:color w:val="0B6E4F"/>
        </w:rPr>
        <w:t>Slide 2: Presentation Outline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1. Problem context and research motivation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2. Objectives, proposed solution, and system architecture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3. AI/ML methodology: four specialized predictive models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4. Key innovation — retrieval-augmented (RAG) advising chat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5. Role-based decision support and live prototype demonstration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6. Experimental results, impact, limitations, and future work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7. Conclusions and discussion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Keep this slide brief; it orients the audience for a 15–20 minute talk.</w:t>
      </w:r>
    </w:p>
    <w:p>
      <w:pPr>
        <w:pStyle w:val="Heading1"/>
      </w:pPr>
      <w:r>
        <w:rPr>
          <w:color w:val="0B6E4F"/>
        </w:rPr>
        <w:t>Slide 3: The Challenge: Delayed Intervention in Higher Education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Universities often detect academic distress after grades have already declined.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Faculty workload limits continuous monitoring across large course cohorts.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Attendance, LMS activity, and assessment signals remain fragmented and underused.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One-size-fits-all advising fails to prioritize who needs support first.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Result: reactive remediation, higher dropout risk, and weaker retention outcomes.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Need: an early-warning intelligence system that predicts risk and recommends action.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Emphasize why timing matters: earlier signals enable lower-cost, higher-impact support.</w:t>
      </w:r>
    </w:p>
    <w:p>
      <w:pPr>
        <w:pStyle w:val="Heading1"/>
      </w:pPr>
      <w:r>
        <w:rPr>
          <w:color w:val="0B6E4F"/>
        </w:rPr>
        <w:t>Slide 4: Research Objectives and Scope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Design an AI-enabled platform for early academic and dropout risk prediction.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Deliver personalized, ranked intervention recommendations for faculty action.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Provide role-based dashboards for Faculty, Admin, Department Head, and Director.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Integrate multi-model ML services with graceful offline degradation.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Introduce conversational RAG advising grounded in student metrics and history.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Validate through a production-structured prototype with measurable model metrics.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State objectives as measurable engineering and research outcomes.</w:t>
      </w:r>
    </w:p>
    <w:p>
      <w:pPr>
        <w:pStyle w:val="Heading1"/>
      </w:pPr>
      <w:r>
        <w:rPr>
          <w:color w:val="0B6E4F"/>
        </w:rPr>
        <w:t>Slide 5: Proposed Solution Overview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PrognosEd — an integrated Student Success Intelligence Platform.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Ingests student engagement and academic metrics (attendance, GPA, LMS, late work).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Predicts risk via four independent ML microservices.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Surfaces prioritized alerts and intervention plans in role-scoped dashboards.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Supports decisions with a per-student RAG advising assistant.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Secured with JWT authentication, RBAC, rate limiting, and SMTP faculty onboarding.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Transition from problem → solution in one clear system narrative.</w:t>
      </w:r>
    </w:p>
    <w:p>
      <w:pPr>
        <w:pStyle w:val="Heading1"/>
      </w:pPr>
      <w:r>
        <w:rPr>
          <w:color w:val="0B6E4F"/>
        </w:rPr>
        <w:t>Slide 6: System Architecture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Presentation Layer: React 19 SPA, role-based dashboards, RAG chat UI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Application Layer: Express REST API, JWT sessions, SQLite persistence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AI &amp; Analytics Layer: FastAPI ML services on ports 8000–8003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Knowledge Layer: TF-IDF retriever, advising playbook, chat memory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Design principle: modular services, clear APIs, resilient fallbacks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Show architecture diagram (docs/print-assets/01-system-architecture.png) if available.</w:t>
      </w:r>
    </w:p>
    <w:p>
      <w:pPr>
        <w:pStyle w:val="Heading1"/>
      </w:pPr>
      <w:r>
        <w:rPr>
          <w:color w:val="0B6E4F"/>
        </w:rPr>
        <w:t>Slide 7: Technology Stack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Frontend: React 19, Vite, Tailwind CSS 4, Recharts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Backend: Node.js, Express 4, better-sqlite3, bcrypt, JWT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ML Serving: FastAPI + uvicorn, scikit-learn / XGBoost pipelines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Advising AI: Node.js TF-IDF RAG retriever with intent-aware generation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Ops: Docker Compose support, GitHub Actions CI (lint, build, smoke tests)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Email: Nodemailer SMTP for invitations and password reset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Highlight production-structured choices, not only research notebooks.</w:t>
      </w:r>
    </w:p>
    <w:p>
      <w:pPr>
        <w:pStyle w:val="Heading1"/>
      </w:pPr>
      <w:r>
        <w:rPr>
          <w:color w:val="0B6E4F"/>
        </w:rPr>
        <w:t>Slide 8: AI Pipeline: From Student Metrics to Action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Step 1 — Collect metrics: attendance, GPA, LMS activity, late assignments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Step 2 — Predict risk: academic early-warning + dropout probability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Step 3 — Rank interventions: skill gaps + risk-level action templates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Step 4 — Faculty action: dashboard alerts, accept/dismiss recommendations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Step 5 — Continuous advising: RAG chat with per-student conversation memory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Feedback loop: recommendation decisions refine operational prioritization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Use workflow diagram (docs/print-assets/02-ai-workflow.png).</w:t>
      </w:r>
    </w:p>
    <w:p>
      <w:pPr>
        <w:pStyle w:val="Heading1"/>
      </w:pPr>
      <w:r>
        <w:rPr>
          <w:color w:val="0B6E4F"/>
        </w:rPr>
        <w:t>Slide 9: Model 1 — Academic Early-Warning Risk Prediction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Purpose: predict pass/fail risk early enough for meaningful intervention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Signals: LMS engagement (clicks, active days) and assessment performance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Evaluation design: 4-week early-warning window (not full-course leakage)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Key result: ROC-AUC ≈ 0.83 on OULAD early-warning setting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Explainability: SHAP confirms behavioral/academic drivers over demographics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Service endpoint: FastAPI on port 8000 (ML_ACADEMIC_API_URL)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Stress the 4-week constraint as methodological honesty for real intervention timing.</w:t>
      </w:r>
    </w:p>
    <w:p>
      <w:pPr>
        <w:pStyle w:val="Heading1"/>
      </w:pPr>
      <w:r>
        <w:rPr>
          <w:color w:val="0B6E4F"/>
        </w:rPr>
        <w:t>Slide 10: Model 2 — Dropout Risk Detection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Purpose: binary classification of Dropout vs Graduate outcomes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Features: enrollment, curricular units, financial/academic indicators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Dataset: UCI Higher Education Students Performance / Dropout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Key results: 94.1% accuracy; AUC 0.973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Validation: stratified 5-fold CV + held-out test reporting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Service endpoint: FastAPI on port 8001 (ML_DROPOUT_API_URL)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Report both accuracy and AUC; mention CV to avoid single-split optimism.</w:t>
      </w:r>
    </w:p>
    <w:p>
      <w:pPr>
        <w:pStyle w:val="Heading1"/>
      </w:pPr>
      <w:r>
        <w:rPr>
          <w:color w:val="0B6E4F"/>
        </w:rPr>
        <w:t>Slide 11: Model 3 — Skill-Based Intervention Recommender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Purpose: recommend skill-level interventions from mastery gaps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Approach: rank weak skill areas from tutoring / EDM mastery tables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Dataset lineage: KDD Cup 2010 Educational Data Mining challenge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Key result: Precision@5 = 100% on evaluated ranking setting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Integration: complements platform rule-based intervention templates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Service endpoint: FastAPI on port 8002 (ML_RECOMMENDER_API_URL)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Clarify that Model 3 ranks actionable skill targets, not only risk scores.</w:t>
      </w:r>
    </w:p>
    <w:p>
      <w:pPr>
        <w:pStyle w:val="Heading1"/>
      </w:pPr>
      <w:r>
        <w:rPr>
          <w:color w:val="0B6E4F"/>
        </w:rPr>
        <w:t>Slide 12: Model 4 — Behavioral Learning Analytics Clustering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Purpose: unsupervised segmentation for institutional analytics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Method: k-means behavioral clustering (k = 4)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Key metric: Silhouette score ≈ 0.315 (moderate, exploratory separation)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Use case: cohort patterns for directors and academic administrators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Supports reporting beyond individual risk lists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Service endpoint: FastAPI on port 8003 (ML_ANALYTICS_API_URL)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Frame clustering as exploratory analytics for leadership, not clinical diagnosis.</w:t>
      </w:r>
    </w:p>
    <w:p>
      <w:pPr>
        <w:pStyle w:val="Heading1"/>
      </w:pPr>
      <w:r>
        <w:rPr>
          <w:color w:val="0B6E4F"/>
        </w:rPr>
        <w:t>Slide 13: Key Innovation: Retrieval-Augmented Advising Chat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Per-student conversational assistant embedded in the student profile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Retrieves from an advising playbook using TF-IDF (Node.js, zero heavy deps)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Personalizes answers with live metrics: risk, attendance, GPA, LMS, late work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Stores short conversation memory per student–advisor pair in SQLite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Intent detection: outreach drafts, weekly plans, risk explanation, summaries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Anti-repetition controls rotate focus and avoid recycled playbook chunks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Position RAG as the bridge between model outputs and day-to-day faculty practice.</w:t>
      </w:r>
    </w:p>
    <w:p>
      <w:pPr>
        <w:pStyle w:val="Heading1"/>
      </w:pPr>
      <w:r>
        <w:rPr>
          <w:color w:val="0B6E4F"/>
        </w:rPr>
        <w:t>Slide 14: Role-Based Decision Support (Faculty → Leadership)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Faculty: course KPIs, at-risk roster, recommendations, RAG advisor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Department Head: department performance and faculty-aligned views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Academic Admin: institutional insights, user invites, course assignments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Director / Dean: university KPIs, department comparison, risk drill-down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Administrative Staff: reports and alerts for operational support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Access control enforced via JWT + role-scoped service queries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Show that AI insights are organizationally usable across governance levels.</w:t>
      </w:r>
    </w:p>
    <w:p>
      <w:pPr>
        <w:pStyle w:val="Heading1"/>
      </w:pPr>
      <w:r>
        <w:rPr>
          <w:color w:val="0B6E4F"/>
        </w:rPr>
        <w:t>Slide 15: Prototype Demonstration — Faculty Dashboard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Live UI demonstration of Faculty Dashboard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KPI cards: enrolled students, average attendance, at-risk count, average GPA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Weekly engagement trend: attendance vs LMS activity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Students needing attention panel for rapid triage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Screenshot asset: docs/print-assets/05-faculty-dashboard.png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Narrate a real faculty morning workflow: scan KPIs → open at-risk list.</w:t>
      </w:r>
    </w:p>
    <w:p>
      <w:pPr>
        <w:pStyle w:val="Heading1"/>
      </w:pPr>
      <w:r>
        <w:rPr>
          <w:color w:val="0B6E4F"/>
        </w:rPr>
        <w:t>Slide 16: Prototype Demonstration — Student Risk Profile &amp; Interventions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Critical-risk student profile with contributing factors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ML model predictions: academic, dropout, and engagement-based risk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Personalized intervention checklist for immediate action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Personalized RAG advisor with conversation history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Screenshot asset: docs/print-assets/06-student-profile-rag.png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Walk through one student story end-to-end (e.g., high late work + low GPA).</w:t>
      </w:r>
    </w:p>
    <w:p>
      <w:pPr>
        <w:pStyle w:val="Heading1"/>
      </w:pPr>
      <w:r>
        <w:rPr>
          <w:color w:val="0B6E4F"/>
        </w:rPr>
        <w:t>Slide 17: Experimental Results and Model Performance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Model 1 (Academic early-warning): ROC-AUC ≈ 0.83 (4-week setting)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Model 2 (Dropout risk): Accuracy 94.1%; AUC 0.973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Model 3 (Skill recommender): Precision@5 = 100%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Model 4 (Behavioral clustering): Silhouette ≈ 0.315 (k = 4)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Platform resilience: heuristic fallbacks when ML services are offline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Prototype coverage: dashboards, alerts, recommendations, reports, RAG chat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Optionally display docs/print-assets/03-key-results.png as a visual panel.</w:t>
      </w:r>
    </w:p>
    <w:p>
      <w:pPr>
        <w:pStyle w:val="Heading1"/>
      </w:pPr>
      <w:r>
        <w:rPr>
          <w:color w:val="0B6E4F"/>
        </w:rPr>
        <w:t>Slide 18: Specification Compliance and Deliverables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✓ Faculty dashboard with at-risk prioritization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✓ Risk alert system with role-scoped visibility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✓ Recommendation engine (rules + ML skill diagnostics)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✓ Institutional / class reporting analytics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✓ Four ML microservices for prediction and analytics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✓ Extended deliverables: RAG chat, SMTP onboarding, RBAC hierarchy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Useful for evaluators comparing against the original project specification.</w:t>
      </w:r>
    </w:p>
    <w:p>
      <w:pPr>
        <w:pStyle w:val="Heading1"/>
      </w:pPr>
      <w:r>
        <w:rPr>
          <w:color w:val="0B6E4F"/>
        </w:rPr>
        <w:t>Slide 19: Security, Scalability, and Deployment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Security: JWT sessions, bcrypt hashing, API rate limits, CORS controls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Privacy posture: role-scoped data access; demo accounts disabled in production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Deployment: npm production build, Express static hosting, Docker Compose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Ops readiness: health endpoints for API, ML services, and email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Scale path: SQLite for pilot → PostgreSQL for institutional concurrency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CI quality gates: lint, build, and smoke tests on push/PR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Reassure conference audiences that the prototype is deployment-aware.</w:t>
      </w:r>
    </w:p>
    <w:p>
      <w:pPr>
        <w:pStyle w:val="Heading1"/>
      </w:pPr>
      <w:r>
        <w:rPr>
          <w:color w:val="0B6E4F"/>
        </w:rPr>
        <w:t>Slide 20: Limitations and Ethical Considerations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Some ML features are estimated from summary metrics (not raw LMS event streams).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RAG uses a curated playbook; not a full institutional policy corpus or LLM.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Clustering is exploratory; moderate silhouette implies interpretive caution.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Predictions must support—not replace—professional academic judgment.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Fairness vigilance: minimize reliance on sensitive demographic proxies.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Production use requires FERPA/GDPR-aligned governance and audit logging.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Honesty here builds credibility with international academic audiences.</w:t>
      </w:r>
    </w:p>
    <w:p>
      <w:pPr>
        <w:pStyle w:val="Heading1"/>
      </w:pPr>
      <w:r>
        <w:rPr>
          <w:color w:val="0B6E4F"/>
        </w:rPr>
        <w:t>Slide 21: Impact and Contributions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Shifts advising from reactive remediation to proactive early warning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Unifies prediction, recommendation, and conversational guidance in one system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Provides leadership visibility from course level to institutional KPIs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Demonstrates modular, production-structured ML microservice integration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Introduces per-student RAG memory for continuity of advising context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Offers a deployable prototype pathway for university pilot programs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Close the value loop: technical novelty + institutional usefulness.</w:t>
      </w:r>
    </w:p>
    <w:p>
      <w:pPr>
        <w:pStyle w:val="Heading1"/>
      </w:pPr>
      <w:r>
        <w:rPr>
          <w:color w:val="0B6E4F"/>
        </w:rPr>
        <w:t>Slide 22: Future Work and Research Directions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Live LMS/SIS ingestion (LTI, xAPI, or scheduled ETL pipelines)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Embedding-based retrieval + grounded LLM synthesis with citations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PostgreSQL migration, connection pooling, and horizontal scaling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Automated retraining, model versioning, and monitoring (e.g., MLflow)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Real-time alert digests and institutional workflow integrations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Expanded fairness audits, accessibility (WCAG), and longitudinal impact studies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Invite collaboration: data partnerships, pilots, and joint research.</w:t>
      </w:r>
    </w:p>
    <w:p>
      <w:pPr>
        <w:pStyle w:val="Heading1"/>
      </w:pPr>
      <w:r>
        <w:rPr>
          <w:color w:val="0B6E4F"/>
        </w:rPr>
        <w:t>Slide 23: Conclusion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PrognosEd operationalizes AI for early student-success intervention.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Four ML services cover academic risk, dropout, skills, and behavioral analytics.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RAG advising adds personalized, history-aware decision support for faculty.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Role-based dashboards connect course action to institutional strategy.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Strong prototype readiness with clear, evidence-based performance metrics.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Next step: pilot deployment with live institutional data partnerships.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Restate the contribution in one sentence before Q&amp;A.</w:t>
      </w:r>
    </w:p>
    <w:p>
      <w:pPr>
        <w:pStyle w:val="Heading1"/>
      </w:pPr>
      <w:r>
        <w:rPr>
          <w:color w:val="0B6E4F"/>
        </w:rPr>
        <w:t>Slide 24: Acknowledgments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Academic supervision and research guidance for the AI/ML internship track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Open datasets enabling reproducible model development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OULAD · UCI Student Performance · UCI Dropout · KDD Cup 2010 EDM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Open-source ecosystem: React, Express, FastAPI, scikit-learn, and related tools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Institutional stakeholders who inspired practical faculty advising workflows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Keep acknowledgments concise and respectful.</w:t>
      </w:r>
    </w:p>
    <w:p>
      <w:pPr>
        <w:pStyle w:val="Heading1"/>
      </w:pPr>
      <w:r>
        <w:rPr>
          <w:color w:val="0B6E4F"/>
        </w:rPr>
        <w:t>Slide 25: Questions &amp; Discussion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Thank you for your attention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PrognosEd — AI-Powered Early-Warning Student Success Platform</w:t>
      </w:r>
    </w:p>
    <w:p>
      <w:pPr>
        <w:pStyle w:val="ListBullet"/>
      </w:pPr>
      <w:r>
        <w:rPr>
          <w:rFonts w:ascii="Calibri" w:hAnsi="Calibri" w:eastAsia="Calibri"/>
          <w:b w:val="0"/>
          <w:color w:val="101828"/>
          <w:sz w:val="22"/>
        </w:rPr>
        <w:t>Open floor for questions on methodology, deployment, ethics, or collaboration</w:t>
      </w:r>
    </w:p>
    <w:p>
      <w:r>
        <w:rPr>
          <w:rFonts w:ascii="Calibri" w:hAnsi="Calibri" w:eastAsia="Calibri"/>
          <w:b/>
          <w:color w:val="0B6E4F"/>
          <w:sz w:val="20"/>
        </w:rPr>
        <w:t xml:space="preserve">Speaker note: </w:t>
      </w:r>
      <w:r>
        <w:rPr>
          <w:rFonts w:ascii="Calibri" w:hAnsi="Calibri" w:eastAsia="Calibri"/>
          <w:b w:val="0"/>
          <w:color w:val="475467"/>
          <w:sz w:val="20"/>
        </w:rPr>
        <w:t>Prepare concise answers on datasets, fairness, RAG limits, and pilot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