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sz w:val="28"/>
        </w:rPr>
        <w:t>BAB III</w:t>
        <w:br/>
        <w:t>METODE PENELITIAN</w:t>
      </w:r>
    </w:p>
    <w:p>
      <w:pPr>
        <w:spacing w:after="240"/>
      </w:pPr>
    </w:p>
    <w:p>
      <w:pPr>
        <w:spacing w:before="280" w:after="120" w:line="360" w:lineRule="auto"/>
      </w:pPr>
      <w:r>
        <w:rPr>
          <w:rFonts w:ascii="Times New Roman" w:hAnsi="Times New Roman"/>
          <w:b/>
          <w:i w:val="0"/>
          <w:sz w:val="24"/>
        </w:rPr>
        <w:t>A. Jenis dan Pendekatan Penelitian</w:t>
      </w:r>
    </w:p>
    <w:p>
      <w:pPr>
        <w:spacing w:line="360" w:lineRule="auto" w:after="120"/>
        <w:ind w:firstLine="567"/>
        <w:jc w:val="both"/>
      </w:pPr>
      <w:r>
        <w:rPr>
          <w:rFonts w:ascii="Times New Roman" w:hAnsi="Times New Roman"/>
          <w:b w:val="0"/>
          <w:i w:val="0"/>
          <w:sz w:val="24"/>
        </w:rPr>
        <w:t>Penelitian ini secara fundamental mengadopsi jenis penelitian kuantitatif dengan pendekatan eksperimental komputasi (computational experimental research) pada domain kecerdasan buatan dan rekayasa pembelajaran mesin. Pemilihan pendekatan kuantitatif didasari oleh kebutuhan untuk mengukur, menganalisis, serta membuktikan secara empiris perbedaan signifikansi kinerja peramalan harga Bitcoin sebelum dan sesudah intervensi optimasi hyperparameter dijalankan. Pendekatan ini memposisikan model Long Short-Term Memory (LSTM) sebagai subjek perlakuan komputasional terarah, di mana konfigurasi hyperparameter dimanipulasi secara adaptif melalui algoritma Optuna berbasis Tree-structured Parzen Estimator guna meminimalkan fungsi kerugian validasi (Akiba et al., 2019; Creswell &amp; Creswell, 2018). Seluruh parameter keluaran diukur secara objektif melalui metrik evaluasi numerik terstandar, sehingga temuan yang dihasilkan memiliki landasan validitas internal yang sangat kuat serta terbebas dari bias penafsiran kualitatif subjektif (Feurer &amp; Hutter, 2019).</w:t>
      </w:r>
    </w:p>
    <w:p>
      <w:pPr>
        <w:spacing w:line="360" w:lineRule="auto" w:after="120"/>
        <w:ind w:firstLine="567"/>
        <w:jc w:val="both"/>
      </w:pPr>
      <w:r>
        <w:rPr>
          <w:rFonts w:ascii="Times New Roman" w:hAnsi="Times New Roman"/>
          <w:b w:val="0"/>
          <w:i w:val="0"/>
          <w:sz w:val="24"/>
        </w:rPr>
        <w:t>Rancangan eksperimen kuantitatif ini disusun secara komprehensif dalam sebuah kerangka kerja benchmark bertingkat yang mencakup tiga tingkatan pengujian (3-Tier Benchmark Evaluation) guna menghasilkan komparasi performa yang adil dan transparan. Ketiadaan skema pembanding bertingkat pada berbagai penelitian peramalan sering kali memicu klaim keunggulan model yang semu akibat pemilihan pembanding acuan yang terlalu lemah. Dalam skema ini, Tier 1 berfungsi sebagai kontrol dasar menggunakan konfigurasi default pustaka tanpa optimasi, Tier 2 mereplikasi model penalaan manual dari riset terdahulu oleh Khumaidi dkk. (2024), dan Tier 3 mengevaluasi arsitektur teroptimasi otomatis menggunakan Optuna-TPE (Bouthillier et al., 2020). Desain benchmark bertingkat ini memungkinkan penelitian membuktikan secara definitif apakah optimasi probabilistik terarah mampu melampaui keterbatasan heuristik manual manusia dalam menavigasi ruang pencarian berdimensi tinggi (Makridakis et al., 2018).</w:t>
      </w:r>
    </w:p>
    <w:p>
      <w:pPr>
        <w:spacing w:line="360" w:lineRule="auto" w:after="120"/>
        <w:ind w:firstLine="567"/>
        <w:jc w:val="both"/>
      </w:pPr>
      <w:r>
        <w:rPr>
          <w:rFonts w:ascii="Times New Roman" w:hAnsi="Times New Roman"/>
          <w:b w:val="0"/>
          <w:i w:val="0"/>
          <w:sz w:val="24"/>
        </w:rPr>
        <w:t>Pendekatan eksperimen komputasional ini diimplementasikan sepenuhnya secara in-silico pada lingkungan perangkat lunak terisolasi tanpa melibatkan subjek manusia maupun intervensi laboratorium fisik basah. Karakteristik data deret waktu finansial yang bergerak sangat cepat dan memiliki dinamika non-linier menuntut suatu lingkungan eksperimen yang sepenuhnya deterministik, terkendali, dan dapat direplikasi secara identik oleh peneliti lain. Seluruh siklus hidup penelitian—mulai dari akuisisi data historis, rekayasa fitur sekuensial, pemisahan data temporal bebas kebocoran, pencarian hyperparameter, hingga pengujian out-of-sample—dijalankan melalui skrip program otomatis (López de Prado, 2018). Paradigma komputasi modern ini telah diakui secara luas dalam disiplin ilmu informatika dan sains data sebagai metodologi baku yang sah untuk menghasilkan penemuan ilmiah yang kredibel dan memiliki reprodusibilitas tinggi (Goodfellow et al., 2016; Lim &amp; Zohren, 2021).</w:t>
      </w:r>
    </w:p>
    <w:p>
      <w:pPr>
        <w:spacing w:before="280" w:after="120" w:line="360" w:lineRule="auto"/>
      </w:pPr>
      <w:r>
        <w:rPr>
          <w:rFonts w:ascii="Times New Roman" w:hAnsi="Times New Roman"/>
          <w:b/>
          <w:i w:val="0"/>
          <w:sz w:val="24"/>
        </w:rPr>
        <w:t>B. Waktu dan Tempat Penelitian</w:t>
      </w:r>
    </w:p>
    <w:p>
      <w:pPr>
        <w:spacing w:line="360" w:lineRule="auto" w:after="120"/>
        <w:ind w:firstLine="567"/>
        <w:jc w:val="both"/>
      </w:pPr>
      <w:r>
        <w:rPr>
          <w:rFonts w:ascii="Times New Roman" w:hAnsi="Times New Roman"/>
          <w:b w:val="0"/>
          <w:i w:val="0"/>
          <w:sz w:val="24"/>
        </w:rPr>
        <w:t>Penelitian skripsi ini dilaksanakan secara intensif dalam rentang waktu selama lima bulan, terhitung sejak bulan Oktober 2026 sampai dengan bulan Februari 2027. Alokasi waktu tersebut disusun secara sekuensial dan terstruktur ke dalam lima tahapan kerja utama guna mengantisipasi beban komputasi yang tinggi pada fase optimasi hyperparameter dengan validasi silang temporal. Tahapan kerja tersebut meliputi studi kepustakaan mendalam dan penyusunan proposal (Oktober–November 2026), akuisisi data serta prapemrosesan (November–Desember 2026), implementasi model dan optimasi Optuna-TPE (Desember 2026–Januari 2027), evaluasi benchmark bertingkat (Januari 2027), hingga analisis komparatif serta penyusunan laporan skripsi lengkap (Januari–Februari 2027). Seluruh jadwal dirancang selaras dengan pedoman kalender akademik Fakultas Sains dan Teknologi UNISNU Jepara (UNISNU, 2023; Creswell &amp; Creswell, 2018).</w:t>
      </w:r>
    </w:p>
    <w:p>
      <w:pPr>
        <w:spacing w:line="360" w:lineRule="auto" w:after="120"/>
        <w:ind w:firstLine="567"/>
        <w:jc w:val="both"/>
      </w:pPr>
      <w:r>
        <w:rPr>
          <w:rFonts w:ascii="Times New Roman" w:hAnsi="Times New Roman"/>
          <w:b w:val="0"/>
          <w:i w:val="0"/>
          <w:sz w:val="24"/>
        </w:rPr>
        <w:t>Pelaksanaan operasional penelitian ini bertempat di Jepara, Jawa Tengah, dengan memanfaatkan sistem komputasi stasiun kerja mandiri yang terhubung langsung ke jaringan internet berkecepatan tinggi. Karakteristik penelitian informatika berbasis pemodelan kecerdasan buatan tidak menuntut kehadiran fisik di lokasi geografis tertentu atau laboratorium lapangan basah konvensional. Peneliti mengakses repositori data pasar keuangan global secara daring melalui antarmuka pertukaran aset kripto Binance, sementara seluruh tahapan pelatihan jaringan saraf dieksekusi secara lokal pada stasiun kerja komputasi pribadi. Fleksibilitas spasial ini memungkinkan eksperimen komputasi dijalankan secara kontinu dan terkontrol penuh tanpa terpengaruh hambatan fisik lokasi, sejalan dengan prinsip riset sains data dan rekayasa perangkat lunak modern berskala internasional (López de Prado, 2018; Tashman, 2000).</w:t>
      </w:r>
    </w:p>
    <w:p>
      <w:pPr>
        <w:spacing w:before="200" w:after="60" w:line="240" w:lineRule="auto"/>
        <w:jc w:val="center"/>
      </w:pPr>
      <w:r>
        <w:rPr>
          <w:rFonts w:ascii="Times New Roman" w:hAnsi="Times New Roman"/>
          <w:b/>
          <w:i w:val="0"/>
          <w:sz w:val="22"/>
        </w:rPr>
        <w:t>Tabel 3.1 Jadwal Pelaksanaan Kegiatan Penelitian</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454"/>
            <w:shd w:fill="E8EEF5"/>
          </w:tcPr>
          <w:p>
            <w:pPr>
              <w:spacing w:line="252" w:lineRule="auto" w:before="40" w:after="40"/>
              <w:jc w:val="center"/>
            </w:pPr>
            <w:r>
              <w:rPr>
                <w:rFonts w:ascii="Times New Roman" w:hAnsi="Times New Roman"/>
                <w:b/>
                <w:i w:val="0"/>
                <w:sz w:val="18"/>
              </w:rPr>
              <w:t>No</w:t>
            </w:r>
          </w:p>
        </w:tc>
        <w:tc>
          <w:tcPr>
            <w:tcW w:type="dxa" w:w="2835"/>
            <w:shd w:fill="E8EEF5"/>
          </w:tcPr>
          <w:p>
            <w:pPr>
              <w:spacing w:line="252" w:lineRule="auto" w:before="40" w:after="40"/>
              <w:jc w:val="both"/>
            </w:pPr>
            <w:r>
              <w:rPr>
                <w:rFonts w:ascii="Times New Roman" w:hAnsi="Times New Roman"/>
                <w:b/>
                <w:i w:val="0"/>
                <w:sz w:val="18"/>
              </w:rPr>
              <w:t>Tahapan Kegiatan Penelitian</w:t>
            </w:r>
          </w:p>
        </w:tc>
        <w:tc>
          <w:tcPr>
            <w:tcW w:type="dxa" w:w="907"/>
            <w:shd w:fill="E8EEF5"/>
          </w:tcPr>
          <w:p>
            <w:pPr>
              <w:spacing w:line="252" w:lineRule="auto" w:before="40" w:after="40"/>
              <w:jc w:val="both"/>
            </w:pPr>
            <w:r>
              <w:rPr>
                <w:rFonts w:ascii="Times New Roman" w:hAnsi="Times New Roman"/>
                <w:b/>
                <w:i w:val="0"/>
                <w:sz w:val="18"/>
              </w:rPr>
              <w:t>Okt 2026</w:t>
            </w:r>
          </w:p>
        </w:tc>
        <w:tc>
          <w:tcPr>
            <w:tcW w:type="dxa" w:w="907"/>
            <w:shd w:fill="E8EEF5"/>
          </w:tcPr>
          <w:p>
            <w:pPr>
              <w:spacing w:line="252" w:lineRule="auto" w:before="40" w:after="40"/>
              <w:jc w:val="both"/>
            </w:pPr>
            <w:r>
              <w:rPr>
                <w:rFonts w:ascii="Times New Roman" w:hAnsi="Times New Roman"/>
                <w:b/>
                <w:i w:val="0"/>
                <w:sz w:val="18"/>
              </w:rPr>
              <w:t>Nov 2026</w:t>
            </w:r>
          </w:p>
        </w:tc>
        <w:tc>
          <w:tcPr>
            <w:tcW w:type="dxa" w:w="907"/>
            <w:shd w:fill="E8EEF5"/>
          </w:tcPr>
          <w:p>
            <w:pPr>
              <w:spacing w:line="252" w:lineRule="auto" w:before="40" w:after="40"/>
              <w:jc w:val="both"/>
            </w:pPr>
            <w:r>
              <w:rPr>
                <w:rFonts w:ascii="Times New Roman" w:hAnsi="Times New Roman"/>
                <w:b/>
                <w:i w:val="0"/>
                <w:sz w:val="18"/>
              </w:rPr>
              <w:t>Des 2026</w:t>
            </w:r>
          </w:p>
        </w:tc>
        <w:tc>
          <w:tcPr>
            <w:tcW w:type="dxa" w:w="907"/>
            <w:shd w:fill="E8EEF5"/>
          </w:tcPr>
          <w:p>
            <w:pPr>
              <w:spacing w:line="252" w:lineRule="auto" w:before="40" w:after="40"/>
              <w:jc w:val="both"/>
            </w:pPr>
            <w:r>
              <w:rPr>
                <w:rFonts w:ascii="Times New Roman" w:hAnsi="Times New Roman"/>
                <w:b/>
                <w:i w:val="0"/>
                <w:sz w:val="18"/>
              </w:rPr>
              <w:t>Jan 2027</w:t>
            </w:r>
          </w:p>
        </w:tc>
        <w:tc>
          <w:tcPr>
            <w:tcW w:type="dxa" w:w="907"/>
            <w:shd w:fill="E8EEF5"/>
          </w:tcPr>
          <w:p>
            <w:pPr>
              <w:spacing w:line="252" w:lineRule="auto" w:before="40" w:after="40"/>
              <w:jc w:val="both"/>
            </w:pPr>
            <w:r>
              <w:rPr>
                <w:rFonts w:ascii="Times New Roman" w:hAnsi="Times New Roman"/>
                <w:b/>
                <w:i w:val="0"/>
                <w:sz w:val="18"/>
              </w:rPr>
              <w:t>Feb 2027</w:t>
            </w:r>
          </w:p>
        </w:tc>
      </w:tr>
      <w:tr>
        <w:tc>
          <w:tcPr>
            <w:tcW w:type="dxa" w:w="454"/>
          </w:tcPr>
          <w:p>
            <w:pPr>
              <w:spacing w:line="252" w:lineRule="auto" w:before="40" w:after="40"/>
              <w:jc w:val="center"/>
            </w:pPr>
            <w:r>
              <w:rPr>
                <w:rFonts w:ascii="Times New Roman" w:hAnsi="Times New Roman"/>
                <w:b w:val="0"/>
                <w:i w:val="0"/>
                <w:sz w:val="18"/>
              </w:rPr>
              <w:t>1</w:t>
            </w:r>
          </w:p>
        </w:tc>
        <w:tc>
          <w:tcPr>
            <w:tcW w:type="dxa" w:w="2835"/>
          </w:tcPr>
          <w:p>
            <w:pPr>
              <w:spacing w:line="252" w:lineRule="auto" w:before="40" w:after="40"/>
              <w:jc w:val="both"/>
            </w:pPr>
            <w:r>
              <w:rPr>
                <w:rFonts w:ascii="Times New Roman" w:hAnsi="Times New Roman"/>
                <w:b w:val="0"/>
                <w:i w:val="0"/>
                <w:sz w:val="18"/>
              </w:rPr>
              <w:t>Studi Literatur &amp; Penyusunan Proposal Skripsi</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2</w:t>
            </w:r>
          </w:p>
        </w:tc>
        <w:tc>
          <w:tcPr>
            <w:tcW w:type="dxa" w:w="2835"/>
          </w:tcPr>
          <w:p>
            <w:pPr>
              <w:spacing w:line="252" w:lineRule="auto" w:before="40" w:after="40"/>
              <w:jc w:val="both"/>
            </w:pPr>
            <w:r>
              <w:rPr>
                <w:rFonts w:ascii="Times New Roman" w:hAnsi="Times New Roman"/>
                <w:b w:val="0"/>
                <w:i w:val="0"/>
                <w:sz w:val="18"/>
              </w:rPr>
              <w:t>Akuisisi Data Binance API &amp; Prapemrosesan</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3</w:t>
            </w:r>
          </w:p>
        </w:tc>
        <w:tc>
          <w:tcPr>
            <w:tcW w:type="dxa" w:w="2835"/>
          </w:tcPr>
          <w:p>
            <w:pPr>
              <w:spacing w:line="252" w:lineRule="auto" w:before="40" w:after="40"/>
              <w:jc w:val="both"/>
            </w:pPr>
            <w:r>
              <w:rPr>
                <w:rFonts w:ascii="Times New Roman" w:hAnsi="Times New Roman"/>
                <w:b w:val="0"/>
                <w:i w:val="0"/>
                <w:sz w:val="18"/>
              </w:rPr>
              <w:t>Implementasi LSTM &amp; Optimasi Optuna-TPE</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4</w:t>
            </w:r>
          </w:p>
        </w:tc>
        <w:tc>
          <w:tcPr>
            <w:tcW w:type="dxa" w:w="2835"/>
          </w:tcPr>
          <w:p>
            <w:pPr>
              <w:spacing w:line="252" w:lineRule="auto" w:before="40" w:after="40"/>
              <w:jc w:val="both"/>
            </w:pPr>
            <w:r>
              <w:rPr>
                <w:rFonts w:ascii="Times New Roman" w:hAnsi="Times New Roman"/>
                <w:b w:val="0"/>
                <w:i w:val="0"/>
                <w:sz w:val="18"/>
              </w:rPr>
              <w:t>Evaluasi 3-Tier Benchmark &amp; Analisis Hasil</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r>
      <w:tr>
        <w:tc>
          <w:tcPr>
            <w:tcW w:type="dxa" w:w="454"/>
          </w:tcPr>
          <w:p>
            <w:pPr>
              <w:spacing w:line="252" w:lineRule="auto" w:before="40" w:after="40"/>
              <w:jc w:val="center"/>
            </w:pPr>
            <w:r>
              <w:rPr>
                <w:rFonts w:ascii="Times New Roman" w:hAnsi="Times New Roman"/>
                <w:b w:val="0"/>
                <w:i w:val="0"/>
                <w:sz w:val="18"/>
              </w:rPr>
              <w:t>5</w:t>
            </w:r>
          </w:p>
        </w:tc>
        <w:tc>
          <w:tcPr>
            <w:tcW w:type="dxa" w:w="2835"/>
          </w:tcPr>
          <w:p>
            <w:pPr>
              <w:spacing w:line="252" w:lineRule="auto" w:before="40" w:after="40"/>
              <w:jc w:val="both"/>
            </w:pPr>
            <w:r>
              <w:rPr>
                <w:rFonts w:ascii="Times New Roman" w:hAnsi="Times New Roman"/>
                <w:b w:val="0"/>
                <w:i w:val="0"/>
                <w:sz w:val="18"/>
              </w:rPr>
              <w:t>Penyusunan Naskah Lengkap &amp; Sidang Skripsi</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r>
    </w:tbl>
    <w:p>
      <w:pPr>
        <w:spacing w:after="120"/>
      </w:pPr>
    </w:p>
    <w:p>
      <w:pPr>
        <w:spacing w:before="280" w:after="120" w:line="360" w:lineRule="auto"/>
      </w:pPr>
      <w:r>
        <w:rPr>
          <w:rFonts w:ascii="Times New Roman" w:hAnsi="Times New Roman"/>
          <w:b/>
          <w:i w:val="0"/>
          <w:sz w:val="24"/>
        </w:rPr>
        <w:t>C. Populasi dan Sampel Penelitian</w:t>
      </w:r>
    </w:p>
    <w:p>
      <w:pPr>
        <w:spacing w:line="360" w:lineRule="auto" w:after="120"/>
        <w:ind w:firstLine="567"/>
        <w:jc w:val="both"/>
      </w:pPr>
      <w:r>
        <w:rPr>
          <w:rFonts w:ascii="Times New Roman" w:hAnsi="Times New Roman"/>
          <w:b w:val="0"/>
          <w:i w:val="0"/>
          <w:sz w:val="24"/>
        </w:rPr>
        <w:t>Populasi sasaran dalam penelitian kuantitatif ini adalah seluruh catatan riwayat transaksi harga perdagangan pasar spot untuk pasangan mata uang kripto Bitcoin terhadap Tether (BTC/USDT) yang terdokumentasi pada platform bursa aset digital Binance. Berbeda dari pasar modal konvensional yang memiliki jam operasional terbatas dan libur akhir pekan, pasar mata uang kripto bergerak aktif selama 24 jam tanpa henti sepanjang tahun sehingga menghasilkan struktur data deret waktu berdensitas sangat tinggi. Binance dipilih sebagai penyedia populasi data utama karena menempati peringkat teratas dunia dalam hal volume perdagangan likuid harian dan kedalaman pasar spot (Binance Developer API, 2024). Ukuran likuiditas yang sangat masif ini menjamin bahwa fluktuasi harga yang tercatat merefleksikan harga kesepakatan wajar global yang bebas dari distorsi manipulasi likuiditas bursa lokal (Gu et al., 2020).</w:t>
      </w:r>
    </w:p>
    <w:p>
      <w:pPr>
        <w:spacing w:line="360" w:lineRule="auto" w:after="120"/>
        <w:ind w:firstLine="567"/>
        <w:jc w:val="both"/>
      </w:pPr>
      <w:r>
        <w:rPr>
          <w:rFonts w:ascii="Times New Roman" w:hAnsi="Times New Roman"/>
          <w:b w:val="0"/>
          <w:i w:val="0"/>
          <w:sz w:val="24"/>
        </w:rPr>
        <w:t>Penentuan sampel penelitian dilakukan secara sistematis menggunakan teknik purposive sampling dengan menetapkan sekumpulan kriteria inklusi berbasis kebutuhan arsitektur pemodelan pembelajaran mendalam. Pengambilan data deret waktu finansial tanpa kriteria yang ketat berisiko tinggi menyertakan celah data hilang atau gangguan instrumen yang dapat mendistorsi proses pembentukan jendela sekuensial pada model LSTM. Kriteria inklusi yang ditetapkan mencakup: data berbentuk candlestick harian (daily OHLCV) lengkap, rentang waktu historis mencakup minimal enam tahun kalender perdagangan, serta bebas dari kegagalan pencatatan sistem. Berdasarkan penerapan kriteria tersebut, sampel penelitian yang diperoleh mencakup data harian dari tanggal 1 Januari 2020 hingga 31 Desember 2025 dengan total 2.192 baris observasi berurutan (Hyndman &amp; Athanasopoulos, 2018; Arlot &amp; Celisse, 2010).</w:t>
      </w:r>
    </w:p>
    <w:p>
      <w:pPr>
        <w:spacing w:line="360" w:lineRule="auto" w:after="120"/>
        <w:ind w:firstLine="567"/>
        <w:jc w:val="both"/>
      </w:pPr>
      <w:r>
        <w:rPr>
          <w:rFonts w:ascii="Times New Roman" w:hAnsi="Times New Roman"/>
          <w:b w:val="0"/>
          <w:i w:val="0"/>
          <w:sz w:val="24"/>
        </w:rPr>
        <w:t>Penetapan rentang waktu sampel selama enam tahun penuh secara sengaja dirancang untuk mencakup seluruh keragaman rezim pasar finansial utama kripto, mencakup tren naik tajam (bullish), tren penurunan tajam (bearish), serta fase konsolidasi menyamping (sideways). Kelemahan mendasar dari banyak model kecerdasan buatan terdahulu adalah runtuhnya akurasi saat diuji di luar periode latihan karena model hanya dilatih pada satu kondisi pasar tunggal. Periode pengamatan 2020–2025 merangkum momen peristiwa Bitcoin Halving ketiga pada Mei 2020, pencapaian rekor tertinggi harga historis pada November 2021, penurunan ekstrem pasar beruang pada 2022, hingga periode konsolidasi institusional 2023–2025 (BRIN &amp; Binus, 2025). Keragaman siklus ini menjamin bahwa model LSTM teroptimasi diuji ketahanan dan daya generalisasinya secara menyeluruh (Tashman, 2000; Makridakis et al., 2018).</w:t>
      </w:r>
    </w:p>
    <w:p>
      <w:pPr>
        <w:spacing w:before="280" w:after="120" w:line="360" w:lineRule="auto"/>
      </w:pPr>
      <w:r>
        <w:rPr>
          <w:rFonts w:ascii="Times New Roman" w:hAnsi="Times New Roman"/>
          <w:b/>
          <w:i w:val="0"/>
          <w:sz w:val="24"/>
        </w:rPr>
        <w:t>D. Instrumen Penelitian</w:t>
      </w:r>
    </w:p>
    <w:p>
      <w:pPr>
        <w:spacing w:line="360" w:lineRule="auto" w:after="120"/>
        <w:ind w:firstLine="567"/>
        <w:jc w:val="both"/>
      </w:pPr>
      <w:r>
        <w:rPr>
          <w:rFonts w:ascii="Times New Roman" w:hAnsi="Times New Roman"/>
          <w:b w:val="0"/>
          <w:i w:val="0"/>
          <w:sz w:val="24"/>
        </w:rPr>
        <w:t>Instrumen penelitian dalam ranah eksperimen komputasi kecerdasan buatan mencakup perangkat keras, perangkat lunak pemrograman, kerangka kerja pustaka pemodelan, serta instrumen formulasi matematis yang digunakan untuk mengeksekusi dan mengukur seluruh tahapan penelitian. Standarisasi instrumen komputasi menjadi prasyarat mutlak dalam penelitian sains data agar hasil perhitungan numerik tidak mengalami penyimpangan akibat variasi spesifikasi dependensi perangkat. Instrumen ini dikelompokkan ke dalam tiga kategori utama, yaitu mesin komputasi perangkat keras untuk pemrosesan tensor, tumpukan perangkat lunak berbasis bahasa pemrograman Python, serta algoritma optimasi otomatis terstruktur (Creswell &amp; Creswell, 2018; Goodfellow et al., 2016). Keterpaduan instrumen-instrumen ini memastikan eksperimen berlangsung secara stabil, presisi, serta memiliki tingkat keterulangan empiris yang sempurna di lingkungan komputasi sejenis (Bouthillier et al., 2020).</w:t>
      </w:r>
    </w:p>
    <w:p>
      <w:pPr>
        <w:spacing w:before="200" w:after="80" w:line="360" w:lineRule="auto"/>
      </w:pPr>
      <w:r>
        <w:rPr>
          <w:rFonts w:ascii="Times New Roman" w:hAnsi="Times New Roman"/>
          <w:b/>
          <w:i w:val="0"/>
          <w:sz w:val="24"/>
        </w:rPr>
        <w:t>1. Perangkat Keras (Hardware)</w:t>
      </w:r>
    </w:p>
    <w:p>
      <w:pPr>
        <w:spacing w:line="360" w:lineRule="auto" w:after="120"/>
        <w:ind w:firstLine="567"/>
        <w:jc w:val="both"/>
      </w:pPr>
      <w:r>
        <w:rPr>
          <w:rFonts w:ascii="Times New Roman" w:hAnsi="Times New Roman"/>
          <w:b w:val="0"/>
          <w:i w:val="0"/>
          <w:sz w:val="24"/>
        </w:rPr>
        <w:t>Eksperimen komputasi pelatihan model dan penalaan hyperparameter dijalankan pada sebuah unit komputer stasiun kerja dengan arsitektur pemrosesan modern yang mampu menangani beban komputasi matriks berulang. Pelatihan arsitektur recurrent neural network melalui 50 siklus optimasi dengan skema validasi silang memerlukan stabilitas prosesor yang mumpuni agar tidak mengalami degradasi performa komputasi akibat panas berlebih. Komputer yang digunakan didukung oleh prosesor multi-core berbasis instruksi x86-64 dengan kecepatan frekuensi clock di atas 2.0 GHz per inti, dilengkapi memori akses acak (RAM) berkapasitas 8 GB untuk menampung struktur tensor berdimensi tiga selama pelatihan model berlangsung (Breuel, 2015). Media penyimpanan data mengandalkan Solid State Drive (SSD) bertransmisi tinggi guna mempercepat operasi baca dan tulis berkas dataset secara efisien (Goodfellow et al., 2016).</w:t>
      </w:r>
    </w:p>
    <w:p>
      <w:pPr>
        <w:spacing w:before="200" w:after="80" w:line="360" w:lineRule="auto"/>
      </w:pPr>
      <w:r>
        <w:rPr>
          <w:rFonts w:ascii="Times New Roman" w:hAnsi="Times New Roman"/>
          <w:b/>
          <w:i w:val="0"/>
          <w:sz w:val="24"/>
        </w:rPr>
        <w:t>2. Perangkat Lunak dan Pustaka Pemrograman (Software)</w:t>
      </w:r>
    </w:p>
    <w:p>
      <w:pPr>
        <w:spacing w:line="360" w:lineRule="auto" w:after="120"/>
        <w:ind w:firstLine="567"/>
        <w:jc w:val="both"/>
      </w:pPr>
      <w:r>
        <w:rPr>
          <w:rFonts w:ascii="Times New Roman" w:hAnsi="Times New Roman"/>
          <w:b w:val="0"/>
          <w:i w:val="0"/>
          <w:sz w:val="24"/>
        </w:rPr>
        <w:t>Seluruh rangkaian pengembangan algoritma dan analisis data dibangun menggunakan bahasa pemrograman Python versi 3.10 atau lebih tinggi yang telah terbukti sebagai standar industri utama dalam riset pembelajaran mesin dan rekayasa data. Inkonsistensi versi pustaka sering kali menjadi faktor utama kegagalan reproduksi kode komputasi kecerdasan buatan, sehingga spesifikasi modul perangkat lunak perlu didefinisikan secara presisi. Pustaka TensorFlow dan antarmuka Keras digunakan untuk membangun lapisan sel LSTM dan mengelola kompilasi graf komputasi jaringan saraf tiruan (TensorFlow Developers, 2024). Manipulasi larik matriks dan struktur data tabular dikelola menggunakan modul NumPy dan Pandas, transformasi data deret waktu dieksekusi dengan Scikit-learn, sementara visualisasi kurva evaluasi disusun menggunakan Matplotlib (Pedregosa et al., 2011; Akiba et al., 2019).</w:t>
      </w:r>
    </w:p>
    <w:p>
      <w:pPr>
        <w:spacing w:before="200" w:after="60" w:line="240" w:lineRule="auto"/>
        <w:jc w:val="center"/>
      </w:pPr>
      <w:r>
        <w:rPr>
          <w:rFonts w:ascii="Times New Roman" w:hAnsi="Times New Roman"/>
          <w:b/>
          <w:i w:val="0"/>
          <w:sz w:val="22"/>
        </w:rPr>
        <w:t>Tabel 3.2 Spesifikasi Instrumen Perangkat Lunak Penelitian</w:t>
      </w:r>
    </w:p>
    <w:tbl>
      <w:tblPr>
        <w:tblW w:type="auto" w:w="0"/>
        <w:jc w:val="center"/>
        <w:tblLook w:firstColumn="1" w:firstRow="1" w:lastColumn="0" w:lastRow="0" w:noHBand="0" w:noVBand="1" w:val="04A0"/>
      </w:tblPr>
      <w:tblGrid>
        <w:gridCol w:w="1984"/>
        <w:gridCol w:w="1984"/>
        <w:gridCol w:w="1984"/>
        <w:gridCol w:w="1984"/>
      </w:tblGrid>
      <w:tr>
        <w:tc>
          <w:tcPr>
            <w:tcW w:type="dxa" w:w="454"/>
            <w:shd w:fill="E8EEF5"/>
          </w:tcPr>
          <w:p>
            <w:pPr>
              <w:spacing w:line="252" w:lineRule="auto" w:before="40" w:after="40"/>
              <w:jc w:val="center"/>
            </w:pPr>
            <w:r>
              <w:rPr>
                <w:rFonts w:ascii="Times New Roman" w:hAnsi="Times New Roman"/>
                <w:b/>
                <w:i w:val="0"/>
                <w:sz w:val="18"/>
              </w:rPr>
              <w:t>No</w:t>
            </w:r>
          </w:p>
        </w:tc>
        <w:tc>
          <w:tcPr>
            <w:tcW w:type="dxa" w:w="1984"/>
            <w:shd w:fill="E8EEF5"/>
          </w:tcPr>
          <w:p>
            <w:pPr>
              <w:spacing w:line="252" w:lineRule="auto" w:before="40" w:after="40"/>
              <w:jc w:val="both"/>
            </w:pPr>
            <w:r>
              <w:rPr>
                <w:rFonts w:ascii="Times New Roman" w:hAnsi="Times New Roman"/>
                <w:b/>
                <w:i w:val="0"/>
                <w:sz w:val="18"/>
              </w:rPr>
              <w:t>Perangkat Lunak / Pustaka</w:t>
            </w:r>
          </w:p>
        </w:tc>
        <w:tc>
          <w:tcPr>
            <w:tcW w:type="dxa" w:w="1134"/>
            <w:shd w:fill="E8EEF5"/>
          </w:tcPr>
          <w:p>
            <w:pPr>
              <w:spacing w:line="252" w:lineRule="auto" w:before="40" w:after="40"/>
              <w:jc w:val="both"/>
            </w:pPr>
            <w:r>
              <w:rPr>
                <w:rFonts w:ascii="Times New Roman" w:hAnsi="Times New Roman"/>
                <w:b/>
                <w:i w:val="0"/>
                <w:sz w:val="18"/>
              </w:rPr>
              <w:t>Versi Minimum</w:t>
            </w:r>
          </w:p>
        </w:tc>
        <w:tc>
          <w:tcPr>
            <w:tcW w:type="dxa" w:w="3798"/>
            <w:shd w:fill="E8EEF5"/>
          </w:tcPr>
          <w:p>
            <w:pPr>
              <w:spacing w:line="252" w:lineRule="auto" w:before="40" w:after="40"/>
              <w:jc w:val="both"/>
            </w:pPr>
            <w:r>
              <w:rPr>
                <w:rFonts w:ascii="Times New Roman" w:hAnsi="Times New Roman"/>
                <w:b/>
                <w:i w:val="0"/>
                <w:sz w:val="18"/>
              </w:rPr>
              <w:t>Fungsi dan Peranan Utama</w:t>
            </w:r>
          </w:p>
        </w:tc>
      </w:tr>
      <w:tr>
        <w:tc>
          <w:tcPr>
            <w:tcW w:type="dxa" w:w="454"/>
          </w:tcPr>
          <w:p>
            <w:pPr>
              <w:spacing w:line="252" w:lineRule="auto" w:before="40" w:after="40"/>
              <w:jc w:val="center"/>
            </w:pPr>
            <w:r>
              <w:rPr>
                <w:rFonts w:ascii="Times New Roman" w:hAnsi="Times New Roman"/>
                <w:b w:val="0"/>
                <w:i w:val="0"/>
                <w:sz w:val="18"/>
              </w:rPr>
              <w:t>1</w:t>
            </w:r>
          </w:p>
        </w:tc>
        <w:tc>
          <w:tcPr>
            <w:tcW w:type="dxa" w:w="1984"/>
          </w:tcPr>
          <w:p>
            <w:pPr>
              <w:spacing w:line="252" w:lineRule="auto" w:before="40" w:after="40"/>
              <w:jc w:val="both"/>
            </w:pPr>
            <w:r>
              <w:rPr>
                <w:rFonts w:ascii="Times New Roman" w:hAnsi="Times New Roman"/>
                <w:b w:val="0"/>
                <w:i w:val="0"/>
                <w:sz w:val="18"/>
              </w:rPr>
              <w:t>Bahasa Python</w:t>
            </w:r>
          </w:p>
        </w:tc>
        <w:tc>
          <w:tcPr>
            <w:tcW w:type="dxa" w:w="1134"/>
          </w:tcPr>
          <w:p>
            <w:pPr>
              <w:spacing w:line="252" w:lineRule="auto" w:before="40" w:after="40"/>
              <w:jc w:val="both"/>
            </w:pPr>
            <w:r>
              <w:rPr>
                <w:rFonts w:ascii="Times New Roman" w:hAnsi="Times New Roman"/>
                <w:b w:val="0"/>
                <w:i w:val="0"/>
                <w:sz w:val="18"/>
              </w:rPr>
              <w:t>Versi ≥ 3.10</w:t>
            </w:r>
          </w:p>
        </w:tc>
        <w:tc>
          <w:tcPr>
            <w:tcW w:type="dxa" w:w="3798"/>
          </w:tcPr>
          <w:p>
            <w:pPr>
              <w:spacing w:line="252" w:lineRule="auto" w:before="40" w:after="40"/>
              <w:jc w:val="both"/>
            </w:pPr>
            <w:r>
              <w:rPr>
                <w:rFonts w:ascii="Times New Roman" w:hAnsi="Times New Roman"/>
                <w:b w:val="0"/>
                <w:i w:val="0"/>
                <w:sz w:val="18"/>
              </w:rPr>
              <w:t>Lingkungan eksekusi utama seluruh skrip pipeline eksperimen komputasi</w:t>
            </w:r>
          </w:p>
        </w:tc>
      </w:tr>
      <w:tr>
        <w:tc>
          <w:tcPr>
            <w:tcW w:type="dxa" w:w="454"/>
          </w:tcPr>
          <w:p>
            <w:pPr>
              <w:spacing w:line="252" w:lineRule="auto" w:before="40" w:after="40"/>
              <w:jc w:val="center"/>
            </w:pPr>
            <w:r>
              <w:rPr>
                <w:rFonts w:ascii="Times New Roman" w:hAnsi="Times New Roman"/>
                <w:b w:val="0"/>
                <w:i w:val="0"/>
                <w:sz w:val="18"/>
              </w:rPr>
              <w:t>2</w:t>
            </w:r>
          </w:p>
        </w:tc>
        <w:tc>
          <w:tcPr>
            <w:tcW w:type="dxa" w:w="1984"/>
          </w:tcPr>
          <w:p>
            <w:pPr>
              <w:spacing w:line="252" w:lineRule="auto" w:before="40" w:after="40"/>
              <w:jc w:val="both"/>
            </w:pPr>
            <w:r>
              <w:rPr>
                <w:rFonts w:ascii="Times New Roman" w:hAnsi="Times New Roman"/>
                <w:b w:val="0"/>
                <w:i w:val="0"/>
                <w:sz w:val="18"/>
              </w:rPr>
              <w:t>TensorFlow / Keras</w:t>
            </w:r>
          </w:p>
        </w:tc>
        <w:tc>
          <w:tcPr>
            <w:tcW w:type="dxa" w:w="1134"/>
          </w:tcPr>
          <w:p>
            <w:pPr>
              <w:spacing w:line="252" w:lineRule="auto" w:before="40" w:after="40"/>
              <w:jc w:val="both"/>
            </w:pPr>
            <w:r>
              <w:rPr>
                <w:rFonts w:ascii="Times New Roman" w:hAnsi="Times New Roman"/>
                <w:b w:val="0"/>
                <w:i w:val="0"/>
                <w:sz w:val="18"/>
              </w:rPr>
              <w:t>Versi ≥ 2.12</w:t>
            </w:r>
          </w:p>
        </w:tc>
        <w:tc>
          <w:tcPr>
            <w:tcW w:type="dxa" w:w="3798"/>
          </w:tcPr>
          <w:p>
            <w:pPr>
              <w:spacing w:line="252" w:lineRule="auto" w:before="40" w:after="40"/>
              <w:jc w:val="both"/>
            </w:pPr>
            <w:r>
              <w:rPr>
                <w:rFonts w:ascii="Times New Roman" w:hAnsi="Times New Roman"/>
                <w:b w:val="0"/>
                <w:i w:val="0"/>
                <w:sz w:val="18"/>
              </w:rPr>
              <w:t>Konstruksi lapisan arsitektur LSTM, kompilasi loss, dan pelatihan model</w:t>
            </w:r>
          </w:p>
        </w:tc>
      </w:tr>
      <w:tr>
        <w:tc>
          <w:tcPr>
            <w:tcW w:type="dxa" w:w="454"/>
          </w:tcPr>
          <w:p>
            <w:pPr>
              <w:spacing w:line="252" w:lineRule="auto" w:before="40" w:after="40"/>
              <w:jc w:val="center"/>
            </w:pPr>
            <w:r>
              <w:rPr>
                <w:rFonts w:ascii="Times New Roman" w:hAnsi="Times New Roman"/>
                <w:b w:val="0"/>
                <w:i w:val="0"/>
                <w:sz w:val="18"/>
              </w:rPr>
              <w:t>3</w:t>
            </w:r>
          </w:p>
        </w:tc>
        <w:tc>
          <w:tcPr>
            <w:tcW w:type="dxa" w:w="1984"/>
          </w:tcPr>
          <w:p>
            <w:pPr>
              <w:spacing w:line="252" w:lineRule="auto" w:before="40" w:after="40"/>
              <w:jc w:val="both"/>
            </w:pPr>
            <w:r>
              <w:rPr>
                <w:rFonts w:ascii="Times New Roman" w:hAnsi="Times New Roman"/>
                <w:b w:val="0"/>
                <w:i w:val="0"/>
                <w:sz w:val="18"/>
              </w:rPr>
              <w:t>Pustaka Optuna</w:t>
            </w:r>
          </w:p>
        </w:tc>
        <w:tc>
          <w:tcPr>
            <w:tcW w:type="dxa" w:w="1134"/>
          </w:tcPr>
          <w:p>
            <w:pPr>
              <w:spacing w:line="252" w:lineRule="auto" w:before="40" w:after="40"/>
              <w:jc w:val="both"/>
            </w:pPr>
            <w:r>
              <w:rPr>
                <w:rFonts w:ascii="Times New Roman" w:hAnsi="Times New Roman"/>
                <w:b w:val="0"/>
                <w:i w:val="0"/>
                <w:sz w:val="18"/>
              </w:rPr>
              <w:t>Versi ≥ 3.3</w:t>
            </w:r>
          </w:p>
        </w:tc>
        <w:tc>
          <w:tcPr>
            <w:tcW w:type="dxa" w:w="3798"/>
          </w:tcPr>
          <w:p>
            <w:pPr>
              <w:spacing w:line="252" w:lineRule="auto" w:before="40" w:after="40"/>
              <w:jc w:val="both"/>
            </w:pPr>
            <w:r>
              <w:rPr>
                <w:rFonts w:ascii="Times New Roman" w:hAnsi="Times New Roman"/>
                <w:b w:val="0"/>
                <w:i w:val="0"/>
                <w:sz w:val="18"/>
              </w:rPr>
              <w:t>Mesin optimasi hyperparameter otomatis berbasis TPE dan MedianPruner</w:t>
            </w:r>
          </w:p>
        </w:tc>
      </w:tr>
      <w:tr>
        <w:tc>
          <w:tcPr>
            <w:tcW w:type="dxa" w:w="454"/>
          </w:tcPr>
          <w:p>
            <w:pPr>
              <w:spacing w:line="252" w:lineRule="auto" w:before="40" w:after="40"/>
              <w:jc w:val="center"/>
            </w:pPr>
            <w:r>
              <w:rPr>
                <w:rFonts w:ascii="Times New Roman" w:hAnsi="Times New Roman"/>
                <w:b w:val="0"/>
                <w:i w:val="0"/>
                <w:sz w:val="18"/>
              </w:rPr>
              <w:t>4</w:t>
            </w:r>
          </w:p>
        </w:tc>
        <w:tc>
          <w:tcPr>
            <w:tcW w:type="dxa" w:w="1984"/>
          </w:tcPr>
          <w:p>
            <w:pPr>
              <w:spacing w:line="252" w:lineRule="auto" w:before="40" w:after="40"/>
              <w:jc w:val="both"/>
            </w:pPr>
            <w:r>
              <w:rPr>
                <w:rFonts w:ascii="Times New Roman" w:hAnsi="Times New Roman"/>
                <w:b w:val="0"/>
                <w:i w:val="0"/>
                <w:sz w:val="18"/>
              </w:rPr>
              <w:t>Modul NumPy</w:t>
            </w:r>
          </w:p>
        </w:tc>
        <w:tc>
          <w:tcPr>
            <w:tcW w:type="dxa" w:w="1134"/>
          </w:tcPr>
          <w:p>
            <w:pPr>
              <w:spacing w:line="252" w:lineRule="auto" w:before="40" w:after="40"/>
              <w:jc w:val="both"/>
            </w:pPr>
            <w:r>
              <w:rPr>
                <w:rFonts w:ascii="Times New Roman" w:hAnsi="Times New Roman"/>
                <w:b w:val="0"/>
                <w:i w:val="0"/>
                <w:sz w:val="18"/>
              </w:rPr>
              <w:t>Versi ≥ 1.24</w:t>
            </w:r>
          </w:p>
        </w:tc>
        <w:tc>
          <w:tcPr>
            <w:tcW w:type="dxa" w:w="3798"/>
          </w:tcPr>
          <w:p>
            <w:pPr>
              <w:spacing w:line="252" w:lineRule="auto" w:before="40" w:after="40"/>
              <w:jc w:val="both"/>
            </w:pPr>
            <w:r>
              <w:rPr>
                <w:rFonts w:ascii="Times New Roman" w:hAnsi="Times New Roman"/>
                <w:b w:val="0"/>
                <w:i w:val="0"/>
                <w:sz w:val="18"/>
              </w:rPr>
              <w:t>Operasi matematis larik multidimensi dan kalkulasi metrik error evaluasi</w:t>
            </w:r>
          </w:p>
        </w:tc>
      </w:tr>
      <w:tr>
        <w:tc>
          <w:tcPr>
            <w:tcW w:type="dxa" w:w="454"/>
          </w:tcPr>
          <w:p>
            <w:pPr>
              <w:spacing w:line="252" w:lineRule="auto" w:before="40" w:after="40"/>
              <w:jc w:val="center"/>
            </w:pPr>
            <w:r>
              <w:rPr>
                <w:rFonts w:ascii="Times New Roman" w:hAnsi="Times New Roman"/>
                <w:b w:val="0"/>
                <w:i w:val="0"/>
                <w:sz w:val="18"/>
              </w:rPr>
              <w:t>5</w:t>
            </w:r>
          </w:p>
        </w:tc>
        <w:tc>
          <w:tcPr>
            <w:tcW w:type="dxa" w:w="1984"/>
          </w:tcPr>
          <w:p>
            <w:pPr>
              <w:spacing w:line="252" w:lineRule="auto" w:before="40" w:after="40"/>
              <w:jc w:val="both"/>
            </w:pPr>
            <w:r>
              <w:rPr>
                <w:rFonts w:ascii="Times New Roman" w:hAnsi="Times New Roman"/>
                <w:b w:val="0"/>
                <w:i w:val="0"/>
                <w:sz w:val="18"/>
              </w:rPr>
              <w:t>Modul Pandas</w:t>
            </w:r>
          </w:p>
        </w:tc>
        <w:tc>
          <w:tcPr>
            <w:tcW w:type="dxa" w:w="1134"/>
          </w:tcPr>
          <w:p>
            <w:pPr>
              <w:spacing w:line="252" w:lineRule="auto" w:before="40" w:after="40"/>
              <w:jc w:val="both"/>
            </w:pPr>
            <w:r>
              <w:rPr>
                <w:rFonts w:ascii="Times New Roman" w:hAnsi="Times New Roman"/>
                <w:b w:val="0"/>
                <w:i w:val="0"/>
                <w:sz w:val="18"/>
              </w:rPr>
              <w:t>Versi ≥ 2.0</w:t>
            </w:r>
          </w:p>
        </w:tc>
        <w:tc>
          <w:tcPr>
            <w:tcW w:type="dxa" w:w="3798"/>
          </w:tcPr>
          <w:p>
            <w:pPr>
              <w:spacing w:line="252" w:lineRule="auto" w:before="40" w:after="40"/>
              <w:jc w:val="both"/>
            </w:pPr>
            <w:r>
              <w:rPr>
                <w:rFonts w:ascii="Times New Roman" w:hAnsi="Times New Roman"/>
                <w:b w:val="0"/>
                <w:i w:val="0"/>
                <w:sz w:val="18"/>
              </w:rPr>
              <w:t>Pengelolaan DataFrame, pembacaan berkas tabular CSV, dan manipulasi sekuens</w:t>
            </w:r>
          </w:p>
        </w:tc>
      </w:tr>
      <w:tr>
        <w:tc>
          <w:tcPr>
            <w:tcW w:type="dxa" w:w="454"/>
          </w:tcPr>
          <w:p>
            <w:pPr>
              <w:spacing w:line="252" w:lineRule="auto" w:before="40" w:after="40"/>
              <w:jc w:val="center"/>
            </w:pPr>
            <w:r>
              <w:rPr>
                <w:rFonts w:ascii="Times New Roman" w:hAnsi="Times New Roman"/>
                <w:b w:val="0"/>
                <w:i w:val="0"/>
                <w:sz w:val="18"/>
              </w:rPr>
              <w:t>6</w:t>
            </w:r>
          </w:p>
        </w:tc>
        <w:tc>
          <w:tcPr>
            <w:tcW w:type="dxa" w:w="1984"/>
          </w:tcPr>
          <w:p>
            <w:pPr>
              <w:spacing w:line="252" w:lineRule="auto" w:before="40" w:after="40"/>
              <w:jc w:val="both"/>
            </w:pPr>
            <w:r>
              <w:rPr>
                <w:rFonts w:ascii="Times New Roman" w:hAnsi="Times New Roman"/>
                <w:b w:val="0"/>
                <w:i w:val="0"/>
                <w:sz w:val="18"/>
              </w:rPr>
              <w:t>Pustaka Scikit-learn</w:t>
            </w:r>
          </w:p>
        </w:tc>
        <w:tc>
          <w:tcPr>
            <w:tcW w:type="dxa" w:w="1134"/>
          </w:tcPr>
          <w:p>
            <w:pPr>
              <w:spacing w:line="252" w:lineRule="auto" w:before="40" w:after="40"/>
              <w:jc w:val="both"/>
            </w:pPr>
            <w:r>
              <w:rPr>
                <w:rFonts w:ascii="Times New Roman" w:hAnsi="Times New Roman"/>
                <w:b w:val="0"/>
                <w:i w:val="0"/>
                <w:sz w:val="18"/>
              </w:rPr>
              <w:t>Versi ≥ 1.3</w:t>
            </w:r>
          </w:p>
        </w:tc>
        <w:tc>
          <w:tcPr>
            <w:tcW w:type="dxa" w:w="3798"/>
          </w:tcPr>
          <w:p>
            <w:pPr>
              <w:spacing w:line="252" w:lineRule="auto" w:before="40" w:after="40"/>
              <w:jc w:val="both"/>
            </w:pPr>
            <w:r>
              <w:rPr>
                <w:rFonts w:ascii="Times New Roman" w:hAnsi="Times New Roman"/>
                <w:b w:val="0"/>
                <w:i w:val="0"/>
                <w:sz w:val="18"/>
              </w:rPr>
              <w:t>Implementasi penskalaan MinMaxScaler dan skema TimeSeriesSplit 5-fold</w:t>
            </w:r>
          </w:p>
        </w:tc>
      </w:tr>
      <w:tr>
        <w:tc>
          <w:tcPr>
            <w:tcW w:type="dxa" w:w="454"/>
          </w:tcPr>
          <w:p>
            <w:pPr>
              <w:spacing w:line="252" w:lineRule="auto" w:before="40" w:after="40"/>
              <w:jc w:val="center"/>
            </w:pPr>
            <w:r>
              <w:rPr>
                <w:rFonts w:ascii="Times New Roman" w:hAnsi="Times New Roman"/>
                <w:b w:val="0"/>
                <w:i w:val="0"/>
                <w:sz w:val="18"/>
              </w:rPr>
              <w:t>7</w:t>
            </w:r>
          </w:p>
        </w:tc>
        <w:tc>
          <w:tcPr>
            <w:tcW w:type="dxa" w:w="1984"/>
          </w:tcPr>
          <w:p>
            <w:pPr>
              <w:spacing w:line="252" w:lineRule="auto" w:before="40" w:after="40"/>
              <w:jc w:val="both"/>
            </w:pPr>
            <w:r>
              <w:rPr>
                <w:rFonts w:ascii="Times New Roman" w:hAnsi="Times New Roman"/>
                <w:b w:val="0"/>
                <w:i w:val="0"/>
                <w:sz w:val="18"/>
              </w:rPr>
              <w:t>Modul Matplotlib</w:t>
            </w:r>
          </w:p>
        </w:tc>
        <w:tc>
          <w:tcPr>
            <w:tcW w:type="dxa" w:w="1134"/>
          </w:tcPr>
          <w:p>
            <w:pPr>
              <w:spacing w:line="252" w:lineRule="auto" w:before="40" w:after="40"/>
              <w:jc w:val="both"/>
            </w:pPr>
            <w:r>
              <w:rPr>
                <w:rFonts w:ascii="Times New Roman" w:hAnsi="Times New Roman"/>
                <w:b w:val="0"/>
                <w:i w:val="0"/>
                <w:sz w:val="18"/>
              </w:rPr>
              <w:t>Versi ≥ 3.7</w:t>
            </w:r>
          </w:p>
        </w:tc>
        <w:tc>
          <w:tcPr>
            <w:tcW w:type="dxa" w:w="3798"/>
          </w:tcPr>
          <w:p>
            <w:pPr>
              <w:spacing w:line="252" w:lineRule="auto" w:before="40" w:after="40"/>
              <w:jc w:val="both"/>
            </w:pPr>
            <w:r>
              <w:rPr>
                <w:rFonts w:ascii="Times New Roman" w:hAnsi="Times New Roman"/>
                <w:b w:val="0"/>
                <w:i w:val="0"/>
                <w:sz w:val="18"/>
              </w:rPr>
              <w:t>Visualisasi grafik prediksi deret waktu, kurva loss, dan konvergensi trial</w:t>
            </w:r>
          </w:p>
        </w:tc>
      </w:tr>
      <w:tr>
        <w:tc>
          <w:tcPr>
            <w:tcW w:type="dxa" w:w="454"/>
          </w:tcPr>
          <w:p>
            <w:pPr>
              <w:spacing w:line="252" w:lineRule="auto" w:before="40" w:after="40"/>
              <w:jc w:val="center"/>
            </w:pPr>
            <w:r>
              <w:rPr>
                <w:rFonts w:ascii="Times New Roman" w:hAnsi="Times New Roman"/>
                <w:b w:val="0"/>
                <w:i w:val="0"/>
                <w:sz w:val="18"/>
              </w:rPr>
              <w:t>8</w:t>
            </w:r>
          </w:p>
        </w:tc>
        <w:tc>
          <w:tcPr>
            <w:tcW w:type="dxa" w:w="1984"/>
          </w:tcPr>
          <w:p>
            <w:pPr>
              <w:spacing w:line="252" w:lineRule="auto" w:before="40" w:after="40"/>
              <w:jc w:val="both"/>
            </w:pPr>
            <w:r>
              <w:rPr>
                <w:rFonts w:ascii="Times New Roman" w:hAnsi="Times New Roman"/>
                <w:b w:val="0"/>
                <w:i w:val="0"/>
                <w:sz w:val="18"/>
              </w:rPr>
              <w:t>Pustaka Requests</w:t>
            </w:r>
          </w:p>
        </w:tc>
        <w:tc>
          <w:tcPr>
            <w:tcW w:type="dxa" w:w="1134"/>
          </w:tcPr>
          <w:p>
            <w:pPr>
              <w:spacing w:line="252" w:lineRule="auto" w:before="40" w:after="40"/>
              <w:jc w:val="both"/>
            </w:pPr>
            <w:r>
              <w:rPr>
                <w:rFonts w:ascii="Times New Roman" w:hAnsi="Times New Roman"/>
                <w:b w:val="0"/>
                <w:i w:val="0"/>
                <w:sz w:val="18"/>
              </w:rPr>
              <w:t>Versi ≥ 2.31</w:t>
            </w:r>
          </w:p>
        </w:tc>
        <w:tc>
          <w:tcPr>
            <w:tcW w:type="dxa" w:w="3798"/>
          </w:tcPr>
          <w:p>
            <w:pPr>
              <w:spacing w:line="252" w:lineRule="auto" w:before="40" w:after="40"/>
              <w:jc w:val="both"/>
            </w:pPr>
            <w:r>
              <w:rPr>
                <w:rFonts w:ascii="Times New Roman" w:hAnsi="Times New Roman"/>
                <w:b w:val="0"/>
                <w:i w:val="0"/>
                <w:sz w:val="18"/>
              </w:rPr>
              <w:t>Ekstraksi data historis pasar spot melalui protokol HTTP Binance REST API</w:t>
            </w:r>
          </w:p>
        </w:tc>
      </w:tr>
    </w:tbl>
    <w:p>
      <w:pPr>
        <w:spacing w:after="120"/>
      </w:pPr>
    </w:p>
    <w:p>
      <w:pPr>
        <w:spacing w:before="200" w:after="80" w:line="360" w:lineRule="auto"/>
      </w:pPr>
      <w:r>
        <w:rPr>
          <w:rFonts w:ascii="Times New Roman" w:hAnsi="Times New Roman"/>
          <w:b/>
          <w:i w:val="0"/>
          <w:sz w:val="24"/>
        </w:rPr>
        <w:t>3. Instrumen Algoritma Optimasi (Optuna-TPE)</w:t>
      </w:r>
    </w:p>
    <w:p>
      <w:pPr>
        <w:spacing w:line="360" w:lineRule="auto" w:after="120"/>
        <w:ind w:firstLine="567"/>
        <w:jc w:val="both"/>
      </w:pPr>
      <w:r>
        <w:rPr>
          <w:rFonts w:ascii="Times New Roman" w:hAnsi="Times New Roman"/>
          <w:b w:val="0"/>
          <w:i w:val="0"/>
          <w:sz w:val="24"/>
        </w:rPr>
        <w:t>Instrumen algoritmik inti yang menjadi variabel perlakuan utama dalam penelitian ini adalah kerangka kerja Optuna yang mengintegrasikan algoritma pencarian probabilistik Tree-structured Parzen Estimator (TPE). Pendekatan optimasi konvensional seperti Grid Search mengalami kelemahan eksponensial terhadap jumlah parameter, sedangkan Random Search tidak memanfaatkan informasi evaluasi masa lalu untuk memandu pencarian berikutnya. Optuna memecahkan kendala ini melalui paradigma konstruksi ruang pencarian dinamis (Define-by-Run) dan pemodelan probabilistik Bayes non-parametrik yang secara adaptif memetakan wilayah konfigurasi hyperparameter yang menjanjikan (Bergstra et al., 2011; Akiba et al., 2019). Selain itu, keberadaan modul pemangkasan otomatis MedianPruner secara efisien memutus uji coba model yang berperforma buruk sebelum menyelesaikan seluruh putaran epoch, sehingga menghemat konsumsi waktu komputasi secara signifikan (Falkner et al., 2018).</w:t>
      </w:r>
    </w:p>
    <w:p>
      <w:pPr>
        <w:spacing w:before="280" w:after="120" w:line="360" w:lineRule="auto"/>
      </w:pPr>
      <w:r>
        <w:rPr>
          <w:rFonts w:ascii="Times New Roman" w:hAnsi="Times New Roman"/>
          <w:b/>
          <w:i w:val="0"/>
          <w:sz w:val="24"/>
        </w:rPr>
        <w:t>E. Teknik Pengumpulan Data</w:t>
      </w:r>
    </w:p>
    <w:p>
      <w:pPr>
        <w:spacing w:line="360" w:lineRule="auto" w:after="120"/>
        <w:ind w:firstLine="567"/>
        <w:jc w:val="both"/>
      </w:pPr>
      <w:r>
        <w:rPr>
          <w:rFonts w:ascii="Times New Roman" w:hAnsi="Times New Roman"/>
          <w:b w:val="0"/>
          <w:i w:val="0"/>
          <w:sz w:val="24"/>
        </w:rPr>
        <w:t>Pengumpulan data primer harga perdagangan pasangan BTC/USDT dilaksanakan secara terprogram melalui protokol antarmuka Binance Public REST API memanfaatkan endpoint Kline/Candlestick Data dengan resolusi temporal harian (1d). Pengumpulan data secara manual menggunakan peramban web memiliki risiko kesalahan manusia yang tinggi serta ketidakseragaman struktur pencatatan stempel waktu. Peneliti menyusun skrip pengunduh otomatis berbasis modul Requests yang mengeksekusi panggilan API berulang dengan mekanisme paginasi berdasarkan stempel waktu Unix guna menjaring seluruh data historis dari awal 2020 hingga akhir 2025 (Binance Developer API, 2024). Setiap rekaman candlestick memuat atribut harga pembukaan (Open), tertinggi (High), terendah (Low), penutupan (Close), serta volume perdagangan (Volume) yang disimpan ke dalam format CSV terstruktur untuk keperluan analisis lanjutan (Hyndman &amp; Athanasopoulos, 2018).</w:t>
      </w:r>
    </w:p>
    <w:p>
      <w:pPr>
        <w:spacing w:line="360" w:lineRule="auto" w:after="120"/>
        <w:ind w:firstLine="567"/>
        <w:jc w:val="both"/>
      </w:pPr>
      <w:r>
        <w:rPr>
          <w:rFonts w:ascii="Times New Roman" w:hAnsi="Times New Roman"/>
          <w:b w:val="0"/>
          <w:i w:val="0"/>
          <w:sz w:val="24"/>
        </w:rPr>
        <w:t xml:space="preserve">Segera setelah berkas data mentah berhasil dihimpun, peneliti menjalankan serangkaian prosedur audit kualitas data secara ketat tanpa melakukan interpolasi sintetis terhadap observasi yang hilang. Pada data finansial yang bervolatilitas tinggi, keberadaan anomali data berupa baris terduplikasi, nilai kosong (NaN), atau nilai tak terhingga (infinite) dapat merusak kestabilan gradien fungsi aktivasi pada model pembelajaran mendalam. Prosedur audit kualitas data mencakup lima pemeriksaan utama: kontinuitas stempel waktu harian tanpa celah, pengecekan ketiadaan rekaman ganda, verifikasi tipe data numerik presisi tinggi, serta validasi relasi geometris harga candlestick di mana harga High </w:t>
      </w:r>
      <m:oMath>
        <m:r>
          <m:t>≤</m:t>
        </m:r>
      </m:oMath>
      <w:r>
        <w:rPr>
          <w:rFonts w:ascii="Times New Roman" w:hAnsi="Times New Roman"/>
          <w:b w:val="0"/>
          <w:i w:val="0"/>
          <w:sz w:val="24"/>
        </w:rPr>
        <w:t xml:space="preserve"> Open, Close dan Low </w:t>
      </w:r>
      <m:oMath>
        <m:r>
          <m:t>≤</m:t>
        </m:r>
      </m:oMath>
      <w:r>
        <w:rPr>
          <w:rFonts w:ascii="Times New Roman" w:hAnsi="Times New Roman"/>
          <w:b w:val="0"/>
          <w:i w:val="0"/>
          <w:sz w:val="24"/>
        </w:rPr>
        <w:t xml:space="preserve"> Open, Close (Bouthillier et al., 2020). Hasil audit mengonfirmasi bahwa 2.192 data observasi berada dalam kondisi valid dan siap diproses ke tahap prapemrosesan (Hyndman &amp; Athanasopoulos, 2018).</w:t>
      </w:r>
    </w:p>
    <w:p>
      <w:pPr>
        <w:spacing w:before="200" w:after="80" w:line="360" w:lineRule="auto"/>
      </w:pPr>
      <w:r>
        <w:rPr>
          <w:rFonts w:ascii="Times New Roman" w:hAnsi="Times New Roman"/>
          <w:b/>
          <w:i w:val="0"/>
          <w:sz w:val="24"/>
        </w:rPr>
        <w:t>1. Preprocessing Data (Normalisasi Min-Max)</w:t>
      </w:r>
    </w:p>
    <w:p>
      <w:pPr>
        <w:spacing w:line="360" w:lineRule="auto" w:after="120"/>
        <w:ind w:firstLine="567"/>
        <w:jc w:val="both"/>
      </w:pPr>
      <w:r>
        <w:rPr>
          <w:rFonts w:ascii="Times New Roman" w:hAnsi="Times New Roman"/>
          <w:b w:val="0"/>
          <w:i w:val="0"/>
          <w:sz w:val="24"/>
        </w:rPr>
        <w:t>Tahap prapemrosesan data deret waktu diawali dengan melakukan penskalaan nilai fitur harga penutupan (Close) ke dalam rentang numerik seragam antara 0 dan 1 memanfaatkan metode normalisasi Min-Max Scaling. Fluktuasi harga Bitcoin yang membentang sangat lebar dari level ribuan dolar hingga menembus puluhan ribu dolar dapat menyebabkan ketidakseimbangan pembaruan bobot serta memicu fenomena ledakan gradien pada fungsi aktivasi nonlinear LSTM. Melalui transformasi normalisasi ini, seluruh magnitudo nilai harga dikonversi ke dalam skala seragam yang kompatibel dengan karakteristik komputasi fungsi sigmoid dan tangensial hiperbolik pada gerbang internal LSTM (Goodfellow et al., 2016; Hochreiter &amp; Schmidhuber, 1997). Formulasi matematis penskalaan Min-Max yang diterapkan dalam penelitian ini dinyatakan secara eksplisit pada Persamaan (3.1) sebagai berikut:</w:t>
      </w:r>
    </w:p>
    <w:tbl>
      <w:tblPr>
        <w:tblW w:w="7938" w:type="dxa"/>
        <w:jc w:val="center"/>
        <w:tblBorders>
          <w:top w:val="none"/>
          <w:left w:val="none"/>
          <w:bottom w:val="none"/>
          <w:right w:val="none"/>
          <w:insideH w:val="none"/>
          <w:insideV w:val="none"/>
        </w:tblBorders>
        <w:tblCellMar>
          <w:top w:w="80"/>
          <w:bottom w:w="80"/>
          <w:left w:w="0"/>
          <w:right w:w="0"/>
        </w:tblCellMar>
      </w:tblPr>
      <w:tblGrid>
        <w:gridCol w:w="6938"/>
        <w:gridCol w:w="1000"/>
      </w:tblGrid>
      <w:tr>
        <w:tc>
          <w:tcPr>
            <w:tcW w:w="6938" w:type="dxa"/>
            <w:vAlign w:val="center"/>
          </w:tcPr>
          <w:p>
            <w:pPr>
              <w:jc w:val="center"/>
              <w:spacing w:before="60" w:after="60"/>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w="1000" w:type="dxa"/>
            <w:vAlign w:val="center"/>
          </w:tcPr>
          <w:p>
            <w:pPr>
              <w:jc w:val="right"/>
              <w:spacing w:before="60" w:after="60"/>
            </w:pPr>
            <w:r>
              <w:rPr>
                <w:rFonts w:ascii="Times New Roman" w:hAnsi="Times New Roman"/>
                <w:sz w:val="22"/>
              </w:rPr>
              <w:t>(3.1)</w:t>
            </w:r>
          </w:p>
        </w:tc>
      </w:tr>
    </w:tbl>
    <w:p>
      <w:pPr>
        <w:spacing w:line="360" w:lineRule="auto" w:after="120"/>
        <w:ind w:firstLine="567"/>
        <w:jc w:val="both"/>
      </w:pPr>
      <w:r>
        <w:rPr>
          <w:rFonts w:ascii="Times New Roman" w:hAnsi="Times New Roman"/>
          <w:b w:val="0"/>
          <w:i w:val="0"/>
          <w:sz w:val="24"/>
        </w:rPr>
        <w:t xml:space="preserve">Pada formulasi Persamaan (3.1), variabel </w:t>
      </w:r>
      <m:oMath>
        <m:r>
          <m:t>x</m:t>
        </m:r>
      </m:oMath>
      <w:r>
        <w:rPr>
          <w:rFonts w:ascii="Times New Roman" w:hAnsi="Times New Roman"/>
          <w:b w:val="0"/>
          <w:i w:val="0"/>
          <w:sz w:val="24"/>
        </w:rPr>
        <w:t xml:space="preserve"> melambangkan nilai harga penutupan asli, </w:t>
      </w:r>
      <m:oMath>
        <m:sSub>
          <m:e>
            <m:r>
              <m:t>x</m:t>
            </m:r>
          </m:e>
          <m:sub>
            <m:r>
              <m:t>min</m:t>
            </m:r>
          </m:sub>
        </m:sSub>
      </m:oMath>
      <w:r>
        <w:rPr>
          <w:rFonts w:ascii="Times New Roman" w:hAnsi="Times New Roman"/>
          <w:b w:val="0"/>
          <w:i w:val="0"/>
          <w:sz w:val="24"/>
        </w:rPr>
        <w:t xml:space="preserve"> dan </w:t>
      </w:r>
      <m:oMath>
        <m:sSub>
          <m:e>
            <m:r>
              <m:t>x</m:t>
            </m:r>
          </m:e>
          <m:sub>
            <m:r>
              <m:t>max</m:t>
            </m:r>
          </m:sub>
        </m:sSub>
      </m:oMath>
      <w:r>
        <w:rPr>
          <w:rFonts w:ascii="Times New Roman" w:hAnsi="Times New Roman"/>
          <w:b w:val="0"/>
          <w:i w:val="0"/>
          <w:sz w:val="24"/>
        </w:rPr>
        <w:t xml:space="preserve"> merepresentasikan nilai minimum dan maksimum historis data, serta </w:t>
      </w:r>
      <m:oMath>
        <m:sSub>
          <m:e>
            <m:r>
              <m:t>x</m:t>
            </m:r>
          </m:e>
          <m:sub>
            <m:r>
              <m:t>norm</m:t>
            </m:r>
          </m:sub>
        </m:sSub>
      </m:oMath>
      <w:r>
        <w:rPr>
          <w:rFonts w:ascii="Times New Roman" w:hAnsi="Times New Roman"/>
          <w:b w:val="0"/>
          <w:i w:val="0"/>
          <w:sz w:val="24"/>
        </w:rPr>
        <w:t xml:space="preserve"> adalah hasil nilai ternormalisasi pada rentang interval nol hingga satu. Penerapan normalisasi ini dijalankan dengan mematuhi protokol ketat pencegahan kebocoran informasi masa depan (anti-temporal data leakage), suatu kekeliruan umum di mana statistik seluruh data dihitung sebelum pemisahan sampel dilakukan. Dalam penelitian ini, nilai batas ekstrem </w:t>
      </w:r>
      <m:oMath>
        <m:sSub>
          <m:e>
            <m:r>
              <m:t>x</m:t>
            </m:r>
          </m:e>
          <m:sub>
            <m:r>
              <m:t>min</m:t>
            </m:r>
          </m:sub>
        </m:sSub>
      </m:oMath>
      <w:r>
        <w:rPr>
          <w:rFonts w:ascii="Times New Roman" w:hAnsi="Times New Roman"/>
          <w:b w:val="0"/>
          <w:i w:val="0"/>
          <w:sz w:val="24"/>
        </w:rPr>
        <w:t xml:space="preserve"> dan </w:t>
      </w:r>
      <m:oMath>
        <m:sSub>
          <m:e>
            <m:r>
              <m:t>x</m:t>
            </m:r>
          </m:e>
          <m:sub>
            <m:r>
              <m:t>max</m:t>
            </m:r>
          </m:sub>
        </m:sSub>
      </m:oMath>
      <w:r>
        <w:rPr>
          <w:rFonts w:ascii="Times New Roman" w:hAnsi="Times New Roman"/>
          <w:b w:val="0"/>
          <w:i w:val="0"/>
          <w:sz w:val="24"/>
        </w:rPr>
        <w:t xml:space="preserve"> dihitung secara eksklusif hanya dari data pelatihan (fit on training partition), lalu parameter skalar tersebut diterapkan untuk mentransformasikan data pengujian (transform on testing set) (López de Prado, 2018). Protokol ini memastikan bahwa model tidak pernah terpapar informasi skala masa depan sebelum peramalan dieksekusi (Arlot &amp; Celisse, 2010; Tashman, 2000).</w:t>
      </w:r>
    </w:p>
    <w:p>
      <w:pPr>
        <w:spacing w:before="200" w:after="80" w:line="360" w:lineRule="auto"/>
      </w:pPr>
      <w:r>
        <w:rPr>
          <w:rFonts w:ascii="Times New Roman" w:hAnsi="Times New Roman"/>
          <w:b/>
          <w:i w:val="0"/>
          <w:sz w:val="24"/>
        </w:rPr>
        <w:t>2. Pembentukan Jendela Data Sekuensial (Windowing)</w:t>
      </w:r>
    </w:p>
    <w:p>
      <w:pPr>
        <w:spacing w:line="360" w:lineRule="auto" w:after="120"/>
        <w:ind w:firstLine="567"/>
        <w:jc w:val="both"/>
      </w:pPr>
      <w:r>
        <w:rPr>
          <w:rFonts w:ascii="Times New Roman" w:hAnsi="Times New Roman"/>
          <w:b w:val="0"/>
          <w:i w:val="0"/>
          <w:sz w:val="24"/>
        </w:rPr>
        <w:t>Setelah proses normalisasi data selesai dilakukan, runtutan deret waktu satu dimensi ditransformasikan menjadi pasangan struktur masukan dan target keluaran sekuensial menggunakan teknik jendela geser (sliding window technique). Model jaringan syaraf berulang membutuhkan bentuk masukan berupa tensor berdimensi tiga yang memuat dimensi jumlah sampel, panjang langkah waktu, serta jumlah fitur guna mempelajari pola ketergantungan temporal. Untuk setiap langkah waktu ke-</w:t>
      </w:r>
      <m:oMath>
        <m:r>
          <m:t>t</m:t>
        </m:r>
      </m:oMath>
      <w:r>
        <w:rPr>
          <w:rFonts w:ascii="Times New Roman" w:hAnsi="Times New Roman"/>
          <w:b w:val="0"/>
          <w:i w:val="0"/>
          <w:sz w:val="24"/>
        </w:rPr>
        <w:t xml:space="preserve">, vektor masukan </w:t>
      </w:r>
      <m:oMath>
        <m:sSub>
          <m:e>
            <m:r>
              <m:t>X</m:t>
            </m:r>
          </m:e>
          <m:sub>
            <m:r>
              <m:t>t</m:t>
            </m:r>
          </m:sub>
        </m:sSub>
      </m:oMath>
      <w:r>
        <w:rPr>
          <w:rFonts w:ascii="Times New Roman" w:hAnsi="Times New Roman"/>
          <w:b w:val="0"/>
          <w:i w:val="0"/>
          <w:sz w:val="24"/>
        </w:rPr>
        <w:t xml:space="preserve"> dibentuk dari </w:t>
      </w:r>
      <m:oMath>
        <m:r>
          <m:t>L</m:t>
        </m:r>
      </m:oMath>
      <w:r>
        <w:rPr>
          <w:rFonts w:ascii="Times New Roman" w:hAnsi="Times New Roman"/>
          <w:b w:val="0"/>
          <w:i w:val="0"/>
          <w:sz w:val="24"/>
        </w:rPr>
        <w:t xml:space="preserve"> observasi historis masa lalu berurutan </w:t>
      </w:r>
      <m:oMath>
        <m:sSub>
          <m:e>
            <m:r>
              <m:t>[x</m:t>
            </m:r>
          </m:e>
          <m:sub>
            <m:r>
              <m:t>t-L+1}, ..., x_t]</m:t>
            </m:r>
          </m:sub>
        </m:sSub>
      </m:oMath>
      <w:r>
        <w:rPr>
          <w:rFonts w:ascii="Times New Roman" w:hAnsi="Times New Roman"/>
          <w:b w:val="0"/>
          <w:i w:val="0"/>
          <w:sz w:val="24"/>
        </w:rPr>
        <w:t xml:space="preserve">, sementara target keluaran </w:t>
      </w:r>
      <m:oMath>
        <m:sSub>
          <m:e>
            <m:r>
              <m:t>y</m:t>
            </m:r>
          </m:e>
          <m:sub>
            <m:r>
              <m:t>t</m:t>
            </m:r>
          </m:sub>
        </m:sSub>
      </m:oMath>
      <w:r>
        <w:rPr>
          <w:rFonts w:ascii="Times New Roman" w:hAnsi="Times New Roman"/>
          <w:b w:val="0"/>
          <w:i w:val="0"/>
          <w:sz w:val="24"/>
        </w:rPr>
        <w:t xml:space="preserve"> ditetapkan sebagai nilai harga pada langkah waktu tepat satu hari berikutnya </w:t>
      </w:r>
      <m:oMath>
        <m:sSub>
          <m:e>
            <m:r>
              <m:t>x</m:t>
            </m:r>
          </m:e>
          <m:sub>
            <m:r>
              <m:t>t+1</m:t>
            </m:r>
          </m:sub>
        </m:sSub>
      </m:oMath>
      <w:r>
        <w:rPr>
          <w:rFonts w:ascii="Times New Roman" w:hAnsi="Times New Roman"/>
          <w:b w:val="0"/>
          <w:i w:val="0"/>
          <w:sz w:val="24"/>
        </w:rPr>
        <w:t xml:space="preserve"> (Sakarya University, 2023). Panjang jendela geser </w:t>
      </w:r>
      <m:oMath>
        <m:r>
          <m:t>L</m:t>
        </m:r>
      </m:oMath>
      <w:r>
        <w:rPr>
          <w:rFonts w:ascii="Times New Roman" w:hAnsi="Times New Roman"/>
          <w:b w:val="0"/>
          <w:i w:val="0"/>
          <w:sz w:val="24"/>
        </w:rPr>
        <w:t xml:space="preserve"> (lookback window) merupakan salah satu hyperparameter kritis yang turut dioptimasi menggunakan Optuna guna menemukan konteks historis paling optimal bagi model LSTM (Lim &amp; Zohren, 2021; Greff et al., 2017).</w:t>
      </w:r>
    </w:p>
    <w:p>
      <w:pPr>
        <w:spacing w:before="280" w:after="120" w:line="360" w:lineRule="auto"/>
      </w:pPr>
      <w:r>
        <w:rPr>
          <w:rFonts w:ascii="Times New Roman" w:hAnsi="Times New Roman"/>
          <w:b/>
          <w:i w:val="0"/>
          <w:sz w:val="24"/>
        </w:rPr>
        <w:t>F. Teknis Analisis Data</w:t>
      </w:r>
    </w:p>
    <w:p>
      <w:pPr>
        <w:spacing w:line="360" w:lineRule="auto" w:after="120"/>
        <w:ind w:firstLine="567"/>
        <w:jc w:val="both"/>
      </w:pPr>
      <w:r>
        <w:rPr>
          <w:rFonts w:ascii="Times New Roman" w:hAnsi="Times New Roman"/>
          <w:b w:val="0"/>
          <w:i w:val="0"/>
          <w:sz w:val="24"/>
        </w:rPr>
        <w:t>Teknis analisis data dalam penelitian ini dirancang secara sistematis melalui pipeline komputasi terpadu yang mencakup lima komponen analitis utama guna menjawab rumusan masalah secara komprehensif. Ketiadaan struktur analisis yang baku sering kali menyebabkan pengujian model berjalan tidak konsisten sehingga sulit untuk mengidentifikasi faktor utama peningkatan performa. Komponen analisis ini mencakup: perancangan ruang pencarian hyperparameter, prosedur optimasi probabilistik Optuna-TPE, skema validasi temporal bebas kebocoran (Time-Series Split 5-fold), pengujian model pada benchmark bertingkat 3-Tier, serta evaluasi kuantitatif persentase penurunan error peramalan (Creswell &amp; Creswell, 2018; Bouthillier et al., 2020). Setiap tahapan analitis dikonstruksi secara logis untuk menjamin bahwa kesimpulan akhir didasarkan pada bukti empiris yang kuat, terukur, dan dapat dipertanggungjawabkan secara ilmiah (Feurer &amp; Hutter, 2019).</w:t>
      </w:r>
    </w:p>
    <w:p>
      <w:pPr>
        <w:spacing w:before="200" w:after="80" w:line="360" w:lineRule="auto"/>
      </w:pPr>
      <w:r>
        <w:rPr>
          <w:rFonts w:ascii="Times New Roman" w:hAnsi="Times New Roman"/>
          <w:b/>
          <w:i w:val="0"/>
          <w:sz w:val="24"/>
        </w:rPr>
        <w:t>1. Definisi Ruang Pencarian Hyperparameter (Search Space)</w:t>
      </w:r>
    </w:p>
    <w:p>
      <w:pPr>
        <w:spacing w:line="360" w:lineRule="auto" w:after="120"/>
        <w:ind w:firstLine="567"/>
        <w:jc w:val="both"/>
      </w:pPr>
      <w:r>
        <w:rPr>
          <w:rFonts w:ascii="Times New Roman" w:hAnsi="Times New Roman"/>
          <w:b w:val="0"/>
          <w:i w:val="0"/>
          <w:sz w:val="24"/>
        </w:rPr>
        <w:t>Ruang pencarian (search space) hyperparameter arsitektur model LSTM dirumuskan secara terstruktur dengan mengacu pada sintesis literatur terkini mengenai faktor-faktor yang paling mempengaruhi generalisasi jaringan recurrent pada data finansial. Penentuan batas rentang pencarian yang terlalu sempit berpotensi mengabaikan konfigurasi terbaik, sedangkan batas yang terlalu luas memboroskan sumber daya komputasi pada wilayah parameter yang tidak realistis. Penelitian ini menetapkan lima hyperparameter kunci untuk dioptimasi: panjang jendela historis (</w:t>
      </w:r>
      <m:oMath>
        <m:r>
          <m:t>L</m:t>
        </m:r>
      </m:oMath>
      <w:r>
        <w:rPr>
          <w:rFonts w:ascii="Times New Roman" w:hAnsi="Times New Roman"/>
          <w:b w:val="0"/>
          <w:i w:val="0"/>
          <w:sz w:val="24"/>
        </w:rPr>
        <w:t>), jumlah unit neuron per lapisan tersembunyi, tingkat regularisasi Dropout, laju pembelajaran (Learning Rate), serta ukuran batch komputasi (Batch Size) sebagaimana dirangkum pada Tabel 3.3 (Sakarya University, 2023; Greff et al., 2017). Penentuan domain distribusi mengombinasikan tipe diskret, kontinu logaritmik, dan kategorikal sesuai karakteristik parameter (Bergstra et al., 2011).</w:t>
      </w:r>
    </w:p>
    <w:p>
      <w:pPr>
        <w:spacing w:before="200" w:after="60" w:line="240" w:lineRule="auto"/>
        <w:jc w:val="center"/>
      </w:pPr>
      <w:r>
        <w:rPr>
          <w:rFonts w:ascii="Times New Roman" w:hAnsi="Times New Roman"/>
          <w:b/>
          <w:i w:val="0"/>
          <w:sz w:val="22"/>
        </w:rPr>
        <w:t>Tabel 3.3 Ruang Pencarian Hyperparameter LSTM pada Algoritma Optuna</w:t>
      </w:r>
    </w:p>
    <w:tbl>
      <w:tblPr>
        <w:tblW w:type="auto" w:w="0"/>
        <w:jc w:val="center"/>
        <w:tblLook w:firstColumn="1" w:firstRow="1" w:lastColumn="0" w:lastRow="0" w:noHBand="0" w:noVBand="1" w:val="04A0"/>
      </w:tblPr>
      <w:tblGrid>
        <w:gridCol w:w="1587"/>
        <w:gridCol w:w="1587"/>
        <w:gridCol w:w="1587"/>
        <w:gridCol w:w="1587"/>
        <w:gridCol w:w="1587"/>
      </w:tblGrid>
      <w:tr>
        <w:tc>
          <w:tcPr>
            <w:tcW w:type="dxa" w:w="397"/>
            <w:shd w:fill="E8EEF5"/>
          </w:tcPr>
          <w:p>
            <w:pPr>
              <w:spacing w:line="252" w:lineRule="auto" w:before="40" w:after="40"/>
              <w:jc w:val="center"/>
            </w:pPr>
            <w:r>
              <w:rPr>
                <w:rFonts w:ascii="Times New Roman" w:hAnsi="Times New Roman"/>
                <w:b/>
                <w:i w:val="0"/>
                <w:sz w:val="18"/>
              </w:rPr>
              <w:t>No</w:t>
            </w:r>
          </w:p>
        </w:tc>
        <w:tc>
          <w:tcPr>
            <w:tcW w:type="dxa" w:w="1587"/>
            <w:shd w:fill="E8EEF5"/>
          </w:tcPr>
          <w:p>
            <w:pPr>
              <w:spacing w:line="252" w:lineRule="auto" w:before="40" w:after="40"/>
              <w:jc w:val="both"/>
            </w:pPr>
            <w:r>
              <w:rPr>
                <w:rFonts w:ascii="Times New Roman" w:hAnsi="Times New Roman"/>
                <w:b/>
                <w:i w:val="0"/>
                <w:sz w:val="18"/>
              </w:rPr>
              <w:t>Hyperparameter</w:t>
            </w:r>
          </w:p>
        </w:tc>
        <w:tc>
          <w:tcPr>
            <w:tcW w:type="dxa" w:w="1587"/>
            <w:shd w:fill="E8EEF5"/>
          </w:tcPr>
          <w:p>
            <w:pPr>
              <w:spacing w:line="252" w:lineRule="auto" w:before="40" w:after="40"/>
              <w:jc w:val="both"/>
            </w:pPr>
            <w:r>
              <w:rPr>
                <w:rFonts w:ascii="Times New Roman" w:hAnsi="Times New Roman"/>
                <w:b/>
                <w:i w:val="0"/>
                <w:sz w:val="18"/>
              </w:rPr>
              <w:t>Tipe Distribusi Optuna</w:t>
            </w:r>
          </w:p>
        </w:tc>
        <w:tc>
          <w:tcPr>
            <w:tcW w:type="dxa" w:w="1587"/>
            <w:shd w:fill="E8EEF5"/>
          </w:tcPr>
          <w:p>
            <w:pPr>
              <w:spacing w:line="252" w:lineRule="auto" w:before="40" w:after="40"/>
              <w:jc w:val="both"/>
            </w:pPr>
            <w:r>
              <w:rPr>
                <w:rFonts w:ascii="Times New Roman" w:hAnsi="Times New Roman"/>
                <w:b/>
                <w:i w:val="0"/>
                <w:sz w:val="18"/>
              </w:rPr>
              <w:t>Rentang Pencarian</w:t>
            </w:r>
          </w:p>
        </w:tc>
        <w:tc>
          <w:tcPr>
            <w:tcW w:type="dxa" w:w="2381"/>
            <w:shd w:fill="E8EEF5"/>
          </w:tcPr>
          <w:p>
            <w:pPr>
              <w:spacing w:line="252" w:lineRule="auto" w:before="40" w:after="40"/>
              <w:jc w:val="both"/>
            </w:pPr>
            <w:r>
              <w:rPr>
                <w:rFonts w:ascii="Times New Roman" w:hAnsi="Times New Roman"/>
                <w:b/>
                <w:i w:val="0"/>
                <w:sz w:val="18"/>
              </w:rPr>
              <w:t>Deskripsi dan Peranan</w:t>
            </w:r>
          </w:p>
        </w:tc>
      </w:tr>
      <w:tr>
        <w:tc>
          <w:tcPr>
            <w:tcW w:type="dxa" w:w="397"/>
          </w:tcPr>
          <w:p>
            <w:pPr>
              <w:spacing w:line="252" w:lineRule="auto" w:before="40" w:after="40"/>
              <w:jc w:val="center"/>
            </w:pPr>
            <w:r>
              <w:rPr>
                <w:rFonts w:ascii="Times New Roman" w:hAnsi="Times New Roman"/>
                <w:b w:val="0"/>
                <w:i w:val="0"/>
                <w:sz w:val="18"/>
              </w:rPr>
              <w:t>1</w:t>
            </w:r>
          </w:p>
        </w:tc>
        <w:tc>
          <w:tcPr>
            <w:tcW w:type="dxa" w:w="1587"/>
          </w:tcPr>
          <w:p>
            <w:pPr>
              <w:spacing w:line="252" w:lineRule="auto" w:before="40" w:after="40"/>
              <w:jc w:val="both"/>
            </w:pPr>
            <w:r>
              <w:rPr>
                <w:rFonts w:ascii="Times New Roman" w:hAnsi="Times New Roman"/>
                <w:b w:val="0"/>
                <w:i w:val="0"/>
                <w:sz w:val="18"/>
              </w:rPr>
              <w:t>Lookback Window (L)</w:t>
            </w:r>
          </w:p>
        </w:tc>
        <w:tc>
          <w:tcPr>
            <w:tcW w:type="dxa" w:w="1587"/>
          </w:tcPr>
          <w:p>
            <w:pPr>
              <w:spacing w:line="252" w:lineRule="auto" w:before="40" w:after="40"/>
              <w:jc w:val="both"/>
            </w:pPr>
            <w:r>
              <w:rPr>
                <w:rFonts w:ascii="Times New Roman" w:hAnsi="Times New Roman"/>
                <w:b w:val="0"/>
                <w:i w:val="0"/>
                <w:sz w:val="18"/>
              </w:rPr>
              <w:t>suggest_int</w:t>
            </w:r>
          </w:p>
        </w:tc>
        <w:tc>
          <w:tcPr>
            <w:tcW w:type="dxa" w:w="1587"/>
          </w:tcPr>
          <w:p>
            <w:pPr>
              <w:spacing w:line="252" w:lineRule="auto" w:before="40" w:after="40"/>
              <w:jc w:val="both"/>
            </w:pPr>
            <w:r>
              <w:rPr>
                <w:rFonts w:ascii="Times New Roman" w:hAnsi="Times New Roman"/>
                <w:b w:val="0"/>
                <w:i w:val="0"/>
                <w:sz w:val="18"/>
              </w:rPr>
              <w:t>7 – 30 hari</w:t>
            </w:r>
          </w:p>
        </w:tc>
        <w:tc>
          <w:tcPr>
            <w:tcW w:type="dxa" w:w="2381"/>
          </w:tcPr>
          <w:p>
            <w:pPr>
              <w:spacing w:line="252" w:lineRule="auto" w:before="40" w:after="40"/>
              <w:jc w:val="both"/>
            </w:pPr>
            <w:r>
              <w:rPr>
                <w:rFonts w:ascii="Times New Roman" w:hAnsi="Times New Roman"/>
                <w:b w:val="0"/>
                <w:i w:val="0"/>
                <w:sz w:val="18"/>
              </w:rPr>
              <w:t>Panjang sekuens domain-guided (siklus 1 minggu s.d. 1 bulan - Lo, 2004)</w:t>
            </w:r>
          </w:p>
        </w:tc>
      </w:tr>
      <w:tr>
        <w:tc>
          <w:tcPr>
            <w:tcW w:type="dxa" w:w="397"/>
          </w:tcPr>
          <w:p>
            <w:pPr>
              <w:spacing w:line="252" w:lineRule="auto" w:before="40" w:after="40"/>
              <w:jc w:val="center"/>
            </w:pPr>
            <w:r>
              <w:rPr>
                <w:rFonts w:ascii="Times New Roman" w:hAnsi="Times New Roman"/>
                <w:b w:val="0"/>
                <w:i w:val="0"/>
                <w:sz w:val="18"/>
              </w:rPr>
              <w:t>2</w:t>
            </w:r>
          </w:p>
        </w:tc>
        <w:tc>
          <w:tcPr>
            <w:tcW w:type="dxa" w:w="1587"/>
          </w:tcPr>
          <w:p>
            <w:pPr>
              <w:spacing w:line="252" w:lineRule="auto" w:before="40" w:after="40"/>
              <w:jc w:val="both"/>
            </w:pPr>
            <w:r>
              <w:rPr>
                <w:rFonts w:ascii="Times New Roman" w:hAnsi="Times New Roman"/>
                <w:b w:val="0"/>
                <w:i w:val="0"/>
                <w:sz w:val="18"/>
              </w:rPr>
              <w:t>Hidden Units (per layer)</w:t>
            </w:r>
          </w:p>
        </w:tc>
        <w:tc>
          <w:tcPr>
            <w:tcW w:type="dxa" w:w="1587"/>
          </w:tcPr>
          <w:p>
            <w:pPr>
              <w:spacing w:line="252" w:lineRule="auto" w:before="40" w:after="40"/>
              <w:jc w:val="both"/>
            </w:pPr>
            <w:r>
              <w:rPr>
                <w:rFonts w:ascii="Times New Roman" w:hAnsi="Times New Roman"/>
                <w:b w:val="0"/>
                <w:i w:val="0"/>
                <w:sz w:val="18"/>
              </w:rPr>
              <w:t>suggest_int</w:t>
            </w:r>
          </w:p>
        </w:tc>
        <w:tc>
          <w:tcPr>
            <w:tcW w:type="dxa" w:w="1587"/>
          </w:tcPr>
          <w:p>
            <w:pPr>
              <w:spacing w:line="252" w:lineRule="auto" w:before="40" w:after="40"/>
              <w:jc w:val="both"/>
            </w:pPr>
            <w:r>
              <w:rPr>
                <w:rFonts w:ascii="Times New Roman" w:hAnsi="Times New Roman"/>
                <w:b w:val="0"/>
                <w:i w:val="0"/>
                <w:sz w:val="18"/>
              </w:rPr>
              <w:t>32 – 128 neuron</w:t>
            </w:r>
          </w:p>
        </w:tc>
        <w:tc>
          <w:tcPr>
            <w:tcW w:type="dxa" w:w="2381"/>
          </w:tcPr>
          <w:p>
            <w:pPr>
              <w:spacing w:line="252" w:lineRule="auto" w:before="40" w:after="40"/>
              <w:jc w:val="both"/>
            </w:pPr>
            <w:r>
              <w:rPr>
                <w:rFonts w:ascii="Times New Roman" w:hAnsi="Times New Roman"/>
                <w:b w:val="0"/>
                <w:i w:val="0"/>
                <w:sz w:val="18"/>
              </w:rPr>
              <w:t>Kapasitas representasi fitur tersembunyi tanpa over-parametrization</w:t>
            </w:r>
          </w:p>
        </w:tc>
      </w:tr>
      <w:tr>
        <w:tc>
          <w:tcPr>
            <w:tcW w:type="dxa" w:w="397"/>
          </w:tcPr>
          <w:p>
            <w:pPr>
              <w:spacing w:line="252" w:lineRule="auto" w:before="40" w:after="40"/>
              <w:jc w:val="center"/>
            </w:pPr>
            <w:r>
              <w:rPr>
                <w:rFonts w:ascii="Times New Roman" w:hAnsi="Times New Roman"/>
                <w:b w:val="0"/>
                <w:i w:val="0"/>
                <w:sz w:val="18"/>
              </w:rPr>
              <w:t>3</w:t>
            </w:r>
          </w:p>
        </w:tc>
        <w:tc>
          <w:tcPr>
            <w:tcW w:type="dxa" w:w="1587"/>
          </w:tcPr>
          <w:p>
            <w:pPr>
              <w:spacing w:line="252" w:lineRule="auto" w:before="40" w:after="40"/>
              <w:jc w:val="both"/>
            </w:pPr>
            <w:r>
              <w:rPr>
                <w:rFonts w:ascii="Times New Roman" w:hAnsi="Times New Roman"/>
                <w:b w:val="0"/>
                <w:i w:val="0"/>
                <w:sz w:val="18"/>
              </w:rPr>
              <w:t>Dropout Rate</w:t>
            </w:r>
          </w:p>
        </w:tc>
        <w:tc>
          <w:tcPr>
            <w:tcW w:type="dxa" w:w="1587"/>
          </w:tcPr>
          <w:p>
            <w:pPr>
              <w:spacing w:line="252" w:lineRule="auto" w:before="40" w:after="40"/>
              <w:jc w:val="both"/>
            </w:pPr>
            <w:r>
              <w:rPr>
                <w:rFonts w:ascii="Times New Roman" w:hAnsi="Times New Roman"/>
                <w:b w:val="0"/>
                <w:i w:val="0"/>
                <w:sz w:val="18"/>
              </w:rPr>
              <w:t>suggest_float</w:t>
            </w:r>
          </w:p>
        </w:tc>
        <w:tc>
          <w:tcPr>
            <w:tcW w:type="dxa" w:w="1587"/>
          </w:tcPr>
          <w:p>
            <w:pPr>
              <w:spacing w:line="252" w:lineRule="auto" w:before="40" w:after="40"/>
              <w:jc w:val="both"/>
            </w:pPr>
            <w:r>
              <w:rPr>
                <w:rFonts w:ascii="Times New Roman" w:hAnsi="Times New Roman"/>
                <w:b w:val="0"/>
                <w:i w:val="0"/>
                <w:sz w:val="18"/>
              </w:rPr>
              <w:t>0.1 – 0.4</w:t>
            </w:r>
          </w:p>
        </w:tc>
        <w:tc>
          <w:tcPr>
            <w:tcW w:type="dxa" w:w="2381"/>
          </w:tcPr>
          <w:p>
            <w:pPr>
              <w:spacing w:line="252" w:lineRule="auto" w:before="40" w:after="40"/>
              <w:jc w:val="both"/>
            </w:pPr>
            <w:r>
              <w:rPr>
                <w:rFonts w:ascii="Times New Roman" w:hAnsi="Times New Roman"/>
                <w:b w:val="0"/>
                <w:i w:val="0"/>
                <w:sz w:val="18"/>
              </w:rPr>
              <w:t>Probabilitas eliminasi acak koneksi neuron untuk meredam overfitting</w:t>
            </w:r>
          </w:p>
        </w:tc>
      </w:tr>
      <w:tr>
        <w:tc>
          <w:tcPr>
            <w:tcW w:type="dxa" w:w="397"/>
          </w:tcPr>
          <w:p>
            <w:pPr>
              <w:spacing w:line="252" w:lineRule="auto" w:before="40" w:after="40"/>
              <w:jc w:val="center"/>
            </w:pPr>
            <w:r>
              <w:rPr>
                <w:rFonts w:ascii="Times New Roman" w:hAnsi="Times New Roman"/>
                <w:b w:val="0"/>
                <w:i w:val="0"/>
                <w:sz w:val="18"/>
              </w:rPr>
              <w:t>4</w:t>
            </w:r>
          </w:p>
        </w:tc>
        <w:tc>
          <w:tcPr>
            <w:tcW w:type="dxa" w:w="1587"/>
          </w:tcPr>
          <w:p>
            <w:pPr>
              <w:spacing w:line="252" w:lineRule="auto" w:before="40" w:after="40"/>
              <w:jc w:val="both"/>
            </w:pPr>
            <w:r>
              <w:rPr>
                <w:rFonts w:ascii="Times New Roman" w:hAnsi="Times New Roman"/>
                <w:b w:val="0"/>
                <w:i w:val="0"/>
                <w:sz w:val="18"/>
              </w:rPr>
              <w:t>Learning Rate</w:t>
            </w:r>
          </w:p>
        </w:tc>
        <w:tc>
          <w:tcPr>
            <w:tcW w:type="dxa" w:w="1587"/>
          </w:tcPr>
          <w:p>
            <w:pPr>
              <w:spacing w:line="252" w:lineRule="auto" w:before="40" w:after="40"/>
              <w:jc w:val="both"/>
            </w:pPr>
            <w:r>
              <w:rPr>
                <w:rFonts w:ascii="Times New Roman" w:hAnsi="Times New Roman"/>
                <w:b w:val="0"/>
                <w:i w:val="0"/>
                <w:sz w:val="18"/>
              </w:rPr>
              <w:t>suggest_float (log)</w:t>
            </w:r>
          </w:p>
        </w:tc>
        <w:tc>
          <w:tcPr>
            <w:tcW w:type="dxa" w:w="1587"/>
          </w:tcPr>
          <w:p>
            <w:pPr>
              <w:spacing w:line="252" w:lineRule="auto" w:before="40" w:after="40"/>
              <w:jc w:val="both"/>
            </w:pPr>
            <w:r>
              <w:rPr>
                <w:rFonts w:ascii="Times New Roman" w:hAnsi="Times New Roman"/>
                <w:b w:val="0"/>
                <w:i w:val="0"/>
                <w:sz w:val="18"/>
              </w:rPr>
              <w:t>5×10⁻⁴ – 2×10⁻³</w:t>
            </w:r>
          </w:p>
        </w:tc>
        <w:tc>
          <w:tcPr>
            <w:tcW w:type="dxa" w:w="2381"/>
          </w:tcPr>
          <w:p>
            <w:pPr>
              <w:spacing w:line="252" w:lineRule="auto" w:before="40" w:after="40"/>
              <w:jc w:val="both"/>
            </w:pPr>
            <w:r>
              <w:rPr>
                <w:rFonts w:ascii="Times New Roman" w:hAnsi="Times New Roman"/>
                <w:b w:val="0"/>
                <w:i w:val="0"/>
                <w:sz w:val="18"/>
              </w:rPr>
              <w:t>Laju langkah penyesuaian gradien bobot sinapsis optimizer Adam (Kingma &amp; Ba, 2014)</w:t>
            </w:r>
          </w:p>
        </w:tc>
      </w:tr>
      <w:tr>
        <w:tc>
          <w:tcPr>
            <w:tcW w:type="dxa" w:w="397"/>
          </w:tcPr>
          <w:p>
            <w:pPr>
              <w:spacing w:line="252" w:lineRule="auto" w:before="40" w:after="40"/>
              <w:jc w:val="center"/>
            </w:pPr>
            <w:r>
              <w:rPr>
                <w:rFonts w:ascii="Times New Roman" w:hAnsi="Times New Roman"/>
                <w:b w:val="0"/>
                <w:i w:val="0"/>
                <w:sz w:val="18"/>
              </w:rPr>
              <w:t>5</w:t>
            </w:r>
          </w:p>
        </w:tc>
        <w:tc>
          <w:tcPr>
            <w:tcW w:type="dxa" w:w="1587"/>
          </w:tcPr>
          <w:p>
            <w:pPr>
              <w:spacing w:line="252" w:lineRule="auto" w:before="40" w:after="40"/>
              <w:jc w:val="both"/>
            </w:pPr>
            <w:r>
              <w:rPr>
                <w:rFonts w:ascii="Times New Roman" w:hAnsi="Times New Roman"/>
                <w:b w:val="0"/>
                <w:i w:val="0"/>
                <w:sz w:val="18"/>
              </w:rPr>
              <w:t>Batch Size</w:t>
            </w:r>
          </w:p>
        </w:tc>
        <w:tc>
          <w:tcPr>
            <w:tcW w:type="dxa" w:w="1587"/>
          </w:tcPr>
          <w:p>
            <w:pPr>
              <w:spacing w:line="252" w:lineRule="auto" w:before="40" w:after="40"/>
              <w:jc w:val="both"/>
            </w:pPr>
            <w:r>
              <w:rPr>
                <w:rFonts w:ascii="Times New Roman" w:hAnsi="Times New Roman"/>
                <w:b w:val="0"/>
                <w:i w:val="0"/>
                <w:sz w:val="18"/>
              </w:rPr>
              <w:t>suggest_categorical</w:t>
            </w:r>
          </w:p>
        </w:tc>
        <w:tc>
          <w:tcPr>
            <w:tcW w:type="dxa" w:w="1587"/>
          </w:tcPr>
          <w:p>
            <w:pPr>
              <w:spacing w:line="252" w:lineRule="auto" w:before="40" w:after="40"/>
              <w:jc w:val="both"/>
            </w:pPr>
            <w:r>
              <w:rPr>
                <w:rFonts w:ascii="Times New Roman" w:hAnsi="Times New Roman"/>
                <w:b w:val="0"/>
                <w:i w:val="0"/>
                <w:sz w:val="18"/>
              </w:rPr>
              <w:t>[16, 32, 64]</w:t>
            </w:r>
          </w:p>
        </w:tc>
        <w:tc>
          <w:tcPr>
            <w:tcW w:type="dxa" w:w="2381"/>
          </w:tcPr>
          <w:p>
            <w:pPr>
              <w:spacing w:line="252" w:lineRule="auto" w:before="40" w:after="40"/>
              <w:jc w:val="both"/>
            </w:pPr>
            <w:r>
              <w:rPr>
                <w:rFonts w:ascii="Times New Roman" w:hAnsi="Times New Roman"/>
                <w:b w:val="0"/>
                <w:i w:val="0"/>
                <w:sz w:val="18"/>
              </w:rPr>
              <w:t>Jumlah sampel observasi yang diproses per pembaruan gradien loss</w:t>
            </w:r>
          </w:p>
        </w:tc>
      </w:tr>
    </w:tbl>
    <w:p>
      <w:pPr>
        <w:spacing w:after="120"/>
      </w:pPr>
    </w:p>
    <w:p>
      <w:pPr>
        <w:spacing w:line="360" w:lineRule="auto" w:after="120"/>
        <w:ind w:firstLine="567"/>
        <w:jc w:val="both"/>
      </w:pPr>
      <w:r>
        <w:rPr>
          <w:rFonts w:ascii="Times New Roman" w:hAnsi="Times New Roman"/>
          <w:b w:val="0"/>
          <w:i w:val="0"/>
          <w:sz w:val="24"/>
        </w:rPr>
        <w:t>Di samping kelima parameter utama pada ruang pencarian tersebut, kedalaman arsitektur LSTM juga dieksplorasi secara dinamis antara rentang 1 hingga 2 lapisan berulang (stacked layers) guna menyesuaikan kapasitas abstraksi model terhadap kompleksitas volatilitas harga Bitcoin secara terukur. Algoritma optimasi Adam ditetapkan secara konstan sebagai optimizer utama karena memiliki mekanisme penyesuaian laju pembelajaran adaptif berbasis momen orde pertama dan kedua yang terbukti sangat stabil pada data deret waktu yang rentan terhadap derau acak (Kingma &amp; Ba, 2014). Fungsi kerugian (loss function) yang diminimalkan selama pelatihan adalah Mean Absolute Error (MAE) yang secara matematis selaras langsung dengan formula evaluasi akhir MAPE, didukung oleh mekanisme penghentian dini (Early Stopping) dan scheduler penyesuaian laju pembelajaran dinamis (ReduceLROnPlateau) guna menghasilkan pendaratan konvergensi bobot yang mulus serta mencegah penghafalan derau data (Srivastava et al., 2014; Goodfellow et al., 2016).</w:t>
      </w:r>
    </w:p>
    <w:p>
      <w:pPr>
        <w:spacing w:before="200" w:after="80" w:line="360" w:lineRule="auto"/>
      </w:pPr>
      <w:r>
        <w:rPr>
          <w:rFonts w:ascii="Times New Roman" w:hAnsi="Times New Roman"/>
          <w:b/>
          <w:i w:val="0"/>
          <w:sz w:val="24"/>
        </w:rPr>
        <w:t>2. Prosedur Optimasi Algoritma Optuna-TPE</w:t>
      </w:r>
    </w:p>
    <w:p>
      <w:pPr>
        <w:spacing w:line="360" w:lineRule="auto" w:after="120"/>
        <w:ind w:firstLine="567"/>
        <w:jc w:val="both"/>
      </w:pPr>
      <w:r>
        <w:rPr>
          <w:rFonts w:ascii="Times New Roman" w:hAnsi="Times New Roman"/>
          <w:b w:val="0"/>
          <w:i w:val="0"/>
          <w:sz w:val="24"/>
        </w:rPr>
        <w:t xml:space="preserve">Proses penalaan hyperparameter dijalankan secara otomatis menggunakan kerangka kerja Optuna dengan total anggaran komputasi sebanyak 50 uji coba (trials) yang dipandu oleh algoritma Tree-structured Parzen Estimator (TPE). Pendekatan brute-force maupun pencarian acak mengabaikan riwayat uji coba masa lalu, sehingga kerap kali terjebak pada wilayah hyperparameter dengan performa yang buruk. Melalui pemodelan Bayes non-parametrik, TPE mengelompokkan riwayat uji coba terdahulu ke dalam dua distribusi kepadatan probabilitas, yaitu kelompok konfigurasi terbaik </w:t>
      </w:r>
      <m:oMath>
        <m:r>
          <m:t>ℓ(x)</m:t>
        </m:r>
      </m:oMath>
      <w:r>
        <w:rPr>
          <w:rFonts w:ascii="Times New Roman" w:hAnsi="Times New Roman"/>
          <w:b w:val="0"/>
          <w:i w:val="0"/>
          <w:sz w:val="24"/>
        </w:rPr>
        <w:t xml:space="preserve"> dan kelompok konfigurasi lainnya </w:t>
      </w:r>
      <m:oMath>
        <m:r>
          <m:t>g(x)</m:t>
        </m:r>
      </m:oMath>
      <w:r>
        <w:rPr>
          <w:rFonts w:ascii="Times New Roman" w:hAnsi="Times New Roman"/>
          <w:b w:val="0"/>
          <w:i w:val="0"/>
          <w:sz w:val="24"/>
        </w:rPr>
        <w:t xml:space="preserve"> berdasarkan nilai persentil kerugian validasi (Bergstra et al., 2011; Akiba et al., 2019). Kandidat titik konfigurasi baru selanjutnya diambil dari wilayah yang memaksimalkan rasio </w:t>
      </w:r>
      <m:oMath>
        <m:r>
          <m:t>ℓ(x)/g(x)</m:t>
        </m:r>
      </m:oMath>
      <w:r>
        <w:rPr>
          <w:rFonts w:ascii="Times New Roman" w:hAnsi="Times New Roman"/>
          <w:b w:val="0"/>
          <w:i w:val="0"/>
          <w:sz w:val="24"/>
        </w:rPr>
        <w:t>, sehingga proses eksplorasi bergerak secara cerdas menuju ruang pencarian yang berpotensi menghasilkan error minimum (Feurer &amp; Hutter, 2019).</w:t>
      </w:r>
    </w:p>
    <w:p>
      <w:pPr>
        <w:spacing w:line="360" w:lineRule="auto" w:after="120"/>
        <w:ind w:firstLine="567"/>
        <w:jc w:val="both"/>
      </w:pPr>
      <w:r>
        <w:rPr>
          <w:rFonts w:ascii="Times New Roman" w:hAnsi="Times New Roman"/>
          <w:b w:val="0"/>
          <w:i w:val="0"/>
          <w:sz w:val="24"/>
        </w:rPr>
        <w:t>Efisiensi eksekusi komputasi selama 50 uji coba optimasi ditingkatkan secara substansial melalui integrasi strategi pemangkasan cerdas berbasis modul MedianPruner bawaan Optuna. Menjalankan seluruh putaran epoch pelatihan pada konfigurasi hyperparameter yang sejak awal telah menunjukkan performa buruk hanya akan menghabiskan waktu dan sumber daya komputasi secara sia-sia. Pada setiap akhir epoch pelatihan model, MedianPruner secara otomatis membandingkan nilai kerugian validasi dari uji coba yang sedang berjalan terhadap nilai median dari riwayat seluruh uji coba sebelumnya pada titik epoch yang sama (Akiba et al., 2019). Apabila kinerja uji coba tersebut berada di bawah nilai median, Optuna seketika menghentikan proses pelatihan uji coba tersebut dan segera mengalokasikan daya komputasi untuk menguji kandidat konfigurasi baru berikutnya (Li et al., 2017; Falkner et al., 2018).</w:t>
      </w:r>
    </w:p>
    <w:p>
      <w:pPr>
        <w:spacing w:before="200" w:after="80" w:line="360" w:lineRule="auto"/>
      </w:pPr>
      <w:r>
        <w:rPr>
          <w:rFonts w:ascii="Times New Roman" w:hAnsi="Times New Roman"/>
          <w:b/>
          <w:i w:val="0"/>
          <w:sz w:val="24"/>
        </w:rPr>
        <w:t>3. Skema Validasi Deret Waktu (Time-Series Split)</w:t>
      </w:r>
    </w:p>
    <w:p>
      <w:pPr>
        <w:spacing w:line="360" w:lineRule="auto" w:after="120"/>
        <w:ind w:firstLine="567"/>
        <w:jc w:val="both"/>
      </w:pPr>
      <w:r>
        <w:rPr>
          <w:rFonts w:ascii="Times New Roman" w:hAnsi="Times New Roman"/>
          <w:b w:val="0"/>
          <w:i w:val="0"/>
          <w:sz w:val="24"/>
        </w:rPr>
        <w:t>Evaluasi keandalan model selama proses optimasi hyperparameter dilakukan dengan menerapkan skema validasi silang deret waktu (Time-Series Split) sebanyak 5 lipatan (folds) secara ketat tanpa pengacakan data. Penggunaan metode K-Fold Cross-Validation konvensional yang lazim diterapkan pada data statis sangat dilarang dalam analisis deret waktu karena proses pengacakan observasi akan melanggar prinsip kausalitas temporal serta menimbulkan ilusi akurasi yang bias (data snooping). Pada skema Time-Series Split, data diurutkan secara kronologis di mana pada setiap lipatan ke-</w:t>
      </w:r>
      <m:oMath>
        <m:r>
          <m:t>k</m:t>
        </m:r>
      </m:oMath>
      <w:r>
        <w:rPr>
          <w:rFonts w:ascii="Times New Roman" w:hAnsi="Times New Roman"/>
          <w:b w:val="0"/>
          <w:i w:val="0"/>
          <w:sz w:val="24"/>
        </w:rPr>
        <w:t>, data pelatihan hanya menggunakan observasi masa lalu sebelum titik potong temporal ke-</w:t>
      </w:r>
      <m:oMath>
        <m:r>
          <m:t>k</m:t>
        </m:r>
      </m:oMath>
      <w:r>
        <w:rPr>
          <w:rFonts w:ascii="Times New Roman" w:hAnsi="Times New Roman"/>
          <w:b w:val="0"/>
          <w:i w:val="0"/>
          <w:sz w:val="24"/>
        </w:rPr>
        <w:t>, sedangkan data validasi dievaluasi pada jendela waktu berikutnya (Arlot &amp; Celisse, 2010; Tashman, 2000). Rata-rata nilai kerugian validasi lintas lima lipatan tersebut dijadikan fungsi objektif yang diminimalkan oleh Optuna (BRIN &amp; Binus, 2025).</w:t>
      </w:r>
    </w:p>
    <w:p>
      <w:pPr>
        <w:spacing w:line="360" w:lineRule="auto" w:after="120"/>
        <w:ind w:firstLine="567"/>
        <w:jc w:val="both"/>
      </w:pPr>
      <w:r>
        <w:rPr>
          <w:rFonts w:ascii="Times New Roman" w:hAnsi="Times New Roman"/>
          <w:b w:val="0"/>
          <w:i w:val="0"/>
          <w:sz w:val="24"/>
        </w:rPr>
        <w:t>Secara keseluruhan, dataset penelitian dipartisi secara berurutan menurut garis waktu kronologis menjadi dua segmen utama dengan rasio 80:20, yaitu segmen data latih-validasi (in-sample) dan data uji akhir (out-of-sample). Pemisahan ini mutlak diperlukan untuk mencegah terjadinya bias seleksi (selection bias) di mana model dievaluasi pada data yang turut terlibat dalam pemilihan konfigurasi hyperparameter terbaik. Sebanyak 80% data awal (sekitar 1.754 hari) digunakan secara eksklusif untuk proses pelatihan dan validasi silang lima lipatan Optuna, sementara 20% data sisanya (sekitar 438 hari perdagangan terakhir) dicadangkan sebagai data uji holdout murni yang terkunci (López de Prado, 2018). Model dengan arsitektur terbaik hasil optimasi Optuna kemudian diuji kemampuannya pada segmen out-of-sample ini untuk mengukur akurasi peramalan yang objektif (Hyndman &amp; Athanasopoulos, 2018; Makridakis et al., 2018).</w:t>
      </w:r>
    </w:p>
    <w:p>
      <w:pPr>
        <w:spacing w:before="200" w:after="80" w:line="360" w:lineRule="auto"/>
      </w:pPr>
      <w:r>
        <w:rPr>
          <w:rFonts w:ascii="Times New Roman" w:hAnsi="Times New Roman"/>
          <w:b/>
          <w:i w:val="0"/>
          <w:sz w:val="24"/>
        </w:rPr>
        <w:t>4. Desain Eksperimen Benchmark Bertingkat (3-Tier Evaluation)</w:t>
      </w:r>
    </w:p>
    <w:p>
      <w:pPr>
        <w:spacing w:line="360" w:lineRule="auto" w:after="120"/>
        <w:ind w:firstLine="567"/>
        <w:jc w:val="both"/>
      </w:pPr>
      <w:r>
        <w:rPr>
          <w:rFonts w:ascii="Times New Roman" w:hAnsi="Times New Roman"/>
          <w:b w:val="0"/>
          <w:i w:val="0"/>
          <w:sz w:val="24"/>
        </w:rPr>
        <w:t>Kinerja arsitektur model LSTM hasil penalaan otomatis Optuna-TPE dievaluasi melalui rancangan eksperimen benchmark bertingkat yang tersusun atas tiga tingkatan model pembanding yang diuji pada dataset pengujian yang sama persis. Struktur pembanding bertingkat ini memastikan bahwa klaim keunggulan performa model tidak sekadar berasal dari perbandingan terhadap baseline acuan yang lemah, melainkan teruji terhadap praktik standar industri maupun temuan penelitian terdahulu. Tier 1 memposisikan model LSTM dengan parameter konfigurasi default tanpa intervensi, Tier 2 mereplikasi spesifikasi penalaan manual terbaik dari publikasi Khumaidi dkk. (2024), dan Tier 3 mengimplementasikan model hasil penalaan otomatis Optuna-TPE sebagaimana dirincikan pada Tabel 3.4 (Bouthillier et al., 2020). Desain benchmark ini menyediakan landasan bukti empiris yang transparan atas efektivitas optimasi probabilistik yang diusulkan (Makridakis et al., 2018).</w:t>
      </w:r>
    </w:p>
    <w:p>
      <w:pPr>
        <w:spacing w:before="200" w:after="60" w:line="240" w:lineRule="auto"/>
        <w:jc w:val="center"/>
      </w:pPr>
      <w:r>
        <w:rPr>
          <w:rFonts w:ascii="Times New Roman" w:hAnsi="Times New Roman"/>
          <w:b/>
          <w:i w:val="0"/>
          <w:sz w:val="22"/>
        </w:rPr>
        <w:t>Tabel 3.4 Desain Eksperimen Benchmark Bertingkat (3-Tier Evaluation)</w:t>
      </w:r>
    </w:p>
    <w:tbl>
      <w:tblPr>
        <w:tblW w:type="auto" w:w="0"/>
        <w:jc w:val="center"/>
        <w:tblLook w:firstColumn="1" w:firstRow="1" w:lastColumn="0" w:lastRow="0" w:noHBand="0" w:noVBand="1" w:val="04A0"/>
      </w:tblPr>
      <w:tblGrid>
        <w:gridCol w:w="1984"/>
        <w:gridCol w:w="1984"/>
        <w:gridCol w:w="1984"/>
        <w:gridCol w:w="1984"/>
      </w:tblGrid>
      <w:tr>
        <w:tc>
          <w:tcPr>
            <w:tcW w:type="dxa" w:w="794"/>
            <w:shd w:fill="E8EEF5"/>
          </w:tcPr>
          <w:p>
            <w:pPr>
              <w:spacing w:line="252" w:lineRule="auto" w:before="40" w:after="40"/>
              <w:jc w:val="center"/>
            </w:pPr>
            <w:r>
              <w:rPr>
                <w:rFonts w:ascii="Times New Roman" w:hAnsi="Times New Roman"/>
                <w:b/>
                <w:i w:val="0"/>
                <w:sz w:val="18"/>
              </w:rPr>
              <w:t>Tingkatan (Tier)</w:t>
            </w:r>
          </w:p>
        </w:tc>
        <w:tc>
          <w:tcPr>
            <w:tcW w:type="dxa" w:w="1701"/>
            <w:shd w:fill="E8EEF5"/>
          </w:tcPr>
          <w:p>
            <w:pPr>
              <w:spacing w:line="252" w:lineRule="auto" w:before="40" w:after="40"/>
              <w:jc w:val="both"/>
            </w:pPr>
            <w:r>
              <w:rPr>
                <w:rFonts w:ascii="Times New Roman" w:hAnsi="Times New Roman"/>
                <w:b/>
                <w:i w:val="0"/>
                <w:sz w:val="18"/>
              </w:rPr>
              <w:t>Identitas Model</w:t>
            </w:r>
          </w:p>
        </w:tc>
        <w:tc>
          <w:tcPr>
            <w:tcW w:type="dxa" w:w="2721"/>
            <w:shd w:fill="E8EEF5"/>
          </w:tcPr>
          <w:p>
            <w:pPr>
              <w:spacing w:line="252" w:lineRule="auto" w:before="40" w:after="40"/>
              <w:jc w:val="both"/>
            </w:pPr>
            <w:r>
              <w:rPr>
                <w:rFonts w:ascii="Times New Roman" w:hAnsi="Times New Roman"/>
                <w:b/>
                <w:i w:val="0"/>
                <w:sz w:val="18"/>
              </w:rPr>
              <w:t>Spesifikasi Konfigurasi Hyperparameter</w:t>
            </w:r>
          </w:p>
        </w:tc>
        <w:tc>
          <w:tcPr>
            <w:tcW w:type="dxa" w:w="2268"/>
            <w:shd w:fill="E8EEF5"/>
          </w:tcPr>
          <w:p>
            <w:pPr>
              <w:spacing w:line="252" w:lineRule="auto" w:before="40" w:after="40"/>
              <w:jc w:val="both"/>
            </w:pPr>
            <w:r>
              <w:rPr>
                <w:rFonts w:ascii="Times New Roman" w:hAnsi="Times New Roman"/>
                <w:b/>
                <w:i w:val="0"/>
                <w:sz w:val="18"/>
              </w:rPr>
              <w:t>Tujuan dan Sasaran Pengujian</w:t>
            </w:r>
          </w:p>
        </w:tc>
      </w:tr>
      <w:tr>
        <w:tc>
          <w:tcPr>
            <w:tcW w:type="dxa" w:w="794"/>
          </w:tcPr>
          <w:p>
            <w:pPr>
              <w:spacing w:line="252" w:lineRule="auto" w:before="40" w:after="40"/>
              <w:jc w:val="center"/>
            </w:pPr>
            <w:r>
              <w:rPr>
                <w:rFonts w:ascii="Times New Roman" w:hAnsi="Times New Roman"/>
                <w:b w:val="0"/>
                <w:i w:val="0"/>
                <w:sz w:val="18"/>
              </w:rPr>
              <w:t>Tier 1</w:t>
            </w:r>
          </w:p>
        </w:tc>
        <w:tc>
          <w:tcPr>
            <w:tcW w:type="dxa" w:w="1701"/>
          </w:tcPr>
          <w:p>
            <w:pPr>
              <w:spacing w:line="252" w:lineRule="auto" w:before="40" w:after="40"/>
              <w:jc w:val="both"/>
            </w:pPr>
            <w:r>
              <w:rPr>
                <w:rFonts w:ascii="Times New Roman" w:hAnsi="Times New Roman"/>
                <w:b w:val="0"/>
                <w:i w:val="0"/>
                <w:sz w:val="18"/>
              </w:rPr>
              <w:t>LSTM Default</w:t>
              <w:br/>
              <w:t>(Baseline Kontrol)</w:t>
            </w:r>
          </w:p>
        </w:tc>
        <w:tc>
          <w:tcPr>
            <w:tcW w:type="dxa" w:w="2721"/>
          </w:tcPr>
          <w:p>
            <w:pPr>
              <w:spacing w:line="252" w:lineRule="auto" w:before="40" w:after="40"/>
              <w:jc w:val="both"/>
            </w:pPr>
            <w:r>
              <w:rPr>
                <w:rFonts w:ascii="Times New Roman" w:hAnsi="Times New Roman"/>
                <w:b w:val="0"/>
                <w:i w:val="0"/>
                <w:sz w:val="18"/>
              </w:rPr>
              <w:t>Lookback=30, Units=50, Dropout=0.2, LR=0.001, Batch=32, Layers=1, Epoch=100</w:t>
            </w:r>
          </w:p>
        </w:tc>
        <w:tc>
          <w:tcPr>
            <w:tcW w:type="dxa" w:w="2268"/>
          </w:tcPr>
          <w:p>
            <w:pPr>
              <w:spacing w:line="252" w:lineRule="auto" w:before="40" w:after="40"/>
              <w:jc w:val="both"/>
            </w:pPr>
            <w:r>
              <w:rPr>
                <w:rFonts w:ascii="Times New Roman" w:hAnsi="Times New Roman"/>
                <w:b w:val="0"/>
                <w:i w:val="0"/>
                <w:sz w:val="18"/>
              </w:rPr>
              <w:t>Menetapkan tolok ukur batas bawah performa arsitektur LSTM tanpa penalaan parameter</w:t>
            </w:r>
          </w:p>
        </w:tc>
      </w:tr>
      <w:tr>
        <w:tc>
          <w:tcPr>
            <w:tcW w:type="dxa" w:w="794"/>
          </w:tcPr>
          <w:p>
            <w:pPr>
              <w:spacing w:line="252" w:lineRule="auto" w:before="40" w:after="40"/>
              <w:jc w:val="center"/>
            </w:pPr>
            <w:r>
              <w:rPr>
                <w:rFonts w:ascii="Times New Roman" w:hAnsi="Times New Roman"/>
                <w:b w:val="0"/>
                <w:i w:val="0"/>
                <w:sz w:val="18"/>
              </w:rPr>
              <w:t>Tier 2</w:t>
            </w:r>
          </w:p>
        </w:tc>
        <w:tc>
          <w:tcPr>
            <w:tcW w:type="dxa" w:w="1701"/>
          </w:tcPr>
          <w:p>
            <w:pPr>
              <w:spacing w:line="252" w:lineRule="auto" w:before="40" w:after="40"/>
              <w:jc w:val="both"/>
            </w:pPr>
            <w:r>
              <w:rPr>
                <w:rFonts w:ascii="Times New Roman" w:hAnsi="Times New Roman"/>
                <w:b w:val="0"/>
                <w:i w:val="0"/>
                <w:sz w:val="18"/>
              </w:rPr>
              <w:t>LSTM Manual Tuning</w:t>
              <w:br/>
              <w:t>(Replikasi Khumaidi dkk., 2024)</w:t>
            </w:r>
          </w:p>
        </w:tc>
        <w:tc>
          <w:tcPr>
            <w:tcW w:type="dxa" w:w="2721"/>
          </w:tcPr>
          <w:p>
            <w:pPr>
              <w:spacing w:line="252" w:lineRule="auto" w:before="40" w:after="40"/>
              <w:jc w:val="both"/>
            </w:pPr>
            <w:r>
              <w:rPr>
                <w:rFonts w:ascii="Times New Roman" w:hAnsi="Times New Roman"/>
                <w:b w:val="0"/>
                <w:i w:val="0"/>
                <w:sz w:val="18"/>
              </w:rPr>
              <w:t>Lookback=60, Units=128, Dropout=0.2, LR=0.001, Batch=10, Layers=1, Epoch=100, Split=85%</w:t>
            </w:r>
          </w:p>
        </w:tc>
        <w:tc>
          <w:tcPr>
            <w:tcW w:type="dxa" w:w="2268"/>
          </w:tcPr>
          <w:p>
            <w:pPr>
              <w:spacing w:line="252" w:lineRule="auto" w:before="40" w:after="40"/>
              <w:jc w:val="both"/>
            </w:pPr>
            <w:r>
              <w:rPr>
                <w:rFonts w:ascii="Times New Roman" w:hAnsi="Times New Roman"/>
                <w:b w:val="0"/>
                <w:i w:val="0"/>
                <w:sz w:val="18"/>
              </w:rPr>
              <w:t>Menguji batas efektivitas metode coba-coba (trial-and-error) manual dari riset terdahulu</w:t>
            </w:r>
          </w:p>
        </w:tc>
      </w:tr>
      <w:tr>
        <w:tc>
          <w:tcPr>
            <w:tcW w:type="dxa" w:w="794"/>
          </w:tcPr>
          <w:p>
            <w:pPr>
              <w:spacing w:line="252" w:lineRule="auto" w:before="40" w:after="40"/>
              <w:jc w:val="center"/>
            </w:pPr>
            <w:r>
              <w:rPr>
                <w:rFonts w:ascii="Times New Roman" w:hAnsi="Times New Roman"/>
                <w:b w:val="0"/>
                <w:i w:val="0"/>
                <w:sz w:val="18"/>
              </w:rPr>
              <w:t>Tier 3</w:t>
            </w:r>
          </w:p>
        </w:tc>
        <w:tc>
          <w:tcPr>
            <w:tcW w:type="dxa" w:w="1701"/>
          </w:tcPr>
          <w:p>
            <w:pPr>
              <w:spacing w:line="252" w:lineRule="auto" w:before="40" w:after="40"/>
              <w:jc w:val="both"/>
            </w:pPr>
            <w:r>
              <w:rPr>
                <w:rFonts w:ascii="Times New Roman" w:hAnsi="Times New Roman"/>
                <w:b w:val="0"/>
                <w:i w:val="0"/>
                <w:sz w:val="18"/>
              </w:rPr>
              <w:t>LSTM Optuna-TPE</w:t>
              <w:br/>
              <w:t>(Model Usulan)</w:t>
            </w:r>
          </w:p>
        </w:tc>
        <w:tc>
          <w:tcPr>
            <w:tcW w:type="dxa" w:w="2721"/>
          </w:tcPr>
          <w:p>
            <w:pPr>
              <w:spacing w:line="252" w:lineRule="auto" w:before="40" w:after="40"/>
              <w:jc w:val="both"/>
            </w:pPr>
            <w:r>
              <w:rPr>
                <w:rFonts w:ascii="Times New Roman" w:hAnsi="Times New Roman"/>
                <w:b w:val="0"/>
                <w:i w:val="0"/>
                <w:sz w:val="18"/>
              </w:rPr>
              <w:t>Konfigurasi hyperparameter ditentukan secara otomatis adaptif oleh Optuna-TPE (50 trials)</w:t>
            </w:r>
          </w:p>
        </w:tc>
        <w:tc>
          <w:tcPr>
            <w:tcW w:type="dxa" w:w="2268"/>
          </w:tcPr>
          <w:p>
            <w:pPr>
              <w:spacing w:line="252" w:lineRule="auto" w:before="40" w:after="40"/>
              <w:jc w:val="both"/>
            </w:pPr>
            <w:r>
              <w:rPr>
                <w:rFonts w:ascii="Times New Roman" w:hAnsi="Times New Roman"/>
                <w:b w:val="0"/>
                <w:i w:val="0"/>
                <w:sz w:val="18"/>
              </w:rPr>
              <w:t>Membuktikan signifikansi keunggulan optimasi probabilistik terarah dibanding kedua baseline</w:t>
            </w:r>
          </w:p>
        </w:tc>
      </w:tr>
    </w:tbl>
    <w:p>
      <w:pPr>
        <w:spacing w:after="120"/>
      </w:pPr>
    </w:p>
    <w:p>
      <w:pPr>
        <w:spacing w:before="200" w:after="80" w:line="360" w:lineRule="auto"/>
      </w:pPr>
      <w:r>
        <w:rPr>
          <w:rFonts w:ascii="Times New Roman" w:hAnsi="Times New Roman"/>
          <w:b/>
          <w:i w:val="0"/>
          <w:sz w:val="24"/>
        </w:rPr>
        <w:t>5. Metrik Evaluasi Kinerja Model dan Persentase Penurunan Error</w:t>
      </w:r>
    </w:p>
    <w:p>
      <w:pPr>
        <w:spacing w:line="360" w:lineRule="auto" w:after="120"/>
        <w:ind w:firstLine="567"/>
        <w:jc w:val="both"/>
      </w:pPr>
      <w:r>
        <w:rPr>
          <w:rFonts w:ascii="Times New Roman" w:hAnsi="Times New Roman"/>
          <w:b w:val="0"/>
          <w:i w:val="0"/>
          <w:sz w:val="24"/>
        </w:rPr>
        <w:t>Kemampuan peramalan dari ketiga tingkatan model dievaluasi secara kuantitatif menggunakan tiga metrik pengukuran galat komputasi standar, yaitu Root Mean Square Error (RMSE), Mean Absolute Error (MAE), serta Mean Absolute Percentage Error (MAPE). Mengandalkan satu metrik tunggal berpotensi menghasilkan kesimpulan yang bias karena setiap formulasi matematis memiliki sensitivitas yang berlainan terhadap magnitudo dan deviasi data ekstrim. Metrik RMSE memberikan penalti berbobot kuadratik yang lebih tegas terhadap kesalahan bernilai besar, MAE mengukur deviasi rata-rata absolut linier yang intuitif, sedangkan MAPE merepresentasikan proporsi persentase kesalahan relatif terhadap nilai aktual harga (Willmott &amp; Matsuura, 2005; Hyndman &amp; Athanasopoulos, 2018). Evaluasi multi-metrik ini dihitung secara eksklusif pada data pengujian out-of-sample untuk memastikan akurasi penilaian generalisasi model (Gu et al., 2020).</w:t>
      </w:r>
    </w:p>
    <w:tbl>
      <w:tblPr>
        <w:tblW w:w="7938" w:type="dxa"/>
        <w:jc w:val="center"/>
        <w:tblBorders>
          <w:top w:val="none"/>
          <w:left w:val="none"/>
          <w:bottom w:val="none"/>
          <w:right w:val="none"/>
          <w:insideH w:val="none"/>
          <w:insideV w:val="none"/>
        </w:tblBorders>
        <w:tblCellMar>
          <w:top w:w="80"/>
          <w:bottom w:w="80"/>
          <w:left w:w="0"/>
          <w:right w:w="0"/>
        </w:tblCellMar>
      </w:tblPr>
      <w:tblGrid>
        <w:gridCol w:w="6938"/>
        <w:gridCol w:w="1000"/>
      </w:tblGrid>
      <w:tr>
        <w:tc>
          <w:tcPr>
            <w:tcW w:w="6938" w:type="dxa"/>
            <w:vAlign w:val="center"/>
          </w:tcPr>
          <w:p>
            <w:pPr>
              <w:jc w:val="center"/>
              <w:spacing w:before="60" w:after="60"/>
            </w:pPr>
            <m:oMathPara>
              <m:oMath>
                <m:r>
                  <m:t>Improvement (%) = </m:t>
                </m:r>
                <m:f>
                  <m:num>
                    <m:sSub>
                      <m:e>
                        <m:r>
                          <m:t>Error</m:t>
                        </m:r>
                      </m:e>
                      <m:sub>
                        <m:r>
                          <m:t>baseline</m:t>
                        </m:r>
                      </m:sub>
                    </m:sSub>
                    <m:r>
                      <m:t> - </m:t>
                    </m:r>
                    <m:sSub>
                      <m:e>
                        <m:r>
                          <m:t>Error</m:t>
                        </m:r>
                      </m:e>
                      <m:sub>
                        <m:r>
                          <m:t>optimized</m:t>
                        </m:r>
                      </m:sub>
                    </m:sSub>
                  </m:num>
                  <m:den>
                    <m:sSub>
                      <m:e>
                        <m:r>
                          <m:t>Error</m:t>
                        </m:r>
                      </m:e>
                      <m:sub>
                        <m:r>
                          <m:t>baseline</m:t>
                        </m:r>
                      </m:sub>
                    </m:sSub>
                  </m:den>
                </m:f>
                <m:r>
                  <m:t> × 100</m:t>
                </m:r>
              </m:oMath>
            </m:oMathPara>
          </w:p>
        </w:tc>
        <w:tc>
          <w:tcPr>
            <w:tcW w:w="1000" w:type="dxa"/>
            <w:vAlign w:val="center"/>
          </w:tcPr>
          <w:p>
            <w:pPr>
              <w:jc w:val="right"/>
              <w:spacing w:before="60" w:after="60"/>
            </w:pPr>
            <w:r>
              <w:rPr>
                <w:rFonts w:ascii="Times New Roman" w:hAnsi="Times New Roman"/>
                <w:sz w:val="22"/>
              </w:rPr>
              <w:t>(3.2)</w:t>
            </w:r>
          </w:p>
        </w:tc>
      </w:tr>
    </w:tbl>
    <w:p>
      <w:pPr>
        <w:spacing w:line="360" w:lineRule="auto" w:after="120"/>
        <w:ind w:firstLine="567"/>
        <w:jc w:val="both"/>
      </w:pPr>
      <w:r>
        <w:rPr>
          <w:rFonts w:ascii="Times New Roman" w:hAnsi="Times New Roman"/>
          <w:b w:val="0"/>
          <w:i w:val="0"/>
          <w:sz w:val="24"/>
        </w:rPr>
        <w:t xml:space="preserve">Tingkat signifikansi keberhasilan optimasi diukur secara matematis melalui persentase perbaikan performa (Improvement Percentage) terhadap masing-masing baseline acuan sebagaimana dirumuskan pada Persamaan (3.2). Perbedaan nilai absolut error sering kali sulit diinterpretasikan antar-skenario pengujian yang berbeda, sehingga diperlukan standarisasi pengukuran penurunan error yang proporsional. Pada persamaan tersebut, variabel </w:t>
      </w:r>
      <m:oMath>
        <m:sSub>
          <m:e>
            <m:r>
              <m:t>Error</m:t>
            </m:r>
          </m:e>
          <m:sub>
            <m:r>
              <m:t>baseline</m:t>
            </m:r>
          </m:sub>
        </m:sSub>
      </m:oMath>
      <w:r>
        <w:rPr>
          <w:rFonts w:ascii="Times New Roman" w:hAnsi="Times New Roman"/>
          <w:b w:val="0"/>
          <w:i w:val="0"/>
          <w:sz w:val="24"/>
        </w:rPr>
        <w:t xml:space="preserve"> menyatakan nilai metrik galat (RMSE, MAE, atau MAPE) dari model pembanding Tier 1 atau Tier 2, sedangkan </w:t>
      </w:r>
      <m:oMath>
        <m:sSub>
          <m:e>
            <m:r>
              <m:t>Error</m:t>
            </m:r>
          </m:e>
          <m:sub>
            <m:r>
              <m:t>optimized</m:t>
            </m:r>
          </m:sub>
        </m:sSub>
      </m:oMath>
      <w:r>
        <w:rPr>
          <w:rFonts w:ascii="Times New Roman" w:hAnsi="Times New Roman"/>
          <w:b w:val="0"/>
          <w:i w:val="0"/>
          <w:sz w:val="24"/>
        </w:rPr>
        <w:t xml:space="preserve"> melambangkan nilai galat dari model usulan Tier 3 (Willmott &amp; Matsuura, 2005). Nilai persentase perbaikan yang bertanda positif membuktikan keberhasilan algoritma Optuna-TPE dalam mereduksi kesalahan estimasi harga secara terukur dibandingkan model tanpa optimasi maupun model coba-coba manual (Makridakis et al., 2018; Bouthillier et al., 2020).</w:t>
      </w:r>
    </w:p>
    <w:p>
      <w:pPr>
        <w:spacing w:before="200" w:after="80" w:line="360" w:lineRule="auto"/>
      </w:pPr>
      <w:r>
        <w:rPr>
          <w:rFonts w:ascii="Times New Roman" w:hAnsi="Times New Roman"/>
          <w:b/>
          <w:i w:val="0"/>
          <w:sz w:val="24"/>
        </w:rPr>
        <w:t>6. Alur Prosedur Penelitian Secara Keseluruhan</w:t>
      </w:r>
    </w:p>
    <w:p>
      <w:pPr>
        <w:spacing w:line="360" w:lineRule="auto" w:after="120"/>
        <w:ind w:firstLine="567"/>
        <w:jc w:val="both"/>
      </w:pPr>
      <w:r>
        <w:rPr>
          <w:rFonts w:ascii="Times New Roman" w:hAnsi="Times New Roman"/>
          <w:b w:val="0"/>
          <w:i w:val="0"/>
          <w:sz w:val="24"/>
        </w:rPr>
        <w:t>Secara komprehensif, seluruh rangkaian pelaksanaan penelitian dari tahap inisiasi konseptual hingga penarikan kesimpulan akhir diintegrasikan ke dalam tujuh tahapan kerja sekuensial yang saling berkesinambungan. Penyusunan alur kerja yang terstandar menjamin bahwa seluruh proses manipulasi data dan eksekusi komputasi berjalan secara terkontrol tanpa distorsi metodologis. Tujuh tahapan kerja tersebut mencakup: akuisisi data historis via Binance API, audit kualitas dan normalisasi Min-Max, pemisahan partisi data in-sample dan out-of-sample, penalaan 50 trials Optuna-TPE dengan Time-Series Split 5-fold, pelatihan arsitektur model final, pengujian komparatif 3-Tier benchmark, serta analisis persentase penurunan error peramalan (Tabel 3.5) (Creswell &amp; Creswell, 2018; Tashman, 2000). Rangkaian tahapan ini menegakkan keterulangan empiris serta keabsahan ilmiah dari model peramalan harga Bitcoin yang dikembangkan (Bouthillier et al., 2020).</w:t>
      </w:r>
    </w:p>
    <w:p>
      <w:pPr>
        <w:spacing w:before="200" w:after="60" w:line="240" w:lineRule="auto"/>
        <w:jc w:val="center"/>
      </w:pPr>
      <w:r>
        <w:rPr>
          <w:rFonts w:ascii="Times New Roman" w:hAnsi="Times New Roman"/>
          <w:b/>
          <w:i w:val="0"/>
          <w:sz w:val="22"/>
        </w:rPr>
        <w:t>Tabel 3.5 Ringkasan Alur Prosedur Pelaksanaan Penelitian</w:t>
      </w:r>
    </w:p>
    <w:tbl>
      <w:tblPr>
        <w:tblW w:type="auto" w:w="0"/>
        <w:jc w:val="center"/>
        <w:tblLook w:firstColumn="1" w:firstRow="1" w:lastColumn="0" w:lastRow="0" w:noHBand="0" w:noVBand="1" w:val="04A0"/>
      </w:tblPr>
      <w:tblGrid>
        <w:gridCol w:w="1984"/>
        <w:gridCol w:w="1984"/>
        <w:gridCol w:w="1984"/>
        <w:gridCol w:w="1984"/>
      </w:tblGrid>
      <w:tr>
        <w:tc>
          <w:tcPr>
            <w:tcW w:type="dxa" w:w="567"/>
            <w:shd w:fill="E8EEF5"/>
          </w:tcPr>
          <w:p>
            <w:pPr>
              <w:spacing w:line="252" w:lineRule="auto" w:before="40" w:after="40"/>
              <w:jc w:val="center"/>
            </w:pPr>
            <w:r>
              <w:rPr>
                <w:rFonts w:ascii="Times New Roman" w:hAnsi="Times New Roman"/>
                <w:b/>
                <w:i w:val="0"/>
                <w:sz w:val="18"/>
              </w:rPr>
              <w:t>Tahap</w:t>
            </w:r>
          </w:p>
        </w:tc>
        <w:tc>
          <w:tcPr>
            <w:tcW w:type="dxa" w:w="1928"/>
            <w:shd w:fill="E8EEF5"/>
          </w:tcPr>
          <w:p>
            <w:pPr>
              <w:spacing w:line="252" w:lineRule="auto" w:before="40" w:after="40"/>
              <w:jc w:val="both"/>
            </w:pPr>
            <w:r>
              <w:rPr>
                <w:rFonts w:ascii="Times New Roman" w:hAnsi="Times New Roman"/>
                <w:b/>
                <w:i w:val="0"/>
                <w:sz w:val="18"/>
              </w:rPr>
              <w:t>Aktivitas Metodologis</w:t>
            </w:r>
          </w:p>
        </w:tc>
        <w:tc>
          <w:tcPr>
            <w:tcW w:type="dxa" w:w="2551"/>
            <w:shd w:fill="E8EEF5"/>
          </w:tcPr>
          <w:p>
            <w:pPr>
              <w:spacing w:line="252" w:lineRule="auto" w:before="40" w:after="40"/>
              <w:jc w:val="both"/>
            </w:pPr>
            <w:r>
              <w:rPr>
                <w:rFonts w:ascii="Times New Roman" w:hAnsi="Times New Roman"/>
                <w:b/>
                <w:i w:val="0"/>
                <w:sz w:val="18"/>
              </w:rPr>
              <w:t>Keluaran (Output)</w:t>
            </w:r>
          </w:p>
        </w:tc>
        <w:tc>
          <w:tcPr>
            <w:tcW w:type="dxa" w:w="2438"/>
            <w:shd w:fill="E8EEF5"/>
          </w:tcPr>
          <w:p>
            <w:pPr>
              <w:spacing w:line="252" w:lineRule="auto" w:before="40" w:after="40"/>
              <w:jc w:val="both"/>
            </w:pPr>
            <w:r>
              <w:rPr>
                <w:rFonts w:ascii="Times New Roman" w:hAnsi="Times New Roman"/>
                <w:b/>
                <w:i w:val="0"/>
                <w:sz w:val="18"/>
              </w:rPr>
              <w:t>Instrumen / Modul</w:t>
            </w:r>
          </w:p>
        </w:tc>
      </w:tr>
      <w:tr>
        <w:tc>
          <w:tcPr>
            <w:tcW w:type="dxa" w:w="567"/>
          </w:tcPr>
          <w:p>
            <w:pPr>
              <w:spacing w:line="252" w:lineRule="auto" w:before="40" w:after="40"/>
              <w:jc w:val="center"/>
            </w:pPr>
            <w:r>
              <w:rPr>
                <w:rFonts w:ascii="Times New Roman" w:hAnsi="Times New Roman"/>
                <w:b w:val="0"/>
                <w:i w:val="0"/>
                <w:sz w:val="18"/>
              </w:rPr>
              <w:t>1</w:t>
            </w:r>
          </w:p>
        </w:tc>
        <w:tc>
          <w:tcPr>
            <w:tcW w:type="dxa" w:w="1928"/>
          </w:tcPr>
          <w:p>
            <w:pPr>
              <w:spacing w:line="252" w:lineRule="auto" w:before="40" w:after="40"/>
              <w:jc w:val="both"/>
            </w:pPr>
            <w:r>
              <w:rPr>
                <w:rFonts w:ascii="Times New Roman" w:hAnsi="Times New Roman"/>
                <w:b w:val="0"/>
                <w:i w:val="0"/>
                <w:sz w:val="18"/>
              </w:rPr>
              <w:t>Pengumpulan Data Historis</w:t>
            </w:r>
          </w:p>
        </w:tc>
        <w:tc>
          <w:tcPr>
            <w:tcW w:type="dxa" w:w="2551"/>
          </w:tcPr>
          <w:p>
            <w:pPr>
              <w:spacing w:line="252" w:lineRule="auto" w:before="40" w:after="40"/>
              <w:jc w:val="both"/>
            </w:pPr>
            <w:r>
              <w:rPr>
                <w:rFonts w:ascii="Times New Roman" w:hAnsi="Times New Roman"/>
                <w:b w:val="0"/>
                <w:i w:val="0"/>
                <w:sz w:val="18"/>
              </w:rPr>
              <w:t>Dataset mentah BTC/USDT OHLCV (2.192 baris)</w:t>
            </w:r>
          </w:p>
        </w:tc>
        <w:tc>
          <w:tcPr>
            <w:tcW w:type="dxa" w:w="2438"/>
          </w:tcPr>
          <w:p>
            <w:pPr>
              <w:spacing w:line="252" w:lineRule="auto" w:before="40" w:after="40"/>
              <w:jc w:val="both"/>
            </w:pPr>
            <w:r>
              <w:rPr>
                <w:rFonts w:ascii="Times New Roman" w:hAnsi="Times New Roman"/>
                <w:b w:val="0"/>
                <w:i w:val="0"/>
                <w:sz w:val="18"/>
              </w:rPr>
              <w:t>Binance Public REST API, Requests</w:t>
            </w:r>
          </w:p>
        </w:tc>
      </w:tr>
      <w:tr>
        <w:tc>
          <w:tcPr>
            <w:tcW w:type="dxa" w:w="567"/>
          </w:tcPr>
          <w:p>
            <w:pPr>
              <w:spacing w:line="252" w:lineRule="auto" w:before="40" w:after="40"/>
              <w:jc w:val="center"/>
            </w:pPr>
            <w:r>
              <w:rPr>
                <w:rFonts w:ascii="Times New Roman" w:hAnsi="Times New Roman"/>
                <w:b w:val="0"/>
                <w:i w:val="0"/>
                <w:sz w:val="18"/>
              </w:rPr>
              <w:t>2</w:t>
            </w:r>
          </w:p>
        </w:tc>
        <w:tc>
          <w:tcPr>
            <w:tcW w:type="dxa" w:w="1928"/>
          </w:tcPr>
          <w:p>
            <w:pPr>
              <w:spacing w:line="252" w:lineRule="auto" w:before="40" w:after="40"/>
              <w:jc w:val="both"/>
            </w:pPr>
            <w:r>
              <w:rPr>
                <w:rFonts w:ascii="Times New Roman" w:hAnsi="Times New Roman"/>
                <w:b w:val="0"/>
                <w:i w:val="0"/>
                <w:sz w:val="18"/>
              </w:rPr>
              <w:t>Audit &amp; Prapemrosesan</w:t>
            </w:r>
          </w:p>
        </w:tc>
        <w:tc>
          <w:tcPr>
            <w:tcW w:type="dxa" w:w="2551"/>
          </w:tcPr>
          <w:p>
            <w:pPr>
              <w:spacing w:line="252" w:lineRule="auto" w:before="40" w:after="40"/>
              <w:jc w:val="both"/>
            </w:pPr>
            <w:r>
              <w:rPr>
                <w:rFonts w:ascii="Times New Roman" w:hAnsi="Times New Roman"/>
                <w:b w:val="0"/>
                <w:i w:val="0"/>
                <w:sz w:val="18"/>
              </w:rPr>
              <w:t>Data bersih ternormalisasi [0, 1] &amp; tensor sekuen</w:t>
            </w:r>
          </w:p>
        </w:tc>
        <w:tc>
          <w:tcPr>
            <w:tcW w:type="dxa" w:w="2438"/>
          </w:tcPr>
          <w:p>
            <w:pPr>
              <w:spacing w:line="252" w:lineRule="auto" w:before="40" w:after="40"/>
              <w:jc w:val="both"/>
            </w:pPr>
            <w:r>
              <w:rPr>
                <w:rFonts w:ascii="Times New Roman" w:hAnsi="Times New Roman"/>
                <w:b w:val="0"/>
                <w:i w:val="0"/>
                <w:sz w:val="18"/>
              </w:rPr>
              <w:t>Pandas, NumPy, Scikit-learn</w:t>
            </w:r>
          </w:p>
        </w:tc>
      </w:tr>
      <w:tr>
        <w:tc>
          <w:tcPr>
            <w:tcW w:type="dxa" w:w="567"/>
          </w:tcPr>
          <w:p>
            <w:pPr>
              <w:spacing w:line="252" w:lineRule="auto" w:before="40" w:after="40"/>
              <w:jc w:val="center"/>
            </w:pPr>
            <w:r>
              <w:rPr>
                <w:rFonts w:ascii="Times New Roman" w:hAnsi="Times New Roman"/>
                <w:b w:val="0"/>
                <w:i w:val="0"/>
                <w:sz w:val="18"/>
              </w:rPr>
              <w:t>3</w:t>
            </w:r>
          </w:p>
        </w:tc>
        <w:tc>
          <w:tcPr>
            <w:tcW w:type="dxa" w:w="1928"/>
          </w:tcPr>
          <w:p>
            <w:pPr>
              <w:spacing w:line="252" w:lineRule="auto" w:before="40" w:after="40"/>
              <w:jc w:val="both"/>
            </w:pPr>
            <w:r>
              <w:rPr>
                <w:rFonts w:ascii="Times New Roman" w:hAnsi="Times New Roman"/>
                <w:b w:val="0"/>
                <w:i w:val="0"/>
                <w:sz w:val="18"/>
              </w:rPr>
              <w:t>Partisi Data Bebas Bocor</w:t>
            </w:r>
          </w:p>
        </w:tc>
        <w:tc>
          <w:tcPr>
            <w:tcW w:type="dxa" w:w="2551"/>
          </w:tcPr>
          <w:p>
            <w:pPr>
              <w:spacing w:line="252" w:lineRule="auto" w:before="40" w:after="40"/>
              <w:jc w:val="both"/>
            </w:pPr>
            <w:r>
              <w:rPr>
                <w:rFonts w:ascii="Times New Roman" w:hAnsi="Times New Roman"/>
                <w:b w:val="0"/>
                <w:i w:val="0"/>
                <w:sz w:val="18"/>
              </w:rPr>
              <w:t>Segmen In-Sample (80%) dan Out-of-Sample (20%)</w:t>
            </w:r>
          </w:p>
        </w:tc>
        <w:tc>
          <w:tcPr>
            <w:tcW w:type="dxa" w:w="2438"/>
          </w:tcPr>
          <w:p>
            <w:pPr>
              <w:spacing w:line="252" w:lineRule="auto" w:before="40" w:after="40"/>
              <w:jc w:val="both"/>
            </w:pPr>
            <w:r>
              <w:rPr>
                <w:rFonts w:ascii="Times New Roman" w:hAnsi="Times New Roman"/>
                <w:b w:val="0"/>
                <w:i w:val="0"/>
                <w:sz w:val="18"/>
              </w:rPr>
              <w:t>Python, Pandas, Slicing temporal</w:t>
            </w:r>
          </w:p>
        </w:tc>
      </w:tr>
      <w:tr>
        <w:tc>
          <w:tcPr>
            <w:tcW w:type="dxa" w:w="567"/>
          </w:tcPr>
          <w:p>
            <w:pPr>
              <w:spacing w:line="252" w:lineRule="auto" w:before="40" w:after="40"/>
              <w:jc w:val="center"/>
            </w:pPr>
            <w:r>
              <w:rPr>
                <w:rFonts w:ascii="Times New Roman" w:hAnsi="Times New Roman"/>
                <w:b w:val="0"/>
                <w:i w:val="0"/>
                <w:sz w:val="18"/>
              </w:rPr>
              <w:t>4</w:t>
            </w:r>
          </w:p>
        </w:tc>
        <w:tc>
          <w:tcPr>
            <w:tcW w:type="dxa" w:w="1928"/>
          </w:tcPr>
          <w:p>
            <w:pPr>
              <w:spacing w:line="252" w:lineRule="auto" w:before="40" w:after="40"/>
              <w:jc w:val="both"/>
            </w:pPr>
            <w:r>
              <w:rPr>
                <w:rFonts w:ascii="Times New Roman" w:hAnsi="Times New Roman"/>
                <w:b w:val="0"/>
                <w:i w:val="0"/>
                <w:sz w:val="18"/>
              </w:rPr>
              <w:t>Optimasi Hyperparameter</w:t>
            </w:r>
          </w:p>
        </w:tc>
        <w:tc>
          <w:tcPr>
            <w:tcW w:type="dxa" w:w="2551"/>
          </w:tcPr>
          <w:p>
            <w:pPr>
              <w:spacing w:line="252" w:lineRule="auto" w:before="40" w:after="40"/>
              <w:jc w:val="both"/>
            </w:pPr>
            <w:r>
              <w:rPr>
                <w:rFonts w:ascii="Times New Roman" w:hAnsi="Times New Roman"/>
                <w:b w:val="0"/>
                <w:i w:val="0"/>
                <w:sz w:val="18"/>
              </w:rPr>
              <w:t>Konfigurasi optimal hasil 50 trials &amp; 5-fold CV</w:t>
            </w:r>
          </w:p>
        </w:tc>
        <w:tc>
          <w:tcPr>
            <w:tcW w:type="dxa" w:w="2438"/>
          </w:tcPr>
          <w:p>
            <w:pPr>
              <w:spacing w:line="252" w:lineRule="auto" w:before="40" w:after="40"/>
              <w:jc w:val="both"/>
            </w:pPr>
            <w:r>
              <w:rPr>
                <w:rFonts w:ascii="Times New Roman" w:hAnsi="Times New Roman"/>
                <w:b w:val="0"/>
                <w:i w:val="0"/>
                <w:sz w:val="18"/>
              </w:rPr>
              <w:t>Optuna, TPE Sampler, MedianPruner</w:t>
            </w:r>
          </w:p>
        </w:tc>
      </w:tr>
      <w:tr>
        <w:tc>
          <w:tcPr>
            <w:tcW w:type="dxa" w:w="567"/>
          </w:tcPr>
          <w:p>
            <w:pPr>
              <w:spacing w:line="252" w:lineRule="auto" w:before="40" w:after="40"/>
              <w:jc w:val="center"/>
            </w:pPr>
            <w:r>
              <w:rPr>
                <w:rFonts w:ascii="Times New Roman" w:hAnsi="Times New Roman"/>
                <w:b w:val="0"/>
                <w:i w:val="0"/>
                <w:sz w:val="18"/>
              </w:rPr>
              <w:t>5</w:t>
            </w:r>
          </w:p>
        </w:tc>
        <w:tc>
          <w:tcPr>
            <w:tcW w:type="dxa" w:w="1928"/>
          </w:tcPr>
          <w:p>
            <w:pPr>
              <w:spacing w:line="252" w:lineRule="auto" w:before="40" w:after="40"/>
              <w:jc w:val="both"/>
            </w:pPr>
            <w:r>
              <w:rPr>
                <w:rFonts w:ascii="Times New Roman" w:hAnsi="Times New Roman"/>
                <w:b w:val="0"/>
                <w:i w:val="0"/>
                <w:sz w:val="18"/>
              </w:rPr>
              <w:t>Pelatihan Model Terpilih</w:t>
            </w:r>
          </w:p>
        </w:tc>
        <w:tc>
          <w:tcPr>
            <w:tcW w:type="dxa" w:w="2551"/>
          </w:tcPr>
          <w:p>
            <w:pPr>
              <w:spacing w:line="252" w:lineRule="auto" w:before="40" w:after="40"/>
              <w:jc w:val="both"/>
            </w:pPr>
            <w:r>
              <w:rPr>
                <w:rFonts w:ascii="Times New Roman" w:hAnsi="Times New Roman"/>
                <w:b w:val="0"/>
                <w:i w:val="0"/>
                <w:sz w:val="18"/>
              </w:rPr>
              <w:t>Bobot arsitektur model LSTM terlatih final</w:t>
            </w:r>
          </w:p>
        </w:tc>
        <w:tc>
          <w:tcPr>
            <w:tcW w:type="dxa" w:w="2438"/>
          </w:tcPr>
          <w:p>
            <w:pPr>
              <w:spacing w:line="252" w:lineRule="auto" w:before="40" w:after="40"/>
              <w:jc w:val="both"/>
            </w:pPr>
            <w:r>
              <w:rPr>
                <w:rFonts w:ascii="Times New Roman" w:hAnsi="Times New Roman"/>
                <w:b w:val="0"/>
                <w:i w:val="0"/>
                <w:sz w:val="18"/>
              </w:rPr>
              <w:t>TensorFlow/Keras, EarlyStopping</w:t>
            </w:r>
          </w:p>
        </w:tc>
      </w:tr>
      <w:tr>
        <w:tc>
          <w:tcPr>
            <w:tcW w:type="dxa" w:w="567"/>
          </w:tcPr>
          <w:p>
            <w:pPr>
              <w:spacing w:line="252" w:lineRule="auto" w:before="40" w:after="40"/>
              <w:jc w:val="center"/>
            </w:pPr>
            <w:r>
              <w:rPr>
                <w:rFonts w:ascii="Times New Roman" w:hAnsi="Times New Roman"/>
                <w:b w:val="0"/>
                <w:i w:val="0"/>
                <w:sz w:val="18"/>
              </w:rPr>
              <w:t>6</w:t>
            </w:r>
          </w:p>
        </w:tc>
        <w:tc>
          <w:tcPr>
            <w:tcW w:type="dxa" w:w="1928"/>
          </w:tcPr>
          <w:p>
            <w:pPr>
              <w:spacing w:line="252" w:lineRule="auto" w:before="40" w:after="40"/>
              <w:jc w:val="both"/>
            </w:pPr>
            <w:r>
              <w:rPr>
                <w:rFonts w:ascii="Times New Roman" w:hAnsi="Times New Roman"/>
                <w:b w:val="0"/>
                <w:i w:val="0"/>
                <w:sz w:val="18"/>
              </w:rPr>
              <w:t>Evaluasi Out-of-Sample</w:t>
            </w:r>
          </w:p>
        </w:tc>
        <w:tc>
          <w:tcPr>
            <w:tcW w:type="dxa" w:w="2551"/>
          </w:tcPr>
          <w:p>
            <w:pPr>
              <w:spacing w:line="252" w:lineRule="auto" w:before="40" w:after="40"/>
              <w:jc w:val="both"/>
            </w:pPr>
            <w:r>
              <w:rPr>
                <w:rFonts w:ascii="Times New Roman" w:hAnsi="Times New Roman"/>
                <w:b w:val="0"/>
                <w:i w:val="0"/>
                <w:sz w:val="18"/>
              </w:rPr>
              <w:t>Nilai metrik RMSE, MAE, dan MAPE per tingkatan</w:t>
            </w:r>
          </w:p>
        </w:tc>
        <w:tc>
          <w:tcPr>
            <w:tcW w:type="dxa" w:w="2438"/>
          </w:tcPr>
          <w:p>
            <w:pPr>
              <w:spacing w:line="252" w:lineRule="auto" w:before="40" w:after="40"/>
              <w:jc w:val="both"/>
            </w:pPr>
            <w:r>
              <w:rPr>
                <w:rFonts w:ascii="Times New Roman" w:hAnsi="Times New Roman"/>
                <w:b w:val="0"/>
                <w:i w:val="0"/>
                <w:sz w:val="18"/>
              </w:rPr>
              <w:t>Scikit-learn, NumPy, Matplotlib</w:t>
            </w:r>
          </w:p>
        </w:tc>
      </w:tr>
      <w:tr>
        <w:tc>
          <w:tcPr>
            <w:tcW w:type="dxa" w:w="567"/>
          </w:tcPr>
          <w:p>
            <w:pPr>
              <w:spacing w:line="252" w:lineRule="auto" w:before="40" w:after="40"/>
              <w:jc w:val="center"/>
            </w:pPr>
            <w:r>
              <w:rPr>
                <w:rFonts w:ascii="Times New Roman" w:hAnsi="Times New Roman"/>
                <w:b w:val="0"/>
                <w:i w:val="0"/>
                <w:sz w:val="18"/>
              </w:rPr>
              <w:t>7</w:t>
            </w:r>
          </w:p>
        </w:tc>
        <w:tc>
          <w:tcPr>
            <w:tcW w:type="dxa" w:w="1928"/>
          </w:tcPr>
          <w:p>
            <w:pPr>
              <w:spacing w:line="252" w:lineRule="auto" w:before="40" w:after="40"/>
              <w:jc w:val="both"/>
            </w:pPr>
            <w:r>
              <w:rPr>
                <w:rFonts w:ascii="Times New Roman" w:hAnsi="Times New Roman"/>
                <w:b w:val="0"/>
                <w:i w:val="0"/>
                <w:sz w:val="18"/>
              </w:rPr>
              <w:t>Analisis Komparatif</w:t>
            </w:r>
          </w:p>
        </w:tc>
        <w:tc>
          <w:tcPr>
            <w:tcW w:type="dxa" w:w="2551"/>
          </w:tcPr>
          <w:p>
            <w:pPr>
              <w:spacing w:line="252" w:lineRule="auto" w:before="40" w:after="40"/>
              <w:jc w:val="both"/>
            </w:pPr>
            <w:r>
              <w:rPr>
                <w:rFonts w:ascii="Times New Roman" w:hAnsi="Times New Roman"/>
                <w:b w:val="0"/>
                <w:i w:val="0"/>
                <w:sz w:val="18"/>
              </w:rPr>
              <w:t>Tabel benchmark 3-Tier &amp; persentase perbaikan</w:t>
            </w:r>
          </w:p>
        </w:tc>
        <w:tc>
          <w:tcPr>
            <w:tcW w:type="dxa" w:w="2438"/>
          </w:tcPr>
          <w:p>
            <w:pPr>
              <w:spacing w:line="252" w:lineRule="auto" w:before="40" w:after="40"/>
              <w:jc w:val="both"/>
            </w:pPr>
            <w:r>
              <w:rPr>
                <w:rFonts w:ascii="Times New Roman" w:hAnsi="Times New Roman"/>
                <w:b w:val="0"/>
                <w:i w:val="0"/>
                <w:sz w:val="18"/>
              </w:rPr>
              <w:t>Python, Formulasi Matematis Galat</w:t>
            </w:r>
          </w:p>
        </w:tc>
      </w:tr>
    </w:tbl>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