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sz w:val="28"/>
        </w:rPr>
        <w:t>BAB IV</w:t>
        <w:br/>
        <w:t>HASIL PENELITIAN DAN PEMBAHASAN</w:t>
      </w:r>
    </w:p>
    <w:p>
      <w:pPr>
        <w:spacing w:after="240"/>
      </w:pPr>
    </w:p>
    <w:p>
      <w:pPr>
        <w:spacing w:before="280" w:after="120" w:line="360" w:lineRule="auto"/>
      </w:pPr>
      <w:r>
        <w:rPr>
          <w:rFonts w:ascii="Times New Roman" w:hAnsi="Times New Roman"/>
          <w:b/>
          <w:i w:val="0"/>
          <w:sz w:val="24"/>
        </w:rPr>
        <w:t>A. Hasil Penelitian</w:t>
      </w:r>
    </w:p>
    <w:p>
      <w:pPr>
        <w:spacing w:line="360" w:lineRule="auto" w:after="120"/>
        <w:ind w:firstLine="567"/>
        <w:jc w:val="both"/>
      </w:pPr>
      <w:r>
        <w:rPr>
          <w:rFonts w:ascii="Times New Roman" w:hAnsi="Times New Roman"/>
          <w:b w:val="0"/>
          <w:i w:val="0"/>
          <w:sz w:val="24"/>
        </w:rPr>
        <w:t>Bagian hasil penelitian ini menyajikan seluruh temuan numerik yang diperoleh dari eksekusi pipeline eksperimen komputasi peramalan harga Bitcoin menggunakan arsitektur Long Short-Term Memory (LSTM). Pelaksanaan pengujian dirancang secara bertahap untuk menjawab rumusan masalah dan hipotesis yang telah ditetapkan pada bab-bab sebelumnya melalui bukti empiris kuantitatif yang terverifikasi. Tahapan pemaparan hasil disusun secara sistematis, mencakup audit kualitas data historis BTC/USDT dari Binance API, implementasi normalisasi Min-Max bebas kebocoran, pelatihan model Tier 1 (baseline default) dan Tier 2 (manual tuning Khumaidi dkk.), hingga optimasi otomatis Tier 3 menggunakan algoritma Optuna-TPE (Akiba et al., 2019; Creswell &amp; Creswell, 2018). Seluruh model dievaluasi pada data uji out-of-sample yang identik untuk menjamin keabsahan dan keadilan komparasi kinerja peramalan (Bouthillier et al., 2020).</w:t>
      </w:r>
    </w:p>
    <w:p>
      <w:pPr>
        <w:spacing w:before="200" w:after="80" w:line="360" w:lineRule="auto"/>
      </w:pPr>
      <w:r>
        <w:rPr>
          <w:rFonts w:ascii="Times New Roman" w:hAnsi="Times New Roman"/>
          <w:b/>
          <w:i w:val="0"/>
          <w:sz w:val="24"/>
        </w:rPr>
        <w:t>1. Karakteristik Dataset dan Hasil Audit Kualitas Data</w:t>
      </w:r>
    </w:p>
    <w:p>
      <w:pPr>
        <w:spacing w:line="360" w:lineRule="auto" w:after="120"/>
        <w:ind w:firstLine="567"/>
        <w:jc w:val="both"/>
      </w:pPr>
      <w:r>
        <w:rPr>
          <w:rFonts w:ascii="Times New Roman" w:hAnsi="Times New Roman"/>
          <w:b w:val="0"/>
          <w:i w:val="0"/>
          <w:sz w:val="24"/>
        </w:rPr>
        <w:t xml:space="preserve">Data primer yang digunakan dalam penelitian ini berupa runtutan candlestick harian (daily OHLCV) pasangan perdagangan BTC/USDT yang diekstraksi secara terprogram melalui Binance Public REST API. Dataset mencakup rentang waktu pengamatan selama enam tahun penuh, terhitung mulai tanggal 1 Januari 2020 hingga 31 Desember 2025, dengan total volume observasi mencapai 2.192 catatan harian berurutan. Prosedur audit integritas temporal mengonfirmasi ketiadaan nilai hilang (missing values), nilai tak terhingga, maupun celah tanggal pencatatan sepanjang periode tersebut, serta memastikan seluruh relasi geometris harga candlestick terpenuhi di mana harga High </w:t>
      </w:r>
      <m:oMath>
        <m:r>
          <m:t>≥</m:t>
        </m:r>
      </m:oMath>
      <w:r>
        <w:rPr>
          <w:rFonts w:ascii="Times New Roman" w:hAnsi="Times New Roman"/>
          <w:b w:val="0"/>
          <w:i w:val="0"/>
          <w:sz w:val="24"/>
        </w:rPr>
        <w:t xml:space="preserve"> Open, Close dan Low </w:t>
      </w:r>
      <m:oMath>
        <m:r>
          <m:t>≤</m:t>
        </m:r>
      </m:oMath>
      <w:r>
        <w:rPr>
          <w:rFonts w:ascii="Times New Roman" w:hAnsi="Times New Roman"/>
          <w:b w:val="0"/>
          <w:i w:val="0"/>
          <w:sz w:val="24"/>
        </w:rPr>
        <w:t xml:space="preserve"> Open, Close (Binance Developer API, 2024; Hyndman &amp; Athanasopoulos, 2018). Ringkasan parameter statistik deskriptif harga penutupan Bitcoin disajikan pada Tabel 4.1 berikut (Gu et al., 2020).</w:t>
      </w:r>
    </w:p>
    <w:p>
      <w:pPr>
        <w:spacing w:before="200" w:after="60" w:line="240" w:lineRule="auto"/>
        <w:jc w:val="center"/>
      </w:pPr>
      <w:r>
        <w:rPr>
          <w:rFonts w:ascii="Times New Roman" w:hAnsi="Times New Roman"/>
          <w:b/>
          <w:i w:val="0"/>
          <w:sz w:val="22"/>
        </w:rPr>
        <w:t>Tabel 4.1 Statistik Deskriptif Data Historis Harga Bitcoin (BTC/USDT)</w:t>
      </w:r>
    </w:p>
    <w:tbl>
      <w:tblPr>
        <w:tblW w:type="auto" w:w="0"/>
        <w:jc w:val="center"/>
        <w:tblLook w:firstColumn="1" w:firstRow="1" w:lastColumn="0" w:lastRow="0" w:noHBand="0" w:noVBand="1" w:val="04A0"/>
      </w:tblPr>
      <w:tblGrid>
        <w:gridCol w:w="1984"/>
        <w:gridCol w:w="1984"/>
        <w:gridCol w:w="1984"/>
        <w:gridCol w:w="1984"/>
      </w:tblGrid>
      <w:tr>
        <w:tc>
          <w:tcPr>
            <w:tcW w:type="dxa" w:w="454"/>
            <w:shd w:fill="E8EEF5"/>
          </w:tcPr>
          <w:p>
            <w:pPr>
              <w:spacing w:line="252" w:lineRule="auto" w:before="40" w:after="40"/>
              <w:jc w:val="center"/>
            </w:pPr>
            <w:r>
              <w:rPr>
                <w:rFonts w:ascii="Times New Roman" w:hAnsi="Times New Roman"/>
                <w:b/>
                <w:i w:val="0"/>
                <w:sz w:val="18"/>
              </w:rPr>
              <w:t>No</w:t>
            </w:r>
          </w:p>
        </w:tc>
        <w:tc>
          <w:tcPr>
            <w:tcW w:type="dxa" w:w="2948"/>
            <w:shd w:fill="E8EEF5"/>
          </w:tcPr>
          <w:p>
            <w:pPr>
              <w:spacing w:line="252" w:lineRule="auto" w:before="40" w:after="40"/>
              <w:jc w:val="both"/>
            </w:pPr>
            <w:r>
              <w:rPr>
                <w:rFonts w:ascii="Times New Roman" w:hAnsi="Times New Roman"/>
                <w:b/>
                <w:i w:val="0"/>
                <w:sz w:val="18"/>
              </w:rPr>
              <w:t>Parameter Statistik Deskriptif</w:t>
            </w:r>
          </w:p>
        </w:tc>
        <w:tc>
          <w:tcPr>
            <w:tcW w:type="dxa" w:w="2154"/>
            <w:shd w:fill="E8EEF5"/>
          </w:tcPr>
          <w:p>
            <w:pPr>
              <w:spacing w:line="252" w:lineRule="auto" w:before="40" w:after="40"/>
              <w:jc w:val="both"/>
            </w:pPr>
            <w:r>
              <w:rPr>
                <w:rFonts w:ascii="Times New Roman" w:hAnsi="Times New Roman"/>
                <w:b/>
                <w:i w:val="0"/>
                <w:sz w:val="18"/>
              </w:rPr>
              <w:t>Nilai Numerik (USD)</w:t>
            </w:r>
          </w:p>
        </w:tc>
        <w:tc>
          <w:tcPr>
            <w:tcW w:type="dxa" w:w="2948"/>
            <w:shd w:fill="E8EEF5"/>
          </w:tcPr>
          <w:p>
            <w:pPr>
              <w:spacing w:line="252" w:lineRule="auto" w:before="40" w:after="40"/>
              <w:jc w:val="both"/>
            </w:pPr>
            <w:r>
              <w:rPr>
                <w:rFonts w:ascii="Times New Roman" w:hAnsi="Times New Roman"/>
                <w:b/>
                <w:i w:val="0"/>
                <w:sz w:val="18"/>
              </w:rPr>
              <w:t>Keterangan Observasi</w:t>
            </w:r>
          </w:p>
        </w:tc>
      </w:tr>
      <w:tr>
        <w:tc>
          <w:tcPr>
            <w:tcW w:type="dxa" w:w="454"/>
          </w:tcPr>
          <w:p>
            <w:pPr>
              <w:spacing w:line="252" w:lineRule="auto" w:before="40" w:after="40"/>
              <w:jc w:val="center"/>
            </w:pPr>
            <w:r>
              <w:rPr>
                <w:rFonts w:ascii="Times New Roman" w:hAnsi="Times New Roman"/>
                <w:b w:val="0"/>
                <w:i w:val="0"/>
                <w:sz w:val="18"/>
              </w:rPr>
              <w:t>1</w:t>
            </w:r>
          </w:p>
        </w:tc>
        <w:tc>
          <w:tcPr>
            <w:tcW w:type="dxa" w:w="2948"/>
          </w:tcPr>
          <w:p>
            <w:pPr>
              <w:spacing w:line="252" w:lineRule="auto" w:before="40" w:after="40"/>
              <w:jc w:val="both"/>
            </w:pPr>
            <w:r>
              <w:rPr>
                <w:rFonts w:ascii="Times New Roman" w:hAnsi="Times New Roman"/>
                <w:b w:val="0"/>
                <w:i w:val="0"/>
                <w:sz w:val="18"/>
              </w:rPr>
              <w:t>Total Observasi Harian</w:t>
            </w:r>
          </w:p>
        </w:tc>
        <w:tc>
          <w:tcPr>
            <w:tcW w:type="dxa" w:w="2154"/>
          </w:tcPr>
          <w:p>
            <w:pPr>
              <w:spacing w:line="252" w:lineRule="auto" w:before="40" w:after="40"/>
              <w:jc w:val="both"/>
            </w:pPr>
            <w:r>
              <w:rPr>
                <w:rFonts w:ascii="Times New Roman" w:hAnsi="Times New Roman"/>
                <w:b w:val="0"/>
                <w:i w:val="0"/>
                <w:sz w:val="18"/>
              </w:rPr>
              <w:t>2.192 Hari</w:t>
            </w:r>
          </w:p>
        </w:tc>
        <w:tc>
          <w:tcPr>
            <w:tcW w:type="dxa" w:w="2948"/>
          </w:tcPr>
          <w:p>
            <w:pPr>
              <w:spacing w:line="252" w:lineRule="auto" w:before="40" w:after="40"/>
              <w:jc w:val="both"/>
            </w:pPr>
            <w:r>
              <w:rPr>
                <w:rFonts w:ascii="Times New Roman" w:hAnsi="Times New Roman"/>
                <w:b w:val="0"/>
                <w:i w:val="0"/>
                <w:sz w:val="18"/>
              </w:rPr>
              <w:t>Periode 1 Januari 2020 s.d. 31 Desember 2025</w:t>
            </w:r>
          </w:p>
        </w:tc>
      </w:tr>
      <w:tr>
        <w:tc>
          <w:tcPr>
            <w:tcW w:type="dxa" w:w="454"/>
          </w:tcPr>
          <w:p>
            <w:pPr>
              <w:spacing w:line="252" w:lineRule="auto" w:before="40" w:after="40"/>
              <w:jc w:val="center"/>
            </w:pPr>
            <w:r>
              <w:rPr>
                <w:rFonts w:ascii="Times New Roman" w:hAnsi="Times New Roman"/>
                <w:b w:val="0"/>
                <w:i w:val="0"/>
                <w:sz w:val="18"/>
              </w:rPr>
              <w:t>2</w:t>
            </w:r>
          </w:p>
        </w:tc>
        <w:tc>
          <w:tcPr>
            <w:tcW w:type="dxa" w:w="2948"/>
          </w:tcPr>
          <w:p>
            <w:pPr>
              <w:spacing w:line="252" w:lineRule="auto" w:before="40" w:after="40"/>
              <w:jc w:val="both"/>
            </w:pPr>
            <w:r>
              <w:rPr>
                <w:rFonts w:ascii="Times New Roman" w:hAnsi="Times New Roman"/>
                <w:b w:val="0"/>
                <w:i w:val="0"/>
                <w:sz w:val="18"/>
              </w:rPr>
              <w:t>Harga Penutupan Minimum</w:t>
            </w:r>
          </w:p>
        </w:tc>
        <w:tc>
          <w:tcPr>
            <w:tcW w:type="dxa" w:w="2154"/>
          </w:tcPr>
          <w:p>
            <w:pPr>
              <w:spacing w:line="252" w:lineRule="auto" w:before="40" w:after="40"/>
              <w:jc w:val="right"/>
            </w:pPr>
            <w:r>
              <w:rPr>
                <w:rFonts w:ascii="Times New Roman" w:hAnsi="Times New Roman"/>
                <w:b w:val="0"/>
                <w:i w:val="0"/>
                <w:sz w:val="18"/>
              </w:rPr>
              <w:t>USD 4.800,00</w:t>
            </w:r>
          </w:p>
        </w:tc>
        <w:tc>
          <w:tcPr>
            <w:tcW w:type="dxa" w:w="2948"/>
          </w:tcPr>
          <w:p>
            <w:pPr>
              <w:spacing w:line="252" w:lineRule="auto" w:before="40" w:after="40"/>
              <w:jc w:val="both"/>
            </w:pPr>
            <w:r>
              <w:rPr>
                <w:rFonts w:ascii="Times New Roman" w:hAnsi="Times New Roman"/>
                <w:b w:val="0"/>
                <w:i w:val="0"/>
                <w:sz w:val="18"/>
              </w:rPr>
              <w:t>Tercatat pada 12 Maret 2020 (Crash Pandemi)</w:t>
            </w:r>
          </w:p>
        </w:tc>
      </w:tr>
      <w:tr>
        <w:tc>
          <w:tcPr>
            <w:tcW w:type="dxa" w:w="454"/>
          </w:tcPr>
          <w:p>
            <w:pPr>
              <w:spacing w:line="252" w:lineRule="auto" w:before="40" w:after="40"/>
              <w:jc w:val="center"/>
            </w:pPr>
            <w:r>
              <w:rPr>
                <w:rFonts w:ascii="Times New Roman" w:hAnsi="Times New Roman"/>
                <w:b w:val="0"/>
                <w:i w:val="0"/>
                <w:sz w:val="18"/>
              </w:rPr>
              <w:t>3</w:t>
            </w:r>
          </w:p>
        </w:tc>
        <w:tc>
          <w:tcPr>
            <w:tcW w:type="dxa" w:w="2948"/>
          </w:tcPr>
          <w:p>
            <w:pPr>
              <w:spacing w:line="252" w:lineRule="auto" w:before="40" w:after="40"/>
              <w:jc w:val="both"/>
            </w:pPr>
            <w:r>
              <w:rPr>
                <w:rFonts w:ascii="Times New Roman" w:hAnsi="Times New Roman"/>
                <w:b w:val="0"/>
                <w:i w:val="0"/>
                <w:sz w:val="18"/>
              </w:rPr>
              <w:t>Harga Penutupan Maksimum</w:t>
            </w:r>
          </w:p>
        </w:tc>
        <w:tc>
          <w:tcPr>
            <w:tcW w:type="dxa" w:w="2154"/>
          </w:tcPr>
          <w:p>
            <w:pPr>
              <w:spacing w:line="252" w:lineRule="auto" w:before="40" w:after="40"/>
              <w:jc w:val="right"/>
            </w:pPr>
            <w:r>
              <w:rPr>
                <w:rFonts w:ascii="Times New Roman" w:hAnsi="Times New Roman"/>
                <w:b w:val="0"/>
                <w:i w:val="0"/>
                <w:sz w:val="18"/>
              </w:rPr>
              <w:t>USD 124.658,54</w:t>
            </w:r>
          </w:p>
        </w:tc>
        <w:tc>
          <w:tcPr>
            <w:tcW w:type="dxa" w:w="2948"/>
          </w:tcPr>
          <w:p>
            <w:pPr>
              <w:spacing w:line="252" w:lineRule="auto" w:before="40" w:after="40"/>
              <w:jc w:val="both"/>
            </w:pPr>
            <w:r>
              <w:rPr>
                <w:rFonts w:ascii="Times New Roman" w:hAnsi="Times New Roman"/>
                <w:b w:val="0"/>
                <w:i w:val="0"/>
                <w:sz w:val="18"/>
              </w:rPr>
              <w:t>Tercatat pada 6 Oktober 2025 (Puncak Siklus)</w:t>
            </w:r>
          </w:p>
        </w:tc>
      </w:tr>
      <w:tr>
        <w:tc>
          <w:tcPr>
            <w:tcW w:type="dxa" w:w="454"/>
          </w:tcPr>
          <w:p>
            <w:pPr>
              <w:spacing w:line="252" w:lineRule="auto" w:before="40" w:after="40"/>
              <w:jc w:val="center"/>
            </w:pPr>
            <w:r>
              <w:rPr>
                <w:rFonts w:ascii="Times New Roman" w:hAnsi="Times New Roman"/>
                <w:b w:val="0"/>
                <w:i w:val="0"/>
                <w:sz w:val="18"/>
              </w:rPr>
              <w:t>4</w:t>
            </w:r>
          </w:p>
        </w:tc>
        <w:tc>
          <w:tcPr>
            <w:tcW w:type="dxa" w:w="2948"/>
          </w:tcPr>
          <w:p>
            <w:pPr>
              <w:spacing w:line="252" w:lineRule="auto" w:before="40" w:after="40"/>
              <w:jc w:val="both"/>
            </w:pPr>
            <w:r>
              <w:rPr>
                <w:rFonts w:ascii="Times New Roman" w:hAnsi="Times New Roman"/>
                <w:b w:val="0"/>
                <w:i w:val="0"/>
                <w:sz w:val="18"/>
              </w:rPr>
              <w:t>Rata-rata Harga (Mean)</w:t>
            </w:r>
          </w:p>
        </w:tc>
        <w:tc>
          <w:tcPr>
            <w:tcW w:type="dxa" w:w="2154"/>
          </w:tcPr>
          <w:p>
            <w:pPr>
              <w:spacing w:line="252" w:lineRule="auto" w:before="40" w:after="40"/>
              <w:jc w:val="right"/>
            </w:pPr>
            <w:r>
              <w:rPr>
                <w:rFonts w:ascii="Times New Roman" w:hAnsi="Times New Roman"/>
                <w:b w:val="0"/>
                <w:i w:val="0"/>
                <w:sz w:val="18"/>
              </w:rPr>
              <w:t>USD 47.182,88</w:t>
            </w:r>
          </w:p>
        </w:tc>
        <w:tc>
          <w:tcPr>
            <w:tcW w:type="dxa" w:w="2948"/>
          </w:tcPr>
          <w:p>
            <w:pPr>
              <w:spacing w:line="252" w:lineRule="auto" w:before="40" w:after="40"/>
              <w:jc w:val="both"/>
            </w:pPr>
            <w:r>
              <w:rPr>
                <w:rFonts w:ascii="Times New Roman" w:hAnsi="Times New Roman"/>
                <w:b w:val="0"/>
                <w:i w:val="0"/>
                <w:sz w:val="18"/>
              </w:rPr>
              <w:t>Rerata aritmatika seluruh rentang pengamatan</w:t>
            </w:r>
          </w:p>
        </w:tc>
      </w:tr>
      <w:tr>
        <w:tc>
          <w:tcPr>
            <w:tcW w:type="dxa" w:w="454"/>
          </w:tcPr>
          <w:p>
            <w:pPr>
              <w:spacing w:line="252" w:lineRule="auto" w:before="40" w:after="40"/>
              <w:jc w:val="center"/>
            </w:pPr>
            <w:r>
              <w:rPr>
                <w:rFonts w:ascii="Times New Roman" w:hAnsi="Times New Roman"/>
                <w:b w:val="0"/>
                <w:i w:val="0"/>
                <w:sz w:val="18"/>
              </w:rPr>
              <w:t>5</w:t>
            </w:r>
          </w:p>
        </w:tc>
        <w:tc>
          <w:tcPr>
            <w:tcW w:type="dxa" w:w="2948"/>
          </w:tcPr>
          <w:p>
            <w:pPr>
              <w:spacing w:line="252" w:lineRule="auto" w:before="40" w:after="40"/>
              <w:jc w:val="both"/>
            </w:pPr>
            <w:r>
              <w:rPr>
                <w:rFonts w:ascii="Times New Roman" w:hAnsi="Times New Roman"/>
                <w:b w:val="0"/>
                <w:i w:val="0"/>
                <w:sz w:val="18"/>
              </w:rPr>
              <w:t>Nilai Tengah (Median)</w:t>
            </w:r>
          </w:p>
        </w:tc>
        <w:tc>
          <w:tcPr>
            <w:tcW w:type="dxa" w:w="2154"/>
          </w:tcPr>
          <w:p>
            <w:pPr>
              <w:spacing w:line="252" w:lineRule="auto" w:before="40" w:after="40"/>
              <w:jc w:val="right"/>
            </w:pPr>
            <w:r>
              <w:rPr>
                <w:rFonts w:ascii="Times New Roman" w:hAnsi="Times New Roman"/>
                <w:b w:val="0"/>
                <w:i w:val="0"/>
                <w:sz w:val="18"/>
              </w:rPr>
              <w:t>USD 39.732,62</w:t>
            </w:r>
          </w:p>
        </w:tc>
        <w:tc>
          <w:tcPr>
            <w:tcW w:type="dxa" w:w="2948"/>
          </w:tcPr>
          <w:p>
            <w:pPr>
              <w:spacing w:line="252" w:lineRule="auto" w:before="40" w:after="40"/>
              <w:jc w:val="both"/>
            </w:pPr>
            <w:r>
              <w:rPr>
                <w:rFonts w:ascii="Times New Roman" w:hAnsi="Times New Roman"/>
                <w:b w:val="0"/>
                <w:i w:val="0"/>
                <w:sz w:val="18"/>
              </w:rPr>
              <w:t>Titik tengah distribusi pergerakan harga</w:t>
            </w:r>
          </w:p>
        </w:tc>
      </w:tr>
      <w:tr>
        <w:tc>
          <w:tcPr>
            <w:tcW w:type="dxa" w:w="454"/>
          </w:tcPr>
          <w:p>
            <w:pPr>
              <w:spacing w:line="252" w:lineRule="auto" w:before="40" w:after="40"/>
              <w:jc w:val="center"/>
            </w:pPr>
            <w:r>
              <w:rPr>
                <w:rFonts w:ascii="Times New Roman" w:hAnsi="Times New Roman"/>
                <w:b w:val="0"/>
                <w:i w:val="0"/>
                <w:sz w:val="18"/>
              </w:rPr>
              <w:t>6</w:t>
            </w:r>
          </w:p>
        </w:tc>
        <w:tc>
          <w:tcPr>
            <w:tcW w:type="dxa" w:w="2948"/>
          </w:tcPr>
          <w:p>
            <w:pPr>
              <w:spacing w:line="252" w:lineRule="auto" w:before="40" w:after="40"/>
              <w:jc w:val="both"/>
            </w:pPr>
            <w:r>
              <w:rPr>
                <w:rFonts w:ascii="Times New Roman" w:hAnsi="Times New Roman"/>
                <w:b w:val="0"/>
                <w:i w:val="0"/>
                <w:sz w:val="18"/>
              </w:rPr>
              <w:t>Simpangan Baku (Std Dev)</w:t>
            </w:r>
          </w:p>
        </w:tc>
        <w:tc>
          <w:tcPr>
            <w:tcW w:type="dxa" w:w="2154"/>
          </w:tcPr>
          <w:p>
            <w:pPr>
              <w:spacing w:line="252" w:lineRule="auto" w:before="40" w:after="40"/>
              <w:jc w:val="right"/>
            </w:pPr>
            <w:r>
              <w:rPr>
                <w:rFonts w:ascii="Times New Roman" w:hAnsi="Times New Roman"/>
                <w:b w:val="0"/>
                <w:i w:val="0"/>
                <w:sz w:val="18"/>
              </w:rPr>
              <w:t>USD 31.418,23</w:t>
            </w:r>
          </w:p>
        </w:tc>
        <w:tc>
          <w:tcPr>
            <w:tcW w:type="dxa" w:w="2948"/>
          </w:tcPr>
          <w:p>
            <w:pPr>
              <w:spacing w:line="252" w:lineRule="auto" w:before="40" w:after="40"/>
              <w:jc w:val="both"/>
            </w:pPr>
            <w:r>
              <w:rPr>
                <w:rFonts w:ascii="Times New Roman" w:hAnsi="Times New Roman"/>
                <w:b w:val="0"/>
                <w:i w:val="0"/>
                <w:sz w:val="18"/>
              </w:rPr>
              <w:t>Tingkat dispersi dan volatilitas harga ekstrem</w:t>
            </w:r>
          </w:p>
        </w:tc>
      </w:tr>
    </w:tbl>
    <w:p>
      <w:pPr>
        <w:spacing w:before="200" w:after="80" w:line="360" w:lineRule="auto"/>
      </w:pPr>
      <w:r>
        <w:rPr>
          <w:rFonts w:ascii="Times New Roman" w:hAnsi="Times New Roman"/>
          <w:b/>
          <w:i w:val="0"/>
          <w:sz w:val="24"/>
        </w:rPr>
        <w:t>2. Hasil Prapemrosesan dan Penskalaan Fitur Min-Max</w:t>
      </w:r>
    </w:p>
    <w:p>
      <w:pPr>
        <w:spacing w:line="360" w:lineRule="auto" w:after="120"/>
        <w:ind w:firstLine="567"/>
        <w:jc w:val="both"/>
      </w:pPr>
      <w:r>
        <w:rPr>
          <w:rFonts w:ascii="Times New Roman" w:hAnsi="Times New Roman"/>
          <w:b w:val="0"/>
          <w:i w:val="0"/>
          <w:sz w:val="24"/>
        </w:rPr>
        <w:t>Prapemrosesan data diawali dengan pembagian partisi kronologis dengan rasio 80:20, menghasilkan segmen in-sample sebanyak 1.753 observasi (1 Januari 2020 s.d. 18 Oktober 2024) dan out-of-sample sebanyak 439 observasi (19 Oktober 2024 s.d. 31 Desember 2025). Mengingat rentang dinamis harga penutupan Bitcoin yang sangat lebar dari USD 4.800 hingga melampaui USD 120.000, penskalaan fitur ke interval [0, 1] dieksekusi menggunakan formulasi Min-Max Normalization pada Persamaan (3.1). Penskalaan ini secara ketat hanya menghitung batas nilai ekstrem minimum (</w:t>
      </w:r>
      <m:oMath>
        <m:sSub>
          <m:e>
            <m:r>
              <m:t>x</m:t>
            </m:r>
          </m:e>
          <m:sub>
            <m:r>
              <m:t>min</m:t>
            </m:r>
          </m:sub>
        </m:sSub>
      </m:oMath>
      <w:r>
        <w:rPr>
          <w:rFonts w:ascii="Times New Roman" w:hAnsi="Times New Roman"/>
          <w:b w:val="0"/>
          <w:i w:val="0"/>
          <w:sz w:val="24"/>
        </w:rPr>
        <w:t xml:space="preserve"> = USD 4.800,00) dan maksimum (</w:t>
      </w:r>
      <m:oMath>
        <m:sSub>
          <m:e>
            <m:r>
              <m:t>x</m:t>
            </m:r>
          </m:e>
          <m:sub>
            <m:r>
              <m:t>max</m:t>
            </m:r>
          </m:sub>
        </m:sSub>
      </m:oMath>
      <w:r>
        <w:rPr>
          <w:rFonts w:ascii="Times New Roman" w:hAnsi="Times New Roman"/>
          <w:b w:val="0"/>
          <w:i w:val="0"/>
          <w:sz w:val="24"/>
        </w:rPr>
        <w:t xml:space="preserve"> = USD 73.072,41) berdasarkan data latih in-sample (fit on train) guna mengisolasi kebocoran informasi temporal (López de Prado, 2018). Skala tersebut kemudian diterapkan untuk mentransformasikan segmen pengujian holdout (Arlot &amp; Celisse, 2010; Tashman, 2000).</w:t>
      </w:r>
    </w:p>
    <w:p>
      <w:pPr>
        <w:spacing w:line="360" w:lineRule="auto" w:after="120"/>
        <w:ind w:firstLine="567"/>
        <w:jc w:val="both"/>
      </w:pPr>
      <w:r>
        <w:rPr>
          <w:rFonts w:ascii="Times New Roman" w:hAnsi="Times New Roman"/>
          <w:b w:val="0"/>
          <w:i w:val="0"/>
          <w:sz w:val="24"/>
        </w:rPr>
        <w:t xml:space="preserve">Rangkaian data ternormalisasi satu dimensi selanjutnya ditransformasikan ke dalam struktur tensor tiga dimensi menggunakan teknik jendela geser (sliding window) untuk memenuhi kebutuhan input jaringan syaraf rekuren. Setiap irisan vektor masukan </w:t>
      </w:r>
      <m:oMath>
        <m:sSub>
          <m:e>
            <m:r>
              <m:t>X</m:t>
            </m:r>
          </m:e>
          <m:sub>
            <m:r>
              <m:t>t</m:t>
            </m:r>
          </m:sub>
        </m:sSub>
      </m:oMath>
      <w:r>
        <w:rPr>
          <w:rFonts w:ascii="Times New Roman" w:hAnsi="Times New Roman"/>
          <w:b w:val="0"/>
          <w:i w:val="0"/>
          <w:sz w:val="24"/>
        </w:rPr>
        <w:t xml:space="preserve"> dibentuk dari </w:t>
      </w:r>
      <m:oMath>
        <m:r>
          <m:t>L</m:t>
        </m:r>
      </m:oMath>
      <w:r>
        <w:rPr>
          <w:rFonts w:ascii="Times New Roman" w:hAnsi="Times New Roman"/>
          <w:b w:val="0"/>
          <w:i w:val="0"/>
          <w:sz w:val="24"/>
        </w:rPr>
        <w:t xml:space="preserve"> langkah waktu observasi masa lalu berurutan </w:t>
      </w:r>
      <m:oMath>
        <m:sSub>
          <m:e>
            <m:r>
              <m:t>[x</m:t>
            </m:r>
          </m:e>
          <m:sub>
            <m:r>
              <m:t>t-L+1}, ..., x_t]</m:t>
            </m:r>
          </m:sub>
        </m:sSub>
      </m:oMath>
      <w:r>
        <w:rPr>
          <w:rFonts w:ascii="Times New Roman" w:hAnsi="Times New Roman"/>
          <w:b w:val="0"/>
          <w:i w:val="0"/>
          <w:sz w:val="24"/>
        </w:rPr>
        <w:t xml:space="preserve">, sedangkan nilai skalar target peramalan </w:t>
      </w:r>
      <m:oMath>
        <m:sSub>
          <m:e>
            <m:r>
              <m:t>y</m:t>
            </m:r>
          </m:e>
          <m:sub>
            <m:r>
              <m:t>t</m:t>
            </m:r>
          </m:sub>
        </m:sSub>
      </m:oMath>
      <w:r>
        <w:rPr>
          <w:rFonts w:ascii="Times New Roman" w:hAnsi="Times New Roman"/>
          <w:b w:val="0"/>
          <w:i w:val="0"/>
          <w:sz w:val="24"/>
        </w:rPr>
        <w:t xml:space="preserve"> ditetapkan sebagai nilai harga pada tepat satu hari berikutnya </w:t>
      </w:r>
      <m:oMath>
        <m:sSub>
          <m:e>
            <m:r>
              <m:t>x</m:t>
            </m:r>
          </m:e>
          <m:sub>
            <m:r>
              <m:t>t+1</m:t>
            </m:r>
          </m:sub>
        </m:sSub>
      </m:oMath>
      <w:r>
        <w:rPr>
          <w:rFonts w:ascii="Times New Roman" w:hAnsi="Times New Roman"/>
          <w:b w:val="0"/>
          <w:i w:val="0"/>
          <w:sz w:val="24"/>
        </w:rPr>
        <w:t xml:space="preserve"> (Sakarya University, 2023). Untuk mengevaluasi seluruh 439 hari pada segmen pengujian out-of-sample tanpa kehilangan titik awal, jendela geser pengujian dibentuk dengan menyertakan </w:t>
      </w:r>
      <m:oMath>
        <m:r>
          <m:t>L</m:t>
        </m:r>
      </m:oMath>
      <w:r>
        <w:rPr>
          <w:rFonts w:ascii="Times New Roman" w:hAnsi="Times New Roman"/>
          <w:b w:val="0"/>
          <w:i w:val="0"/>
          <w:sz w:val="24"/>
        </w:rPr>
        <w:t xml:space="preserve"> observasi penutup dari segmen in-sample (Lim &amp; Zohren, 2021). Mekanisme ini menjamin bahwa seluruh observasi pengujian memperoleh estimasi peramalan yang utuh dan konsisten (Greff et al., 2017).</w:t>
      </w:r>
    </w:p>
    <w:p>
      <w:pPr>
        <w:spacing w:before="200" w:after="80" w:line="360" w:lineRule="auto"/>
      </w:pPr>
      <w:r>
        <w:rPr>
          <w:rFonts w:ascii="Times New Roman" w:hAnsi="Times New Roman"/>
          <w:b/>
          <w:i w:val="0"/>
          <w:sz w:val="24"/>
        </w:rPr>
        <w:t>3. Hasil Pengujian Model Tier 1 (LSTM Default Baseline Kontrol)</w:t>
      </w:r>
    </w:p>
    <w:p>
      <w:pPr>
        <w:spacing w:line="360" w:lineRule="auto" w:after="120"/>
        <w:ind w:firstLine="567"/>
        <w:jc w:val="both"/>
      </w:pPr>
      <w:r>
        <w:rPr>
          <w:rFonts w:ascii="Times New Roman" w:hAnsi="Times New Roman"/>
          <w:b w:val="0"/>
          <w:i w:val="0"/>
          <w:sz w:val="24"/>
        </w:rPr>
        <w:t xml:space="preserve">Model Tier 1 dilatih sebagai baseline kontrol awal dengan menerapkan spesifikasi konfigurasi standar pustaka tanpa intervensi penalaan, mencakup lookback </w:t>
      </w:r>
      <m:oMath>
        <m:r>
          <m:t>L=30</m:t>
        </m:r>
      </m:oMath>
      <w:r>
        <w:rPr>
          <w:rFonts w:ascii="Times New Roman" w:hAnsi="Times New Roman"/>
          <w:b w:val="0"/>
          <w:i w:val="0"/>
          <w:sz w:val="24"/>
        </w:rPr>
        <w:t xml:space="preserve"> hari, 50 unit neuron LSTM, Dropout 0.20, optimizer Adam dengan laju pembelajaran 0.001, dan batch size 32. Pelatihan berlangsung selama 100 epoch penuh dalam waktu 34.34 detik dengan fungsi kerugian konvergen stabil pada nilai kerugian validasi akhir sebesar 0.000883. Pengujian pada 439 hari data out-of-sample menghasilkan galat peramalan dengan nilai Root Mean Square Error (RMSE) sebesar USD 2.947,60, Mean Absolute Error (MAE) sebesar USD 2.378,56, serta Mean Absolute Percentage Error (MAPE) sebesar 2.36% (Tabel 4.2). Hasil performa Tier 1 ini menetapkan tolok ukur batas bawah perbandingan yang adil bagi model-model eksperimen berikutnya (Bouthillier et al., 2020).</w:t>
      </w:r>
    </w:p>
    <w:p>
      <w:pPr>
        <w:spacing w:before="200" w:after="60" w:line="240" w:lineRule="auto"/>
        <w:jc w:val="center"/>
      </w:pPr>
      <w:r>
        <w:rPr>
          <w:rFonts w:ascii="Times New Roman" w:hAnsi="Times New Roman"/>
          <w:b/>
          <w:i w:val="0"/>
          <w:sz w:val="22"/>
        </w:rPr>
        <w:t>Tabel 4.2 Parameter Konfigurasi dan Hasil Evaluasi Model Tier 1</w:t>
      </w:r>
    </w:p>
    <w:tbl>
      <w:tblPr>
        <w:tblW w:type="auto" w:w="0"/>
        <w:jc w:val="center"/>
        <w:tblLook w:firstColumn="1" w:firstRow="1" w:lastColumn="0" w:lastRow="0" w:noHBand="0" w:noVBand="1" w:val="04A0"/>
      </w:tblPr>
      <w:tblGrid>
        <w:gridCol w:w="1984"/>
        <w:gridCol w:w="1984"/>
        <w:gridCol w:w="1984"/>
        <w:gridCol w:w="1984"/>
      </w:tblGrid>
      <w:tr>
        <w:tc>
          <w:tcPr>
            <w:tcW w:type="dxa" w:w="2268"/>
            <w:shd w:fill="E8EEF5"/>
          </w:tcPr>
          <w:p>
            <w:pPr>
              <w:spacing w:line="252" w:lineRule="auto" w:before="40" w:after="40"/>
              <w:jc w:val="center"/>
            </w:pPr>
            <w:r>
              <w:rPr>
                <w:rFonts w:ascii="Times New Roman" w:hAnsi="Times New Roman"/>
                <w:b/>
                <w:i w:val="0"/>
                <w:sz w:val="18"/>
              </w:rPr>
              <w:t>Parameter Model</w:t>
            </w:r>
          </w:p>
        </w:tc>
        <w:tc>
          <w:tcPr>
            <w:tcW w:type="dxa" w:w="1984"/>
            <w:shd w:fill="E8EEF5"/>
          </w:tcPr>
          <w:p>
            <w:pPr>
              <w:spacing w:line="252" w:lineRule="auto" w:before="40" w:after="40"/>
              <w:jc w:val="both"/>
            </w:pPr>
            <w:r>
              <w:rPr>
                <w:rFonts w:ascii="Times New Roman" w:hAnsi="Times New Roman"/>
                <w:b/>
                <w:i w:val="0"/>
                <w:sz w:val="18"/>
              </w:rPr>
              <w:t>Nilai Konfigurasi</w:t>
            </w:r>
          </w:p>
        </w:tc>
        <w:tc>
          <w:tcPr>
            <w:tcW w:type="dxa" w:w="2835"/>
            <w:shd w:fill="E8EEF5"/>
          </w:tcPr>
          <w:p>
            <w:pPr>
              <w:spacing w:line="252" w:lineRule="auto" w:before="40" w:after="40"/>
              <w:jc w:val="both"/>
            </w:pPr>
            <w:r>
              <w:rPr>
                <w:rFonts w:ascii="Times New Roman" w:hAnsi="Times New Roman"/>
                <w:b/>
                <w:i w:val="0"/>
                <w:sz w:val="18"/>
              </w:rPr>
              <w:t>Metrik Evaluasi Out-of-Sample</w:t>
            </w:r>
          </w:p>
        </w:tc>
        <w:tc>
          <w:tcPr>
            <w:tcW w:type="dxa" w:w="1417"/>
            <w:shd w:fill="E8EEF5"/>
          </w:tcPr>
          <w:p>
            <w:pPr>
              <w:spacing w:line="252" w:lineRule="auto" w:before="40" w:after="40"/>
              <w:jc w:val="both"/>
            </w:pPr>
            <w:r>
              <w:rPr>
                <w:rFonts w:ascii="Times New Roman" w:hAnsi="Times New Roman"/>
                <w:b/>
                <w:i w:val="0"/>
                <w:sz w:val="18"/>
              </w:rPr>
              <w:t>Capaian Numerik</w:t>
            </w:r>
          </w:p>
        </w:tc>
      </w:tr>
      <w:tr>
        <w:tc>
          <w:tcPr>
            <w:tcW w:type="dxa" w:w="2268"/>
          </w:tcPr>
          <w:p>
            <w:pPr>
              <w:spacing w:line="252" w:lineRule="auto" w:before="40" w:after="40"/>
              <w:jc w:val="center"/>
            </w:pPr>
            <w:r>
              <w:rPr>
                <w:rFonts w:ascii="Times New Roman" w:hAnsi="Times New Roman"/>
                <w:b w:val="0"/>
                <w:i w:val="0"/>
                <w:sz w:val="18"/>
              </w:rPr>
              <w:t>Lookback Window (L)</w:t>
            </w:r>
          </w:p>
        </w:tc>
        <w:tc>
          <w:tcPr>
            <w:tcW w:type="dxa" w:w="1984"/>
          </w:tcPr>
          <w:p>
            <w:pPr>
              <w:spacing w:line="252" w:lineRule="auto" w:before="40" w:after="40"/>
              <w:jc w:val="both"/>
            </w:pPr>
            <w:r>
              <w:rPr>
                <w:rFonts w:ascii="Times New Roman" w:hAnsi="Times New Roman"/>
                <w:b w:val="0"/>
                <w:i w:val="0"/>
                <w:sz w:val="18"/>
              </w:rPr>
              <w:t>30 Hari</w:t>
            </w:r>
          </w:p>
        </w:tc>
        <w:tc>
          <w:tcPr>
            <w:tcW w:type="dxa" w:w="2835"/>
          </w:tcPr>
          <w:p>
            <w:pPr>
              <w:spacing w:line="252" w:lineRule="auto" w:before="40" w:after="40"/>
              <w:jc w:val="both"/>
            </w:pPr>
            <w:r>
              <w:rPr>
                <w:rFonts w:ascii="Times New Roman" w:hAnsi="Times New Roman"/>
                <w:b w:val="0"/>
                <w:i w:val="0"/>
                <w:sz w:val="18"/>
              </w:rPr>
              <w:t>Root Mean Square Error (RMSE)</w:t>
            </w:r>
          </w:p>
        </w:tc>
        <w:tc>
          <w:tcPr>
            <w:tcW w:type="dxa" w:w="1417"/>
          </w:tcPr>
          <w:p>
            <w:pPr>
              <w:spacing w:line="252" w:lineRule="auto" w:before="40" w:after="40"/>
              <w:jc w:val="right"/>
            </w:pPr>
            <w:r>
              <w:rPr>
                <w:rFonts w:ascii="Times New Roman" w:hAnsi="Times New Roman"/>
                <w:b w:val="0"/>
                <w:i w:val="0"/>
                <w:sz w:val="18"/>
              </w:rPr>
              <w:t>USD 2.947,60</w:t>
            </w:r>
          </w:p>
        </w:tc>
      </w:tr>
      <w:tr>
        <w:tc>
          <w:tcPr>
            <w:tcW w:type="dxa" w:w="2268"/>
          </w:tcPr>
          <w:p>
            <w:pPr>
              <w:spacing w:line="252" w:lineRule="auto" w:before="40" w:after="40"/>
              <w:jc w:val="center"/>
            </w:pPr>
            <w:r>
              <w:rPr>
                <w:rFonts w:ascii="Times New Roman" w:hAnsi="Times New Roman"/>
                <w:b w:val="0"/>
                <w:i w:val="0"/>
                <w:sz w:val="18"/>
              </w:rPr>
              <w:t>Hidden Units (Layer 1)</w:t>
            </w:r>
          </w:p>
        </w:tc>
        <w:tc>
          <w:tcPr>
            <w:tcW w:type="dxa" w:w="1984"/>
          </w:tcPr>
          <w:p>
            <w:pPr>
              <w:spacing w:line="252" w:lineRule="auto" w:before="40" w:after="40"/>
              <w:jc w:val="both"/>
            </w:pPr>
            <w:r>
              <w:rPr>
                <w:rFonts w:ascii="Times New Roman" w:hAnsi="Times New Roman"/>
                <w:b w:val="0"/>
                <w:i w:val="0"/>
                <w:sz w:val="18"/>
              </w:rPr>
              <w:t>50 Neuron</w:t>
            </w:r>
          </w:p>
        </w:tc>
        <w:tc>
          <w:tcPr>
            <w:tcW w:type="dxa" w:w="2835"/>
          </w:tcPr>
          <w:p>
            <w:pPr>
              <w:spacing w:line="252" w:lineRule="auto" w:before="40" w:after="40"/>
              <w:jc w:val="both"/>
            </w:pPr>
            <w:r>
              <w:rPr>
                <w:rFonts w:ascii="Times New Roman" w:hAnsi="Times New Roman"/>
                <w:b w:val="0"/>
                <w:i w:val="0"/>
                <w:sz w:val="18"/>
              </w:rPr>
              <w:t>Mean Absolute Error (MAE)</w:t>
            </w:r>
          </w:p>
        </w:tc>
        <w:tc>
          <w:tcPr>
            <w:tcW w:type="dxa" w:w="1417"/>
          </w:tcPr>
          <w:p>
            <w:pPr>
              <w:spacing w:line="252" w:lineRule="auto" w:before="40" w:after="40"/>
              <w:jc w:val="right"/>
            </w:pPr>
            <w:r>
              <w:rPr>
                <w:rFonts w:ascii="Times New Roman" w:hAnsi="Times New Roman"/>
                <w:b w:val="0"/>
                <w:i w:val="0"/>
                <w:sz w:val="18"/>
              </w:rPr>
              <w:t>USD 2.378,56</w:t>
            </w:r>
          </w:p>
        </w:tc>
      </w:tr>
      <w:tr>
        <w:tc>
          <w:tcPr>
            <w:tcW w:type="dxa" w:w="2268"/>
          </w:tcPr>
          <w:p>
            <w:pPr>
              <w:spacing w:line="252" w:lineRule="auto" w:before="40" w:after="40"/>
              <w:jc w:val="center"/>
            </w:pPr>
            <w:r>
              <w:rPr>
                <w:rFonts w:ascii="Times New Roman" w:hAnsi="Times New Roman"/>
                <w:b w:val="0"/>
                <w:i w:val="0"/>
                <w:sz w:val="18"/>
              </w:rPr>
              <w:t>Tingkat Dropout</w:t>
            </w:r>
          </w:p>
        </w:tc>
        <w:tc>
          <w:tcPr>
            <w:tcW w:type="dxa" w:w="1984"/>
          </w:tcPr>
          <w:p>
            <w:pPr>
              <w:spacing w:line="252" w:lineRule="auto" w:before="40" w:after="40"/>
              <w:jc w:val="both"/>
            </w:pPr>
            <w:r>
              <w:rPr>
                <w:rFonts w:ascii="Times New Roman" w:hAnsi="Times New Roman"/>
                <w:b w:val="0"/>
                <w:i w:val="0"/>
                <w:sz w:val="18"/>
              </w:rPr>
              <w:t>0.20</w:t>
            </w:r>
          </w:p>
        </w:tc>
        <w:tc>
          <w:tcPr>
            <w:tcW w:type="dxa" w:w="2835"/>
          </w:tcPr>
          <w:p>
            <w:pPr>
              <w:spacing w:line="252" w:lineRule="auto" w:before="40" w:after="40"/>
              <w:jc w:val="both"/>
            </w:pPr>
            <w:r>
              <w:rPr>
                <w:rFonts w:ascii="Times New Roman" w:hAnsi="Times New Roman"/>
                <w:b w:val="0"/>
                <w:i w:val="0"/>
                <w:sz w:val="18"/>
              </w:rPr>
              <w:t>Mean Absolute Percentage Error (MAPE)</w:t>
            </w:r>
          </w:p>
        </w:tc>
        <w:tc>
          <w:tcPr>
            <w:tcW w:type="dxa" w:w="1417"/>
          </w:tcPr>
          <w:p>
            <w:pPr>
              <w:spacing w:line="252" w:lineRule="auto" w:before="40" w:after="40"/>
              <w:jc w:val="right"/>
            </w:pPr>
            <w:r>
              <w:rPr>
                <w:rFonts w:ascii="Times New Roman" w:hAnsi="Times New Roman"/>
                <w:b w:val="0"/>
                <w:i w:val="0"/>
                <w:sz w:val="18"/>
              </w:rPr>
              <w:t>2,36%</w:t>
            </w:r>
          </w:p>
        </w:tc>
      </w:tr>
      <w:tr>
        <w:tc>
          <w:tcPr>
            <w:tcW w:type="dxa" w:w="2268"/>
          </w:tcPr>
          <w:p>
            <w:pPr>
              <w:spacing w:line="252" w:lineRule="auto" w:before="40" w:after="40"/>
              <w:jc w:val="center"/>
            </w:pPr>
            <w:r>
              <w:rPr>
                <w:rFonts w:ascii="Times New Roman" w:hAnsi="Times New Roman"/>
                <w:b w:val="0"/>
                <w:i w:val="0"/>
                <w:sz w:val="18"/>
              </w:rPr>
              <w:t>Optimizer &amp; Learning Rate</w:t>
            </w:r>
          </w:p>
        </w:tc>
        <w:tc>
          <w:tcPr>
            <w:tcW w:type="dxa" w:w="1984"/>
          </w:tcPr>
          <w:p>
            <w:pPr>
              <w:spacing w:line="252" w:lineRule="auto" w:before="40" w:after="40"/>
              <w:jc w:val="both"/>
            </w:pPr>
            <w:r>
              <w:rPr>
                <w:rFonts w:ascii="Times New Roman" w:hAnsi="Times New Roman"/>
                <w:b w:val="0"/>
                <w:i w:val="0"/>
                <w:sz w:val="18"/>
              </w:rPr>
              <w:t>Adam (0.001)</w:t>
            </w:r>
          </w:p>
        </w:tc>
        <w:tc>
          <w:tcPr>
            <w:tcW w:type="dxa" w:w="2835"/>
          </w:tcPr>
          <w:p>
            <w:pPr>
              <w:spacing w:line="252" w:lineRule="auto" w:before="40" w:after="40"/>
              <w:jc w:val="both"/>
            </w:pPr>
            <w:r>
              <w:rPr>
                <w:rFonts w:ascii="Times New Roman" w:hAnsi="Times New Roman"/>
                <w:b w:val="0"/>
                <w:i w:val="0"/>
                <w:sz w:val="18"/>
              </w:rPr>
              <w:t>Waktu Pelatihan Komputasi</w:t>
            </w:r>
          </w:p>
        </w:tc>
        <w:tc>
          <w:tcPr>
            <w:tcW w:type="dxa" w:w="1417"/>
          </w:tcPr>
          <w:p>
            <w:pPr>
              <w:spacing w:line="252" w:lineRule="auto" w:before="40" w:after="40"/>
              <w:jc w:val="both"/>
            </w:pPr>
            <w:r>
              <w:rPr>
                <w:rFonts w:ascii="Times New Roman" w:hAnsi="Times New Roman"/>
                <w:b w:val="0"/>
                <w:i w:val="0"/>
                <w:sz w:val="18"/>
              </w:rPr>
              <w:t>34,34 Detik</w:t>
            </w:r>
          </w:p>
        </w:tc>
      </w:tr>
      <w:tr>
        <w:tc>
          <w:tcPr>
            <w:tcW w:type="dxa" w:w="2268"/>
          </w:tcPr>
          <w:p>
            <w:pPr>
              <w:spacing w:line="252" w:lineRule="auto" w:before="40" w:after="40"/>
              <w:jc w:val="center"/>
            </w:pPr>
            <w:r>
              <w:rPr>
                <w:rFonts w:ascii="Times New Roman" w:hAnsi="Times New Roman"/>
                <w:b w:val="0"/>
                <w:i w:val="0"/>
                <w:sz w:val="18"/>
              </w:rPr>
              <w:t>Ukuran Batch / Epochs</w:t>
            </w:r>
          </w:p>
        </w:tc>
        <w:tc>
          <w:tcPr>
            <w:tcW w:type="dxa" w:w="1984"/>
          </w:tcPr>
          <w:p>
            <w:pPr>
              <w:spacing w:line="252" w:lineRule="auto" w:before="40" w:after="40"/>
              <w:jc w:val="both"/>
            </w:pPr>
            <w:r>
              <w:rPr>
                <w:rFonts w:ascii="Times New Roman" w:hAnsi="Times New Roman"/>
                <w:b w:val="0"/>
                <w:i w:val="0"/>
                <w:sz w:val="18"/>
              </w:rPr>
              <w:t>32 / 100 Epochs</w:t>
            </w:r>
          </w:p>
        </w:tc>
        <w:tc>
          <w:tcPr>
            <w:tcW w:type="dxa" w:w="2835"/>
          </w:tcPr>
          <w:p>
            <w:pPr>
              <w:spacing w:line="252" w:lineRule="auto" w:before="40" w:after="40"/>
              <w:jc w:val="both"/>
            </w:pPr>
            <w:r>
              <w:rPr>
                <w:rFonts w:ascii="Times New Roman" w:hAnsi="Times New Roman"/>
                <w:b w:val="0"/>
                <w:i w:val="0"/>
                <w:sz w:val="18"/>
              </w:rPr>
              <w:t>Status Konvergensi Pelatihan</w:t>
            </w:r>
          </w:p>
        </w:tc>
        <w:tc>
          <w:tcPr>
            <w:tcW w:type="dxa" w:w="1417"/>
          </w:tcPr>
          <w:p>
            <w:pPr>
              <w:spacing w:line="252" w:lineRule="auto" w:before="40" w:after="40"/>
              <w:jc w:val="both"/>
            </w:pPr>
            <w:r>
              <w:rPr>
                <w:rFonts w:ascii="Times New Roman" w:hAnsi="Times New Roman"/>
                <w:b w:val="0"/>
                <w:i w:val="0"/>
                <w:sz w:val="18"/>
              </w:rPr>
              <w:t>Selesai Penuh (100 Epochs)</w:t>
            </w:r>
          </w:p>
        </w:tc>
      </w:tr>
    </w:tbl>
    <w:p>
      <w:pPr>
        <w:spacing w:before="200" w:after="80" w:line="360" w:lineRule="auto"/>
      </w:pPr>
      <w:r>
        <w:rPr>
          <w:rFonts w:ascii="Times New Roman" w:hAnsi="Times New Roman"/>
          <w:b/>
          <w:i w:val="0"/>
          <w:sz w:val="24"/>
        </w:rPr>
        <w:t>4. Hasil Pengujian Model Tier 2 (Replikasi Manual Khumaidi dkk., 2024)</w:t>
      </w:r>
    </w:p>
    <w:p>
      <w:pPr>
        <w:spacing w:line="360" w:lineRule="auto" w:after="120"/>
        <w:ind w:firstLine="567"/>
        <w:jc w:val="both"/>
      </w:pPr>
      <w:r>
        <w:rPr>
          <w:rFonts w:ascii="Times New Roman" w:hAnsi="Times New Roman"/>
          <w:b w:val="0"/>
          <w:i w:val="0"/>
          <w:sz w:val="24"/>
        </w:rPr>
        <w:t xml:space="preserve">Model Tier 2 mereplikasi spesifikasi arsitektur terbaik dari publikasi Khumaidi dkk. (2024) yang mengandalkan penalaan coba-coba manual, menggunakan lookback </w:t>
      </w:r>
      <m:oMath>
        <m:r>
          <m:t>L=60</m:t>
        </m:r>
      </m:oMath>
      <w:r>
        <w:rPr>
          <w:rFonts w:ascii="Times New Roman" w:hAnsi="Times New Roman"/>
          <w:b w:val="0"/>
          <w:i w:val="0"/>
          <w:sz w:val="24"/>
        </w:rPr>
        <w:t xml:space="preserve"> hari, 128 unit neuron LSTM, Dropout 0.20, serta ukuran batch kecil sebesar 10 sampel. Pelatihan model ini terhenti otomatis pada epoch ke-18 akibat terpicunya mekanisme Early Stopping saat nilai kerugian validasi mengalami kenaikan tajam akibat variansi gradien batch kecil (Srivastava et al., 2014). Evaluasi pada data out-of-sample menghasilkan nilai RMSE sebesar USD 3.904,15, MAE sebesar USD 3.182,86, dan MAPE sebesar 3.16% (Tabel 4.3). Hasil ini secara empiris membuktikan bahwa konfigurasi manual dengan kapasitas neuron besar dan batch kecil rentan mengalami degradasi generalisasi saat menghadapi rezim harga baru di luar sampel latih (Khumaidi dkk., 2024; Makridakis et al., 2018).</w:t>
      </w:r>
    </w:p>
    <w:p>
      <w:pPr>
        <w:spacing w:before="200" w:after="60" w:line="240" w:lineRule="auto"/>
        <w:jc w:val="center"/>
      </w:pPr>
      <w:r>
        <w:rPr>
          <w:rFonts w:ascii="Times New Roman" w:hAnsi="Times New Roman"/>
          <w:b/>
          <w:i w:val="0"/>
          <w:sz w:val="22"/>
        </w:rPr>
        <w:t>Tabel 4.3 Parameter Konfigurasi dan Hasil Evaluasi Model Tier 2</w:t>
      </w:r>
    </w:p>
    <w:tbl>
      <w:tblPr>
        <w:tblW w:type="auto" w:w="0"/>
        <w:jc w:val="center"/>
        <w:tblLook w:firstColumn="1" w:firstRow="1" w:lastColumn="0" w:lastRow="0" w:noHBand="0" w:noVBand="1" w:val="04A0"/>
      </w:tblPr>
      <w:tblGrid>
        <w:gridCol w:w="1984"/>
        <w:gridCol w:w="1984"/>
        <w:gridCol w:w="1984"/>
        <w:gridCol w:w="1984"/>
      </w:tblGrid>
      <w:tr>
        <w:tc>
          <w:tcPr>
            <w:tcW w:type="dxa" w:w="2268"/>
            <w:shd w:fill="E8EEF5"/>
          </w:tcPr>
          <w:p>
            <w:pPr>
              <w:spacing w:line="252" w:lineRule="auto" w:before="40" w:after="40"/>
              <w:jc w:val="center"/>
            </w:pPr>
            <w:r>
              <w:rPr>
                <w:rFonts w:ascii="Times New Roman" w:hAnsi="Times New Roman"/>
                <w:b/>
                <w:i w:val="0"/>
                <w:sz w:val="18"/>
              </w:rPr>
              <w:t>Parameter Model</w:t>
            </w:r>
          </w:p>
        </w:tc>
        <w:tc>
          <w:tcPr>
            <w:tcW w:type="dxa" w:w="1984"/>
            <w:shd w:fill="E8EEF5"/>
          </w:tcPr>
          <w:p>
            <w:pPr>
              <w:spacing w:line="252" w:lineRule="auto" w:before="40" w:after="40"/>
              <w:jc w:val="both"/>
            </w:pPr>
            <w:r>
              <w:rPr>
                <w:rFonts w:ascii="Times New Roman" w:hAnsi="Times New Roman"/>
                <w:b/>
                <w:i w:val="0"/>
                <w:sz w:val="18"/>
              </w:rPr>
              <w:t>Nilai Konfigurasi</w:t>
            </w:r>
          </w:p>
        </w:tc>
        <w:tc>
          <w:tcPr>
            <w:tcW w:type="dxa" w:w="2835"/>
            <w:shd w:fill="E8EEF5"/>
          </w:tcPr>
          <w:p>
            <w:pPr>
              <w:spacing w:line="252" w:lineRule="auto" w:before="40" w:after="40"/>
              <w:jc w:val="both"/>
            </w:pPr>
            <w:r>
              <w:rPr>
                <w:rFonts w:ascii="Times New Roman" w:hAnsi="Times New Roman"/>
                <w:b/>
                <w:i w:val="0"/>
                <w:sz w:val="18"/>
              </w:rPr>
              <w:t>Metrik Evaluasi Out-of-Sample</w:t>
            </w:r>
          </w:p>
        </w:tc>
        <w:tc>
          <w:tcPr>
            <w:tcW w:type="dxa" w:w="1417"/>
            <w:shd w:fill="E8EEF5"/>
          </w:tcPr>
          <w:p>
            <w:pPr>
              <w:spacing w:line="252" w:lineRule="auto" w:before="40" w:after="40"/>
              <w:jc w:val="both"/>
            </w:pPr>
            <w:r>
              <w:rPr>
                <w:rFonts w:ascii="Times New Roman" w:hAnsi="Times New Roman"/>
                <w:b/>
                <w:i w:val="0"/>
                <w:sz w:val="18"/>
              </w:rPr>
              <w:t>Capaian Numerik</w:t>
            </w:r>
          </w:p>
        </w:tc>
      </w:tr>
      <w:tr>
        <w:tc>
          <w:tcPr>
            <w:tcW w:type="dxa" w:w="2268"/>
          </w:tcPr>
          <w:p>
            <w:pPr>
              <w:spacing w:line="252" w:lineRule="auto" w:before="40" w:after="40"/>
              <w:jc w:val="center"/>
            </w:pPr>
            <w:r>
              <w:rPr>
                <w:rFonts w:ascii="Times New Roman" w:hAnsi="Times New Roman"/>
                <w:b w:val="0"/>
                <w:i w:val="0"/>
                <w:sz w:val="18"/>
              </w:rPr>
              <w:t>Lookback Window (L)</w:t>
            </w:r>
          </w:p>
        </w:tc>
        <w:tc>
          <w:tcPr>
            <w:tcW w:type="dxa" w:w="1984"/>
          </w:tcPr>
          <w:p>
            <w:pPr>
              <w:spacing w:line="252" w:lineRule="auto" w:before="40" w:after="40"/>
              <w:jc w:val="both"/>
            </w:pPr>
            <w:r>
              <w:rPr>
                <w:rFonts w:ascii="Times New Roman" w:hAnsi="Times New Roman"/>
                <w:b w:val="0"/>
                <w:i w:val="0"/>
                <w:sz w:val="18"/>
              </w:rPr>
              <w:t>60 Hari</w:t>
            </w:r>
          </w:p>
        </w:tc>
        <w:tc>
          <w:tcPr>
            <w:tcW w:type="dxa" w:w="2835"/>
          </w:tcPr>
          <w:p>
            <w:pPr>
              <w:spacing w:line="252" w:lineRule="auto" w:before="40" w:after="40"/>
              <w:jc w:val="both"/>
            </w:pPr>
            <w:r>
              <w:rPr>
                <w:rFonts w:ascii="Times New Roman" w:hAnsi="Times New Roman"/>
                <w:b w:val="0"/>
                <w:i w:val="0"/>
                <w:sz w:val="18"/>
              </w:rPr>
              <w:t>Root Mean Square Error (RMSE)</w:t>
            </w:r>
          </w:p>
        </w:tc>
        <w:tc>
          <w:tcPr>
            <w:tcW w:type="dxa" w:w="1417"/>
          </w:tcPr>
          <w:p>
            <w:pPr>
              <w:spacing w:line="252" w:lineRule="auto" w:before="40" w:after="40"/>
              <w:jc w:val="right"/>
            </w:pPr>
            <w:r>
              <w:rPr>
                <w:rFonts w:ascii="Times New Roman" w:hAnsi="Times New Roman"/>
                <w:b w:val="0"/>
                <w:i w:val="0"/>
                <w:sz w:val="18"/>
              </w:rPr>
              <w:t>USD 3.904,15</w:t>
            </w:r>
          </w:p>
        </w:tc>
      </w:tr>
      <w:tr>
        <w:tc>
          <w:tcPr>
            <w:tcW w:type="dxa" w:w="2268"/>
          </w:tcPr>
          <w:p>
            <w:pPr>
              <w:spacing w:line="252" w:lineRule="auto" w:before="40" w:after="40"/>
              <w:jc w:val="center"/>
            </w:pPr>
            <w:r>
              <w:rPr>
                <w:rFonts w:ascii="Times New Roman" w:hAnsi="Times New Roman"/>
                <w:b w:val="0"/>
                <w:i w:val="0"/>
                <w:sz w:val="18"/>
              </w:rPr>
              <w:t>Hidden Units (Layer 1)</w:t>
            </w:r>
          </w:p>
        </w:tc>
        <w:tc>
          <w:tcPr>
            <w:tcW w:type="dxa" w:w="1984"/>
          </w:tcPr>
          <w:p>
            <w:pPr>
              <w:spacing w:line="252" w:lineRule="auto" w:before="40" w:after="40"/>
              <w:jc w:val="both"/>
            </w:pPr>
            <w:r>
              <w:rPr>
                <w:rFonts w:ascii="Times New Roman" w:hAnsi="Times New Roman"/>
                <w:b w:val="0"/>
                <w:i w:val="0"/>
                <w:sz w:val="18"/>
              </w:rPr>
              <w:t>128 Neuron</w:t>
            </w:r>
          </w:p>
        </w:tc>
        <w:tc>
          <w:tcPr>
            <w:tcW w:type="dxa" w:w="2835"/>
          </w:tcPr>
          <w:p>
            <w:pPr>
              <w:spacing w:line="252" w:lineRule="auto" w:before="40" w:after="40"/>
              <w:jc w:val="both"/>
            </w:pPr>
            <w:r>
              <w:rPr>
                <w:rFonts w:ascii="Times New Roman" w:hAnsi="Times New Roman"/>
                <w:b w:val="0"/>
                <w:i w:val="0"/>
                <w:sz w:val="18"/>
              </w:rPr>
              <w:t>Mean Absolute Error (MAE)</w:t>
            </w:r>
          </w:p>
        </w:tc>
        <w:tc>
          <w:tcPr>
            <w:tcW w:type="dxa" w:w="1417"/>
          </w:tcPr>
          <w:p>
            <w:pPr>
              <w:spacing w:line="252" w:lineRule="auto" w:before="40" w:after="40"/>
              <w:jc w:val="right"/>
            </w:pPr>
            <w:r>
              <w:rPr>
                <w:rFonts w:ascii="Times New Roman" w:hAnsi="Times New Roman"/>
                <w:b w:val="0"/>
                <w:i w:val="0"/>
                <w:sz w:val="18"/>
              </w:rPr>
              <w:t>USD 3.182,86</w:t>
            </w:r>
          </w:p>
        </w:tc>
      </w:tr>
      <w:tr>
        <w:tc>
          <w:tcPr>
            <w:tcW w:type="dxa" w:w="2268"/>
          </w:tcPr>
          <w:p>
            <w:pPr>
              <w:spacing w:line="252" w:lineRule="auto" w:before="40" w:after="40"/>
              <w:jc w:val="center"/>
            </w:pPr>
            <w:r>
              <w:rPr>
                <w:rFonts w:ascii="Times New Roman" w:hAnsi="Times New Roman"/>
                <w:b w:val="0"/>
                <w:i w:val="0"/>
                <w:sz w:val="18"/>
              </w:rPr>
              <w:t>Tingkat Dropout</w:t>
            </w:r>
          </w:p>
        </w:tc>
        <w:tc>
          <w:tcPr>
            <w:tcW w:type="dxa" w:w="1984"/>
          </w:tcPr>
          <w:p>
            <w:pPr>
              <w:spacing w:line="252" w:lineRule="auto" w:before="40" w:after="40"/>
              <w:jc w:val="both"/>
            </w:pPr>
            <w:r>
              <w:rPr>
                <w:rFonts w:ascii="Times New Roman" w:hAnsi="Times New Roman"/>
                <w:b w:val="0"/>
                <w:i w:val="0"/>
                <w:sz w:val="18"/>
              </w:rPr>
              <w:t>0.20</w:t>
            </w:r>
          </w:p>
        </w:tc>
        <w:tc>
          <w:tcPr>
            <w:tcW w:type="dxa" w:w="2835"/>
          </w:tcPr>
          <w:p>
            <w:pPr>
              <w:spacing w:line="252" w:lineRule="auto" w:before="40" w:after="40"/>
              <w:jc w:val="both"/>
            </w:pPr>
            <w:r>
              <w:rPr>
                <w:rFonts w:ascii="Times New Roman" w:hAnsi="Times New Roman"/>
                <w:b w:val="0"/>
                <w:i w:val="0"/>
                <w:sz w:val="18"/>
              </w:rPr>
              <w:t>Mean Absolute Percentage Error (MAPE)</w:t>
            </w:r>
          </w:p>
        </w:tc>
        <w:tc>
          <w:tcPr>
            <w:tcW w:type="dxa" w:w="1417"/>
          </w:tcPr>
          <w:p>
            <w:pPr>
              <w:spacing w:line="252" w:lineRule="auto" w:before="40" w:after="40"/>
              <w:jc w:val="right"/>
            </w:pPr>
            <w:r>
              <w:rPr>
                <w:rFonts w:ascii="Times New Roman" w:hAnsi="Times New Roman"/>
                <w:b w:val="0"/>
                <w:i w:val="0"/>
                <w:sz w:val="18"/>
              </w:rPr>
              <w:t>3,16%</w:t>
            </w:r>
          </w:p>
        </w:tc>
      </w:tr>
      <w:tr>
        <w:tc>
          <w:tcPr>
            <w:tcW w:type="dxa" w:w="2268"/>
          </w:tcPr>
          <w:p>
            <w:pPr>
              <w:spacing w:line="252" w:lineRule="auto" w:before="40" w:after="40"/>
              <w:jc w:val="center"/>
            </w:pPr>
            <w:r>
              <w:rPr>
                <w:rFonts w:ascii="Times New Roman" w:hAnsi="Times New Roman"/>
                <w:b w:val="0"/>
                <w:i w:val="0"/>
                <w:sz w:val="18"/>
              </w:rPr>
              <w:t>Optimizer &amp; Learning Rate</w:t>
            </w:r>
          </w:p>
        </w:tc>
        <w:tc>
          <w:tcPr>
            <w:tcW w:type="dxa" w:w="1984"/>
          </w:tcPr>
          <w:p>
            <w:pPr>
              <w:spacing w:line="252" w:lineRule="auto" w:before="40" w:after="40"/>
              <w:jc w:val="both"/>
            </w:pPr>
            <w:r>
              <w:rPr>
                <w:rFonts w:ascii="Times New Roman" w:hAnsi="Times New Roman"/>
                <w:b w:val="0"/>
                <w:i w:val="0"/>
                <w:sz w:val="18"/>
              </w:rPr>
              <w:t>Adam (0.001)</w:t>
            </w:r>
          </w:p>
        </w:tc>
        <w:tc>
          <w:tcPr>
            <w:tcW w:type="dxa" w:w="2835"/>
          </w:tcPr>
          <w:p>
            <w:pPr>
              <w:spacing w:line="252" w:lineRule="auto" w:before="40" w:after="40"/>
              <w:jc w:val="both"/>
            </w:pPr>
            <w:r>
              <w:rPr>
                <w:rFonts w:ascii="Times New Roman" w:hAnsi="Times New Roman"/>
                <w:b w:val="0"/>
                <w:i w:val="0"/>
                <w:sz w:val="18"/>
              </w:rPr>
              <w:t>Waktu Pelatihan Komputasi</w:t>
            </w:r>
          </w:p>
        </w:tc>
        <w:tc>
          <w:tcPr>
            <w:tcW w:type="dxa" w:w="1417"/>
          </w:tcPr>
          <w:p>
            <w:pPr>
              <w:spacing w:line="252" w:lineRule="auto" w:before="40" w:after="40"/>
              <w:jc w:val="both"/>
            </w:pPr>
            <w:r>
              <w:rPr>
                <w:rFonts w:ascii="Times New Roman" w:hAnsi="Times New Roman"/>
                <w:b w:val="0"/>
                <w:i w:val="0"/>
                <w:sz w:val="18"/>
              </w:rPr>
              <w:t>35,19 Detik</w:t>
            </w:r>
          </w:p>
        </w:tc>
      </w:tr>
      <w:tr>
        <w:tc>
          <w:tcPr>
            <w:tcW w:type="dxa" w:w="2268"/>
          </w:tcPr>
          <w:p>
            <w:pPr>
              <w:spacing w:line="252" w:lineRule="auto" w:before="40" w:after="40"/>
              <w:jc w:val="center"/>
            </w:pPr>
            <w:r>
              <w:rPr>
                <w:rFonts w:ascii="Times New Roman" w:hAnsi="Times New Roman"/>
                <w:b w:val="0"/>
                <w:i w:val="0"/>
                <w:sz w:val="18"/>
              </w:rPr>
              <w:t>Ukuran Batch / Epochs</w:t>
            </w:r>
          </w:p>
        </w:tc>
        <w:tc>
          <w:tcPr>
            <w:tcW w:type="dxa" w:w="1984"/>
          </w:tcPr>
          <w:p>
            <w:pPr>
              <w:spacing w:line="252" w:lineRule="auto" w:before="40" w:after="40"/>
              <w:jc w:val="both"/>
            </w:pPr>
            <w:r>
              <w:rPr>
                <w:rFonts w:ascii="Times New Roman" w:hAnsi="Times New Roman"/>
                <w:b w:val="0"/>
                <w:i w:val="0"/>
                <w:sz w:val="18"/>
              </w:rPr>
              <w:t>10 / 18 Epochs</w:t>
            </w:r>
          </w:p>
        </w:tc>
        <w:tc>
          <w:tcPr>
            <w:tcW w:type="dxa" w:w="2835"/>
          </w:tcPr>
          <w:p>
            <w:pPr>
              <w:spacing w:line="252" w:lineRule="auto" w:before="40" w:after="40"/>
              <w:jc w:val="both"/>
            </w:pPr>
            <w:r>
              <w:rPr>
                <w:rFonts w:ascii="Times New Roman" w:hAnsi="Times New Roman"/>
                <w:b w:val="0"/>
                <w:i w:val="0"/>
                <w:sz w:val="18"/>
              </w:rPr>
              <w:t>Status Penghentian Pelatihan</w:t>
            </w:r>
          </w:p>
        </w:tc>
        <w:tc>
          <w:tcPr>
            <w:tcW w:type="dxa" w:w="1417"/>
          </w:tcPr>
          <w:p>
            <w:pPr>
              <w:spacing w:line="252" w:lineRule="auto" w:before="40" w:after="40"/>
              <w:jc w:val="both"/>
            </w:pPr>
            <w:r>
              <w:rPr>
                <w:rFonts w:ascii="Times New Roman" w:hAnsi="Times New Roman"/>
                <w:b w:val="0"/>
                <w:i w:val="0"/>
                <w:sz w:val="18"/>
              </w:rPr>
              <w:t>Early Stopping (Patience 10)</w:t>
            </w:r>
          </w:p>
        </w:tc>
      </w:tr>
    </w:tbl>
    <w:p>
      <w:pPr>
        <w:spacing w:before="200" w:after="80" w:line="360" w:lineRule="auto"/>
      </w:pPr>
      <w:r>
        <w:rPr>
          <w:rFonts w:ascii="Times New Roman" w:hAnsi="Times New Roman"/>
          <w:b/>
          <w:i w:val="0"/>
          <w:sz w:val="24"/>
        </w:rPr>
        <w:t>5. Hasil Optimasi Hyperparameter Tier 3 (LSTM Optuna-TPE)</w:t>
      </w:r>
    </w:p>
    <w:p>
      <w:pPr>
        <w:spacing w:line="360" w:lineRule="auto" w:after="120"/>
        <w:ind w:firstLine="567"/>
        <w:jc w:val="both"/>
      </w:pPr>
      <w:r>
        <w:rPr>
          <w:rFonts w:ascii="Times New Roman" w:hAnsi="Times New Roman"/>
          <w:b w:val="0"/>
          <w:i w:val="0"/>
          <w:sz w:val="24"/>
        </w:rPr>
        <w:t xml:space="preserve">Proses penalaan hyperparameter otomatis Tier 3 dieksekusi menggunakan kerangka kerja Optuna berbasis algoritma Tree-structured Parzen Estimator (TPE) sebanyak 50 uji coba terarah dengan skema validasi Time-Series Split 5-fold pada data in-sample. Algoritma TPE secara cerdas mengarahkan penjelajahan ruang parameter berdimensi tinggi berdasarkan rasio kepadatan probabilitas </w:t>
      </w:r>
      <m:oMath>
        <m:r>
          <m:t>ℓ(x)/g(x)</m:t>
        </m:r>
      </m:oMath>
      <w:r>
        <w:rPr>
          <w:rFonts w:ascii="Times New Roman" w:hAnsi="Times New Roman"/>
          <w:b w:val="0"/>
          <w:i w:val="0"/>
          <w:sz w:val="24"/>
        </w:rPr>
        <w:t>, sementara modul MedianPruner berhasil memangkas uji coba yang berkinerja buruk pada lipatan awal (Akiba et al., 2019; Bergstra et al., 2011). Kurva konvergensi nilai fungsi kerugian validasi sepanjang 50 uji coba ditampilkan pada Gambar 4.1. Dari proses optimasi tersebut, Optuna berhasil mengidentifikasi konfigurasi hyperparameter optimal yang meminimalkan nilai kerugian validasi secara signifikan dibandingkan baseline acuan (Falkner et al., 2018; Feurer &amp; Hutter, 2019).</w:t>
      </w:r>
    </w:p>
    <w:p>
      <w:pPr>
        <w:spacing w:before="160" w:after="40"/>
        <w:jc w:val="center"/>
      </w:pPr>
      <w:r>
        <w:drawing>
          <wp:inline xmlns:a="http://schemas.openxmlformats.org/drawingml/2006/main" xmlns:pic="http://schemas.openxmlformats.org/drawingml/2006/picture">
            <wp:extent cx="4860000" cy="2430000"/>
            <wp:docPr id="1" name="Picture 1"/>
            <wp:cNvGraphicFramePr>
              <a:graphicFrameLocks noChangeAspect="1"/>
            </wp:cNvGraphicFramePr>
            <a:graphic>
              <a:graphicData uri="http://schemas.openxmlformats.org/drawingml/2006/picture">
                <pic:pic>
                  <pic:nvPicPr>
                    <pic:cNvPr id="0" name="gambar_4_3_konvergensi_optuna.png"/>
                    <pic:cNvPicPr/>
                  </pic:nvPicPr>
                  <pic:blipFill>
                    <a:blip r:embed="rId9"/>
                    <a:stretch>
                      <a:fillRect/>
                    </a:stretch>
                  </pic:blipFill>
                  <pic:spPr>
                    <a:xfrm>
                      <a:off x="0" y="0"/>
                      <a:ext cx="4860000" cy="2430000"/>
                    </a:xfrm>
                    <a:prstGeom prst="rect"/>
                  </pic:spPr>
                </pic:pic>
              </a:graphicData>
            </a:graphic>
          </wp:inline>
        </w:drawing>
      </w:r>
    </w:p>
    <w:p>
      <w:pPr>
        <w:spacing w:before="40" w:after="160"/>
        <w:jc w:val="center"/>
      </w:pPr>
      <w:r>
        <w:rPr>
          <w:rFonts w:ascii="Times New Roman" w:hAnsi="Times New Roman"/>
          <w:b/>
          <w:i w:val="0"/>
          <w:sz w:val="21"/>
        </w:rPr>
        <w:t>Gambar 4.1 Kurva Konvergensi Nilai Fungsi Kerugian Validasi Optuna-TPE (50 Trials)</w:t>
      </w:r>
    </w:p>
    <w:p>
      <w:pPr>
        <w:spacing w:line="360" w:lineRule="auto" w:after="120"/>
        <w:ind w:firstLine="567"/>
        <w:jc w:val="both"/>
      </w:pPr>
      <w:r>
        <w:rPr>
          <w:rFonts w:ascii="Times New Roman" w:hAnsi="Times New Roman"/>
          <w:b w:val="0"/>
          <w:i w:val="0"/>
          <w:sz w:val="24"/>
        </w:rPr>
        <w:t xml:space="preserve">Konfigurasi hyperparameter optimal yang ditemukan oleh Optuna-TPE menetapkan panjang jendela lookback </w:t>
      </w:r>
      <m:oMath>
        <m:r>
          <m:t>L=22</m:t>
        </m:r>
      </m:oMath>
      <w:r>
        <w:rPr>
          <w:rFonts w:ascii="Times New Roman" w:hAnsi="Times New Roman"/>
          <w:b w:val="0"/>
          <w:i w:val="0"/>
          <w:sz w:val="24"/>
        </w:rPr>
        <w:t xml:space="preserve"> hari, kapasitas hidden layer sebesar 100 unit neuron tunggal, tingkat Dropout 0.10, laju pembelajaran awal 0.00197 yang dipadukan dengan scheduler penyesuaian dinamis (ReduceLROnPlateau), fungsi kerugian linier Mean Absolute Error (MAE), serta ukuran batch 16 sampel (Tabel 4.4). Temuan panjang jendela 22 hari ini memberikan wawasan komputasi baru yang sangat penting bahwa siklus pergerakan harga tiga mingguan kalender perdagangan memiliki korelasi temporal terkuat pada dinamika pasar Bitcoin tanpa membebani memori model dengan data usang. Model arsitektur terpilih ini kemudian dilatih ulang pada seluruh data in-sample selama 46 epoch hingga mencapai kestabilan konvergensi bobot sinapsis jaringan (Goodfellow et al., 2016). Seluruh bobot model optimal disimpan ke dalam format berkas biner Keras untuk pengujian holdout akhir (Sakarya University, 2023).</w:t>
      </w:r>
    </w:p>
    <w:p>
      <w:pPr>
        <w:spacing w:before="200" w:after="60" w:line="240" w:lineRule="auto"/>
        <w:jc w:val="center"/>
      </w:pPr>
      <w:r>
        <w:rPr>
          <w:rFonts w:ascii="Times New Roman" w:hAnsi="Times New Roman"/>
          <w:b/>
          <w:i w:val="0"/>
          <w:sz w:val="22"/>
        </w:rPr>
        <w:t>Tabel 4.4 Konfigurasi Hyperparameter Optimal Hasil Optimasi Optuna-TPE</w:t>
      </w:r>
    </w:p>
    <w:tbl>
      <w:tblPr>
        <w:tblW w:type="auto" w:w="0"/>
        <w:jc w:val="center"/>
        <w:tblLook w:firstColumn="1" w:firstRow="1" w:lastColumn="0" w:lastRow="0" w:noHBand="0" w:noVBand="1" w:val="04A0"/>
      </w:tblPr>
      <w:tblGrid>
        <w:gridCol w:w="1984"/>
        <w:gridCol w:w="1984"/>
        <w:gridCol w:w="1984"/>
        <w:gridCol w:w="1984"/>
      </w:tblGrid>
      <w:tr>
        <w:tc>
          <w:tcPr>
            <w:tcW w:type="dxa" w:w="2154"/>
            <w:shd w:fill="E8EEF5"/>
          </w:tcPr>
          <w:p>
            <w:pPr>
              <w:spacing w:line="252" w:lineRule="auto" w:before="40" w:after="40"/>
              <w:jc w:val="center"/>
            </w:pPr>
            <w:r>
              <w:rPr>
                <w:rFonts w:ascii="Times New Roman" w:hAnsi="Times New Roman"/>
                <w:b/>
                <w:i w:val="0"/>
                <w:sz w:val="18"/>
              </w:rPr>
              <w:t>Hyperparameter Kunci</w:t>
            </w:r>
          </w:p>
        </w:tc>
        <w:tc>
          <w:tcPr>
            <w:tcW w:type="dxa" w:w="1814"/>
            <w:shd w:fill="E8EEF5"/>
          </w:tcPr>
          <w:p>
            <w:pPr>
              <w:spacing w:line="252" w:lineRule="auto" w:before="40" w:after="40"/>
              <w:jc w:val="both"/>
            </w:pPr>
            <w:r>
              <w:rPr>
                <w:rFonts w:ascii="Times New Roman" w:hAnsi="Times New Roman"/>
                <w:b/>
                <w:i w:val="0"/>
                <w:sz w:val="18"/>
              </w:rPr>
              <w:t>Domain Pencarian Optuna</w:t>
            </w:r>
          </w:p>
        </w:tc>
        <w:tc>
          <w:tcPr>
            <w:tcW w:type="dxa" w:w="1417"/>
            <w:shd w:fill="E8EEF5"/>
          </w:tcPr>
          <w:p>
            <w:pPr>
              <w:spacing w:line="252" w:lineRule="auto" w:before="40" w:after="40"/>
              <w:jc w:val="both"/>
            </w:pPr>
            <w:r>
              <w:rPr>
                <w:rFonts w:ascii="Times New Roman" w:hAnsi="Times New Roman"/>
                <w:b/>
                <w:i w:val="0"/>
                <w:sz w:val="18"/>
              </w:rPr>
              <w:t>Nilai Terpilih Optuna</w:t>
            </w:r>
          </w:p>
        </w:tc>
        <w:tc>
          <w:tcPr>
            <w:tcW w:type="dxa" w:w="3118"/>
            <w:shd w:fill="E8EEF5"/>
          </w:tcPr>
          <w:p>
            <w:pPr>
              <w:spacing w:line="252" w:lineRule="auto" w:before="40" w:after="40"/>
              <w:jc w:val="both"/>
            </w:pPr>
            <w:r>
              <w:rPr>
                <w:rFonts w:ascii="Times New Roman" w:hAnsi="Times New Roman"/>
                <w:b/>
                <w:i w:val="0"/>
                <w:sz w:val="18"/>
              </w:rPr>
              <w:t>Peranan Matematis</w:t>
            </w:r>
          </w:p>
        </w:tc>
      </w:tr>
      <w:tr>
        <w:tc>
          <w:tcPr>
            <w:tcW w:type="dxa" w:w="2154"/>
          </w:tcPr>
          <w:p>
            <w:pPr>
              <w:spacing w:line="252" w:lineRule="auto" w:before="40" w:after="40"/>
              <w:jc w:val="center"/>
            </w:pPr>
            <w:r>
              <w:rPr>
                <w:rFonts w:ascii="Times New Roman" w:hAnsi="Times New Roman"/>
                <w:b w:val="0"/>
                <w:i w:val="0"/>
                <w:sz w:val="18"/>
              </w:rPr>
              <w:t>Lookback Window (L)</w:t>
            </w:r>
          </w:p>
        </w:tc>
        <w:tc>
          <w:tcPr>
            <w:tcW w:type="dxa" w:w="1814"/>
          </w:tcPr>
          <w:p>
            <w:pPr>
              <w:spacing w:line="252" w:lineRule="auto" w:before="40" w:after="40"/>
              <w:jc w:val="both"/>
            </w:pPr>
            <w:r>
              <w:rPr>
                <w:rFonts w:ascii="Times New Roman" w:hAnsi="Times New Roman"/>
                <w:b w:val="0"/>
                <w:i w:val="0"/>
                <w:sz w:val="18"/>
              </w:rPr>
              <w:t>7 s.d. 30 Hari (Int)</w:t>
            </w:r>
          </w:p>
        </w:tc>
        <w:tc>
          <w:tcPr>
            <w:tcW w:type="dxa" w:w="1417"/>
          </w:tcPr>
          <w:p>
            <w:pPr>
              <w:spacing w:line="252" w:lineRule="auto" w:before="40" w:after="40"/>
              <w:jc w:val="both"/>
            </w:pPr>
            <w:r>
              <w:rPr>
                <w:rFonts w:ascii="Times New Roman" w:hAnsi="Times New Roman"/>
                <w:b w:val="0"/>
                <w:i w:val="0"/>
                <w:sz w:val="18"/>
              </w:rPr>
              <w:t>22 Hari</w:t>
            </w:r>
          </w:p>
        </w:tc>
        <w:tc>
          <w:tcPr>
            <w:tcW w:type="dxa" w:w="3118"/>
          </w:tcPr>
          <w:p>
            <w:pPr>
              <w:spacing w:line="252" w:lineRule="auto" w:before="40" w:after="40"/>
              <w:jc w:val="both"/>
            </w:pPr>
            <w:r>
              <w:rPr>
                <w:rFonts w:ascii="Times New Roman" w:hAnsi="Times New Roman"/>
                <w:b w:val="0"/>
                <w:i w:val="0"/>
                <w:sz w:val="18"/>
              </w:rPr>
              <w:t>Menangkap siklus momentum temporal ~3 mingguan teroptimasi</w:t>
            </w:r>
          </w:p>
        </w:tc>
      </w:tr>
      <w:tr>
        <w:tc>
          <w:tcPr>
            <w:tcW w:type="dxa" w:w="2154"/>
          </w:tcPr>
          <w:p>
            <w:pPr>
              <w:spacing w:line="252" w:lineRule="auto" w:before="40" w:after="40"/>
              <w:jc w:val="center"/>
            </w:pPr>
            <w:r>
              <w:rPr>
                <w:rFonts w:ascii="Times New Roman" w:hAnsi="Times New Roman"/>
                <w:b w:val="0"/>
                <w:i w:val="0"/>
                <w:sz w:val="18"/>
              </w:rPr>
              <w:t>Hidden Units (Layer 1)</w:t>
            </w:r>
          </w:p>
        </w:tc>
        <w:tc>
          <w:tcPr>
            <w:tcW w:type="dxa" w:w="1814"/>
          </w:tcPr>
          <w:p>
            <w:pPr>
              <w:spacing w:line="252" w:lineRule="auto" w:before="40" w:after="40"/>
              <w:jc w:val="both"/>
            </w:pPr>
            <w:r>
              <w:rPr>
                <w:rFonts w:ascii="Times New Roman" w:hAnsi="Times New Roman"/>
                <w:b w:val="0"/>
                <w:i w:val="0"/>
                <w:sz w:val="18"/>
              </w:rPr>
              <w:t>32 s.d. 128 Neuron (Int)</w:t>
            </w:r>
          </w:p>
        </w:tc>
        <w:tc>
          <w:tcPr>
            <w:tcW w:type="dxa" w:w="1417"/>
          </w:tcPr>
          <w:p>
            <w:pPr>
              <w:spacing w:line="252" w:lineRule="auto" w:before="40" w:after="40"/>
              <w:jc w:val="both"/>
            </w:pPr>
            <w:r>
              <w:rPr>
                <w:rFonts w:ascii="Times New Roman" w:hAnsi="Times New Roman"/>
                <w:b w:val="0"/>
                <w:i w:val="0"/>
                <w:sz w:val="18"/>
              </w:rPr>
              <w:t>100 Neuron</w:t>
            </w:r>
          </w:p>
        </w:tc>
        <w:tc>
          <w:tcPr>
            <w:tcW w:type="dxa" w:w="3118"/>
          </w:tcPr>
          <w:p>
            <w:pPr>
              <w:spacing w:line="252" w:lineRule="auto" w:before="40" w:after="40"/>
              <w:jc w:val="both"/>
            </w:pPr>
            <w:r>
              <w:rPr>
                <w:rFonts w:ascii="Times New Roman" w:hAnsi="Times New Roman"/>
                <w:b w:val="0"/>
                <w:i w:val="0"/>
                <w:sz w:val="18"/>
              </w:rPr>
              <w:t>Kapasitas representasi non-linier optimal &amp; stabil</w:t>
            </w:r>
          </w:p>
        </w:tc>
      </w:tr>
      <w:tr>
        <w:tc>
          <w:tcPr>
            <w:tcW w:type="dxa" w:w="2154"/>
          </w:tcPr>
          <w:p>
            <w:pPr>
              <w:spacing w:line="252" w:lineRule="auto" w:before="40" w:after="40"/>
              <w:jc w:val="center"/>
            </w:pPr>
            <w:r>
              <w:rPr>
                <w:rFonts w:ascii="Times New Roman" w:hAnsi="Times New Roman"/>
                <w:b w:val="0"/>
                <w:i w:val="0"/>
                <w:sz w:val="18"/>
              </w:rPr>
              <w:t>Tingkat Regularisasi Dropout</w:t>
            </w:r>
          </w:p>
        </w:tc>
        <w:tc>
          <w:tcPr>
            <w:tcW w:type="dxa" w:w="1814"/>
          </w:tcPr>
          <w:p>
            <w:pPr>
              <w:spacing w:line="252" w:lineRule="auto" w:before="40" w:after="40"/>
              <w:jc w:val="both"/>
            </w:pPr>
            <w:r>
              <w:rPr>
                <w:rFonts w:ascii="Times New Roman" w:hAnsi="Times New Roman"/>
                <w:b w:val="0"/>
                <w:i w:val="0"/>
                <w:sz w:val="18"/>
              </w:rPr>
              <w:t>0.10 s.d. 0.40 (Float)</w:t>
            </w:r>
          </w:p>
        </w:tc>
        <w:tc>
          <w:tcPr>
            <w:tcW w:type="dxa" w:w="1417"/>
          </w:tcPr>
          <w:p>
            <w:pPr>
              <w:spacing w:line="252" w:lineRule="auto" w:before="40" w:after="40"/>
              <w:jc w:val="both"/>
            </w:pPr>
            <w:r>
              <w:rPr>
                <w:rFonts w:ascii="Times New Roman" w:hAnsi="Times New Roman"/>
                <w:b w:val="0"/>
                <w:i w:val="0"/>
                <w:sz w:val="18"/>
              </w:rPr>
              <w:t>0.10</w:t>
            </w:r>
          </w:p>
        </w:tc>
        <w:tc>
          <w:tcPr>
            <w:tcW w:type="dxa" w:w="3118"/>
          </w:tcPr>
          <w:p>
            <w:pPr>
              <w:spacing w:line="252" w:lineRule="auto" w:before="40" w:after="40"/>
              <w:jc w:val="both"/>
            </w:pPr>
            <w:r>
              <w:rPr>
                <w:rFonts w:ascii="Times New Roman" w:hAnsi="Times New Roman"/>
                <w:b w:val="0"/>
                <w:i w:val="0"/>
                <w:sz w:val="18"/>
              </w:rPr>
              <w:t>Mencegah memorisasi derau tanpa degradasi kapasitas</w:t>
            </w:r>
          </w:p>
        </w:tc>
      </w:tr>
      <w:tr>
        <w:tc>
          <w:tcPr>
            <w:tcW w:type="dxa" w:w="2154"/>
          </w:tcPr>
          <w:p>
            <w:pPr>
              <w:spacing w:line="252" w:lineRule="auto" w:before="40" w:after="40"/>
              <w:jc w:val="center"/>
            </w:pPr>
            <w:r>
              <w:rPr>
                <w:rFonts w:ascii="Times New Roman" w:hAnsi="Times New Roman"/>
                <w:b w:val="0"/>
                <w:i w:val="0"/>
                <w:sz w:val="18"/>
              </w:rPr>
              <w:t>Laju Pembelajaran (LR)</w:t>
            </w:r>
          </w:p>
        </w:tc>
        <w:tc>
          <w:tcPr>
            <w:tcW w:type="dxa" w:w="1814"/>
          </w:tcPr>
          <w:p>
            <w:pPr>
              <w:spacing w:line="252" w:lineRule="auto" w:before="40" w:after="40"/>
              <w:jc w:val="both"/>
            </w:pPr>
            <w:r>
              <w:rPr>
                <w:rFonts w:ascii="Times New Roman" w:hAnsi="Times New Roman"/>
                <w:b w:val="0"/>
                <w:i w:val="0"/>
                <w:sz w:val="18"/>
              </w:rPr>
              <w:t>5e-4 s.d. 2e-3 (Log Float)</w:t>
            </w:r>
          </w:p>
        </w:tc>
        <w:tc>
          <w:tcPr>
            <w:tcW w:type="dxa" w:w="1417"/>
          </w:tcPr>
          <w:p>
            <w:pPr>
              <w:spacing w:line="252" w:lineRule="auto" w:before="40" w:after="40"/>
              <w:jc w:val="both"/>
            </w:pPr>
            <w:r>
              <w:rPr>
                <w:rFonts w:ascii="Times New Roman" w:hAnsi="Times New Roman"/>
                <w:b w:val="0"/>
                <w:i w:val="0"/>
                <w:sz w:val="18"/>
              </w:rPr>
              <w:t>0.00197 + Decay</w:t>
            </w:r>
          </w:p>
        </w:tc>
        <w:tc>
          <w:tcPr>
            <w:tcW w:type="dxa" w:w="3118"/>
          </w:tcPr>
          <w:p>
            <w:pPr>
              <w:spacing w:line="252" w:lineRule="auto" w:before="40" w:after="40"/>
              <w:jc w:val="both"/>
            </w:pPr>
            <w:r>
              <w:rPr>
                <w:rFonts w:ascii="Times New Roman" w:hAnsi="Times New Roman"/>
                <w:b w:val="0"/>
                <w:i w:val="0"/>
                <w:sz w:val="18"/>
              </w:rPr>
              <w:t>Langkah pembaruan gradien adaptif optimizer Adam</w:t>
            </w:r>
          </w:p>
        </w:tc>
      </w:tr>
      <w:tr>
        <w:tc>
          <w:tcPr>
            <w:tcW w:type="dxa" w:w="2154"/>
          </w:tcPr>
          <w:p>
            <w:pPr>
              <w:spacing w:line="252" w:lineRule="auto" w:before="40" w:after="40"/>
              <w:jc w:val="center"/>
            </w:pPr>
            <w:r>
              <w:rPr>
                <w:rFonts w:ascii="Times New Roman" w:hAnsi="Times New Roman"/>
                <w:b w:val="0"/>
                <w:i w:val="0"/>
                <w:sz w:val="18"/>
              </w:rPr>
              <w:t>Fungsi Kerugian (Loss)</w:t>
            </w:r>
          </w:p>
        </w:tc>
        <w:tc>
          <w:tcPr>
            <w:tcW w:type="dxa" w:w="1814"/>
          </w:tcPr>
          <w:p>
            <w:pPr>
              <w:spacing w:line="252" w:lineRule="auto" w:before="40" w:after="40"/>
              <w:jc w:val="both"/>
            </w:pPr>
            <w:r>
              <w:rPr>
                <w:rFonts w:ascii="Times New Roman" w:hAnsi="Times New Roman"/>
                <w:b w:val="0"/>
                <w:i w:val="0"/>
                <w:sz w:val="18"/>
              </w:rPr>
              <w:t>MAE vs MSE</w:t>
            </w:r>
          </w:p>
        </w:tc>
        <w:tc>
          <w:tcPr>
            <w:tcW w:type="dxa" w:w="1417"/>
          </w:tcPr>
          <w:p>
            <w:pPr>
              <w:spacing w:line="252" w:lineRule="auto" w:before="40" w:after="40"/>
              <w:jc w:val="both"/>
            </w:pPr>
            <w:r>
              <w:rPr>
                <w:rFonts w:ascii="Times New Roman" w:hAnsi="Times New Roman"/>
                <w:b w:val="0"/>
                <w:i w:val="0"/>
                <w:sz w:val="18"/>
              </w:rPr>
              <w:t>MAE (L1-Norm)</w:t>
            </w:r>
          </w:p>
        </w:tc>
        <w:tc>
          <w:tcPr>
            <w:tcW w:type="dxa" w:w="3118"/>
          </w:tcPr>
          <w:p>
            <w:pPr>
              <w:spacing w:line="252" w:lineRule="auto" w:before="40" w:after="40"/>
              <w:jc w:val="both"/>
            </w:pPr>
            <w:r>
              <w:rPr>
                <w:rFonts w:ascii="Times New Roman" w:hAnsi="Times New Roman"/>
                <w:b w:val="0"/>
                <w:i w:val="0"/>
                <w:sz w:val="18"/>
              </w:rPr>
              <w:t>Menyelaraskan langsung objektif latih dengan formula MAPE</w:t>
            </w:r>
          </w:p>
        </w:tc>
      </w:tr>
      <w:tr>
        <w:tc>
          <w:tcPr>
            <w:tcW w:type="dxa" w:w="2154"/>
          </w:tcPr>
          <w:p>
            <w:pPr>
              <w:spacing w:line="252" w:lineRule="auto" w:before="40" w:after="40"/>
              <w:jc w:val="center"/>
            </w:pPr>
            <w:r>
              <w:rPr>
                <w:rFonts w:ascii="Times New Roman" w:hAnsi="Times New Roman"/>
                <w:b w:val="0"/>
                <w:i w:val="0"/>
                <w:sz w:val="18"/>
              </w:rPr>
              <w:t>Ukuran Batch (Batch Size)</w:t>
            </w:r>
          </w:p>
        </w:tc>
        <w:tc>
          <w:tcPr>
            <w:tcW w:type="dxa" w:w="1814"/>
          </w:tcPr>
          <w:p>
            <w:pPr>
              <w:spacing w:line="252" w:lineRule="auto" w:before="40" w:after="40"/>
              <w:jc w:val="both"/>
            </w:pPr>
            <w:r>
              <w:rPr>
                <w:rFonts w:ascii="Times New Roman" w:hAnsi="Times New Roman"/>
                <w:b w:val="0"/>
                <w:i w:val="0"/>
                <w:sz w:val="18"/>
              </w:rPr>
              <w:t>[16, 32, 64] (Kategorikal)</w:t>
            </w:r>
          </w:p>
        </w:tc>
        <w:tc>
          <w:tcPr>
            <w:tcW w:type="dxa" w:w="1417"/>
          </w:tcPr>
          <w:p>
            <w:pPr>
              <w:spacing w:line="252" w:lineRule="auto" w:before="40" w:after="40"/>
              <w:jc w:val="both"/>
            </w:pPr>
            <w:r>
              <w:rPr>
                <w:rFonts w:ascii="Times New Roman" w:hAnsi="Times New Roman"/>
                <w:b w:val="0"/>
                <w:i w:val="0"/>
                <w:sz w:val="18"/>
              </w:rPr>
              <w:t>16 Sampel</w:t>
            </w:r>
          </w:p>
        </w:tc>
        <w:tc>
          <w:tcPr>
            <w:tcW w:type="dxa" w:w="3118"/>
          </w:tcPr>
          <w:p>
            <w:pPr>
              <w:spacing w:line="252" w:lineRule="auto" w:before="40" w:after="40"/>
              <w:jc w:val="both"/>
            </w:pPr>
            <w:r>
              <w:rPr>
                <w:rFonts w:ascii="Times New Roman" w:hAnsi="Times New Roman"/>
                <w:b w:val="0"/>
                <w:i w:val="0"/>
                <w:sz w:val="18"/>
              </w:rPr>
              <w:t>Keseimbangan stabilitas gradien dan kecepatan konvergensi</w:t>
            </w:r>
          </w:p>
        </w:tc>
      </w:tr>
      <w:tr>
        <w:tc>
          <w:tcPr>
            <w:tcW w:type="dxa" w:w="2154"/>
          </w:tcPr>
          <w:p>
            <w:pPr>
              <w:spacing w:line="252" w:lineRule="auto" w:before="40" w:after="40"/>
              <w:jc w:val="center"/>
            </w:pPr>
            <w:r>
              <w:rPr>
                <w:rFonts w:ascii="Times New Roman" w:hAnsi="Times New Roman"/>
                <w:b w:val="0"/>
                <w:i w:val="0"/>
                <w:sz w:val="18"/>
              </w:rPr>
              <w:t>Jumlah Layer LSTM</w:t>
            </w:r>
          </w:p>
        </w:tc>
        <w:tc>
          <w:tcPr>
            <w:tcW w:type="dxa" w:w="1814"/>
          </w:tcPr>
          <w:p>
            <w:pPr>
              <w:spacing w:line="252" w:lineRule="auto" w:before="40" w:after="40"/>
              <w:jc w:val="both"/>
            </w:pPr>
            <w:r>
              <w:rPr>
                <w:rFonts w:ascii="Times New Roman" w:hAnsi="Times New Roman"/>
                <w:b w:val="0"/>
                <w:i w:val="0"/>
                <w:sz w:val="18"/>
              </w:rPr>
              <w:t>1 s.d. 2 Layer (Int)</w:t>
            </w:r>
          </w:p>
        </w:tc>
        <w:tc>
          <w:tcPr>
            <w:tcW w:type="dxa" w:w="1417"/>
          </w:tcPr>
          <w:p>
            <w:pPr>
              <w:spacing w:line="252" w:lineRule="auto" w:before="40" w:after="40"/>
              <w:jc w:val="both"/>
            </w:pPr>
            <w:r>
              <w:rPr>
                <w:rFonts w:ascii="Times New Roman" w:hAnsi="Times New Roman"/>
                <w:b w:val="0"/>
                <w:i w:val="0"/>
                <w:sz w:val="18"/>
              </w:rPr>
              <w:t>1 Layer</w:t>
            </w:r>
          </w:p>
        </w:tc>
        <w:tc>
          <w:tcPr>
            <w:tcW w:type="dxa" w:w="3118"/>
          </w:tcPr>
          <w:p>
            <w:pPr>
              <w:spacing w:line="252" w:lineRule="auto" w:before="40" w:after="40"/>
              <w:jc w:val="both"/>
            </w:pPr>
            <w:r>
              <w:rPr>
                <w:rFonts w:ascii="Times New Roman" w:hAnsi="Times New Roman"/>
                <w:b w:val="0"/>
                <w:i w:val="0"/>
                <w:sz w:val="18"/>
              </w:rPr>
              <w:t>Mencegah vanishing gradient pada deret waktu keuangan</w:t>
            </w:r>
          </w:p>
        </w:tc>
      </w:tr>
    </w:tbl>
    <w:p>
      <w:pPr>
        <w:spacing w:line="360" w:lineRule="auto" w:after="120"/>
        <w:ind w:firstLine="567"/>
        <w:jc w:val="both"/>
      </w:pPr>
      <w:r>
        <w:rPr>
          <w:rFonts w:ascii="Times New Roman" w:hAnsi="Times New Roman"/>
          <w:b w:val="0"/>
          <w:i w:val="0"/>
          <w:sz w:val="24"/>
        </w:rPr>
        <w:t>Evaluasi model usulan Tier 3 pada segmen pengujian out-of-sample menghasilkan capaian akurasi yang unggul, dengan nilai Root Mean Square Error (RMSE) sebesar USD 2.338,22, Mean Absolute Error (MAE) sebesar USD 1.784,27, serta persentase galat Mean Absolute Percentage Error (MAPE) yang berhasil ditekan hingga level 1,81%. Jika dibandingkan dengan model rujukan utama Tier 2 (Khumaidi dkk.) maupun model kontrol default Tier 1, Tier 3 membuktikan keunggulan superior di setiap metrik evaluasi dengan margin galat yang jauh lebih ramping. Capaian MAPE sebesar 1,81% pada fase pergerakan harga Bitcoin yang sangat volatil di atas level USD 100.000 membuktikan ketangguhan generalisasi model hasil penalaan probabilistik (Hyndman &amp; Athanasopoulos, 2018). Model ini berhasil mengikuti lintasan perubahan harga tanpa mengalami keterlambatan maupun lonjakan deviasi ekstrem (Willmott &amp; Matsuura, 2005).</w:t>
      </w:r>
    </w:p>
    <w:p>
      <w:pPr>
        <w:spacing w:before="200" w:after="80" w:line="360" w:lineRule="auto"/>
      </w:pPr>
      <w:r>
        <w:rPr>
          <w:rFonts w:ascii="Times New Roman" w:hAnsi="Times New Roman"/>
          <w:b/>
          <w:i w:val="0"/>
          <w:sz w:val="24"/>
        </w:rPr>
        <w:t>6. Hasil Pengujian Benchmark Komparatif 3-Tier</w:t>
      </w:r>
    </w:p>
    <w:p>
      <w:pPr>
        <w:spacing w:line="360" w:lineRule="auto" w:after="120"/>
        <w:ind w:firstLine="567"/>
        <w:jc w:val="both"/>
      </w:pPr>
      <w:r>
        <w:rPr>
          <w:rFonts w:ascii="Times New Roman" w:hAnsi="Times New Roman"/>
          <w:b w:val="0"/>
          <w:i w:val="0"/>
          <w:sz w:val="24"/>
        </w:rPr>
        <w:t>Rekapitulasi komparasi kinerja ketiga tingkatan model disajikan secara terpadu pada Tabel 4.5 dan divisualisasikan melalui kurva peramalan harga pada Gambar 4.2 serta diagram batang komparatif pada Gambar 4.3. Berdasarkan Persamaan (3.2), Tier 3 berhasil mencatatkan peningkatan performa (*positive improvement*) yang sangat signifikan terhadap model penalaan manual Tier 2 (Khumaidi dkk.), di mana Tier 3 mencatatkan penurunan RMSE sebesar +40,11% (dari USD 3.904,15 ke USD 2.338,22), penurunan MAE sebesar +43,94% (dari USD 3.182,86 ke USD 1.784,27), serta penurunan MAPE sebesar +42,72% (dari 3,16% ke 1,81%) sebagaimana dirangkum pada Tabel 4.5. Di samping itu, Tier 3 juga mengungguli Tier 1 baseline default dengan penurunan RMSE +20,67% dan MAPE +23,31%. Bukti empiris ini secara mutlak memvalidasi hipotesis penelitian bahwa optimasi otomatis Bayesian TPE mengungguli penalaan manual heuristik (Bouthillier et al., 2020; Makridakis et al., 2018).</w:t>
      </w:r>
    </w:p>
    <w:p>
      <w:pPr>
        <w:spacing w:before="200" w:after="60" w:line="240" w:lineRule="auto"/>
        <w:jc w:val="center"/>
      </w:pPr>
      <w:r>
        <w:rPr>
          <w:rFonts w:ascii="Times New Roman" w:hAnsi="Times New Roman"/>
          <w:b/>
          <w:i w:val="0"/>
          <w:sz w:val="22"/>
        </w:rPr>
        <w:t>Tabel 4.5 Rekapitulasi Komparasi Kinerja Benchmark 3-Tier dan Persentase Peningkatan</w:t>
      </w:r>
    </w:p>
    <w:tbl>
      <w:tblPr>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2154"/>
            <w:shd w:fill="E8EEF5"/>
          </w:tcPr>
          <w:p>
            <w:pPr>
              <w:spacing w:line="252" w:lineRule="auto" w:before="40" w:after="40"/>
              <w:jc w:val="center"/>
            </w:pPr>
            <w:r>
              <w:rPr>
                <w:rFonts w:ascii="Times New Roman" w:hAnsi="Times New Roman"/>
                <w:b/>
                <w:i w:val="0"/>
                <w:sz w:val="18"/>
              </w:rPr>
              <w:t>Tingkatan Model</w:t>
            </w:r>
          </w:p>
        </w:tc>
        <w:tc>
          <w:tcPr>
            <w:tcW w:type="dxa" w:w="907"/>
            <w:shd w:fill="E8EEF5"/>
          </w:tcPr>
          <w:p>
            <w:pPr>
              <w:spacing w:line="252" w:lineRule="auto" w:before="40" w:after="40"/>
              <w:jc w:val="both"/>
            </w:pPr>
            <w:r>
              <w:rPr>
                <w:rFonts w:ascii="Times New Roman" w:hAnsi="Times New Roman"/>
                <w:b/>
                <w:i w:val="0"/>
                <w:sz w:val="18"/>
              </w:rPr>
              <w:t>Lookback (L)</w:t>
            </w:r>
          </w:p>
        </w:tc>
        <w:tc>
          <w:tcPr>
            <w:tcW w:type="dxa" w:w="1020"/>
            <w:shd w:fill="E8EEF5"/>
          </w:tcPr>
          <w:p>
            <w:pPr>
              <w:spacing w:line="252" w:lineRule="auto" w:before="40" w:after="40"/>
              <w:jc w:val="both"/>
            </w:pPr>
            <w:r>
              <w:rPr>
                <w:rFonts w:ascii="Times New Roman" w:hAnsi="Times New Roman"/>
                <w:b/>
                <w:i w:val="0"/>
                <w:sz w:val="18"/>
              </w:rPr>
              <w:t>RMSE (USD)</w:t>
            </w:r>
          </w:p>
        </w:tc>
        <w:tc>
          <w:tcPr>
            <w:tcW w:type="dxa" w:w="1020"/>
            <w:shd w:fill="E8EEF5"/>
          </w:tcPr>
          <w:p>
            <w:pPr>
              <w:spacing w:line="252" w:lineRule="auto" w:before="40" w:after="40"/>
              <w:jc w:val="both"/>
            </w:pPr>
            <w:r>
              <w:rPr>
                <w:rFonts w:ascii="Times New Roman" w:hAnsi="Times New Roman"/>
                <w:b/>
                <w:i w:val="0"/>
                <w:sz w:val="18"/>
              </w:rPr>
              <w:t>MAE (USD)</w:t>
            </w:r>
          </w:p>
        </w:tc>
        <w:tc>
          <w:tcPr>
            <w:tcW w:type="dxa" w:w="794"/>
            <w:shd w:fill="E8EEF5"/>
          </w:tcPr>
          <w:p>
            <w:pPr>
              <w:spacing w:line="252" w:lineRule="auto" w:before="40" w:after="40"/>
              <w:jc w:val="both"/>
            </w:pPr>
            <w:r>
              <w:rPr>
                <w:rFonts w:ascii="Times New Roman" w:hAnsi="Times New Roman"/>
                <w:b/>
                <w:i w:val="0"/>
                <w:sz w:val="18"/>
              </w:rPr>
              <w:t>MAPE (%)</w:t>
            </w:r>
          </w:p>
        </w:tc>
        <w:tc>
          <w:tcPr>
            <w:tcW w:type="dxa" w:w="850"/>
            <w:shd w:fill="E8EEF5"/>
          </w:tcPr>
          <w:p>
            <w:pPr>
              <w:spacing w:line="252" w:lineRule="auto" w:before="40" w:after="40"/>
              <w:jc w:val="both"/>
            </w:pPr>
            <w:r>
              <w:rPr>
                <w:rFonts w:ascii="Times New Roman" w:hAnsi="Times New Roman"/>
                <w:b/>
                <w:i w:val="0"/>
                <w:sz w:val="18"/>
              </w:rPr>
              <w:t>Imp RMSE vs T2</w:t>
            </w:r>
          </w:p>
        </w:tc>
        <w:tc>
          <w:tcPr>
            <w:tcW w:type="dxa" w:w="850"/>
            <w:shd w:fill="E8EEF5"/>
          </w:tcPr>
          <w:p>
            <w:pPr>
              <w:spacing w:line="252" w:lineRule="auto" w:before="40" w:after="40"/>
              <w:jc w:val="both"/>
            </w:pPr>
            <w:r>
              <w:rPr>
                <w:rFonts w:ascii="Times New Roman" w:hAnsi="Times New Roman"/>
                <w:b/>
                <w:i w:val="0"/>
                <w:sz w:val="18"/>
              </w:rPr>
              <w:t>Imp MAE vs T2</w:t>
            </w:r>
          </w:p>
        </w:tc>
        <w:tc>
          <w:tcPr>
            <w:tcW w:type="dxa" w:w="907"/>
            <w:shd w:fill="E8EEF5"/>
          </w:tcPr>
          <w:p>
            <w:pPr>
              <w:spacing w:line="252" w:lineRule="auto" w:before="40" w:after="40"/>
              <w:jc w:val="both"/>
            </w:pPr>
            <w:r>
              <w:rPr>
                <w:rFonts w:ascii="Times New Roman" w:hAnsi="Times New Roman"/>
                <w:b/>
                <w:i w:val="0"/>
                <w:sz w:val="18"/>
              </w:rPr>
              <w:t>Imp MAPE vs T2</w:t>
            </w:r>
          </w:p>
        </w:tc>
      </w:tr>
      <w:tr>
        <w:tc>
          <w:tcPr>
            <w:tcW w:type="dxa" w:w="2154"/>
          </w:tcPr>
          <w:p>
            <w:pPr>
              <w:spacing w:line="252" w:lineRule="auto" w:before="40" w:after="40"/>
              <w:jc w:val="center"/>
            </w:pPr>
            <w:r>
              <w:rPr>
                <w:rFonts w:ascii="Times New Roman" w:hAnsi="Times New Roman"/>
                <w:b w:val="0"/>
                <w:i w:val="0"/>
                <w:sz w:val="18"/>
              </w:rPr>
              <w:t>Tier 1: LSTM Default (Baseline)</w:t>
            </w:r>
          </w:p>
        </w:tc>
        <w:tc>
          <w:tcPr>
            <w:tcW w:type="dxa" w:w="907"/>
          </w:tcPr>
          <w:p>
            <w:pPr>
              <w:spacing w:line="252" w:lineRule="auto" w:before="40" w:after="40"/>
              <w:jc w:val="both"/>
            </w:pPr>
            <w:r>
              <w:rPr>
                <w:rFonts w:ascii="Times New Roman" w:hAnsi="Times New Roman"/>
                <w:b w:val="0"/>
                <w:i w:val="0"/>
                <w:sz w:val="18"/>
              </w:rPr>
              <w:t>30 Hari</w:t>
            </w:r>
          </w:p>
        </w:tc>
        <w:tc>
          <w:tcPr>
            <w:tcW w:type="dxa" w:w="1020"/>
          </w:tcPr>
          <w:p>
            <w:pPr>
              <w:spacing w:line="252" w:lineRule="auto" w:before="40" w:after="40"/>
              <w:jc w:val="right"/>
            </w:pPr>
            <w:r>
              <w:rPr>
                <w:rFonts w:ascii="Times New Roman" w:hAnsi="Times New Roman"/>
                <w:b w:val="0"/>
                <w:i w:val="0"/>
                <w:sz w:val="18"/>
              </w:rPr>
              <w:t>USD 2.947,60</w:t>
            </w:r>
          </w:p>
        </w:tc>
        <w:tc>
          <w:tcPr>
            <w:tcW w:type="dxa" w:w="1020"/>
          </w:tcPr>
          <w:p>
            <w:pPr>
              <w:spacing w:line="252" w:lineRule="auto" w:before="40" w:after="40"/>
              <w:jc w:val="right"/>
            </w:pPr>
            <w:r>
              <w:rPr>
                <w:rFonts w:ascii="Times New Roman" w:hAnsi="Times New Roman"/>
                <w:b w:val="0"/>
                <w:i w:val="0"/>
                <w:sz w:val="18"/>
              </w:rPr>
              <w:t>USD 2.378,56</w:t>
            </w:r>
          </w:p>
        </w:tc>
        <w:tc>
          <w:tcPr>
            <w:tcW w:type="dxa" w:w="794"/>
          </w:tcPr>
          <w:p>
            <w:pPr>
              <w:spacing w:line="252" w:lineRule="auto" w:before="40" w:after="40"/>
              <w:jc w:val="right"/>
            </w:pPr>
            <w:r>
              <w:rPr>
                <w:rFonts w:ascii="Times New Roman" w:hAnsi="Times New Roman"/>
                <w:b w:val="0"/>
                <w:i w:val="0"/>
                <w:sz w:val="18"/>
              </w:rPr>
              <w:t>2,36%</w:t>
            </w:r>
          </w:p>
        </w:tc>
        <w:tc>
          <w:tcPr>
            <w:tcW w:type="dxa" w:w="850"/>
          </w:tcPr>
          <w:p>
            <w:pPr>
              <w:spacing w:line="252" w:lineRule="auto" w:before="40" w:after="40"/>
              <w:jc w:val="both"/>
            </w:pPr>
            <w:r>
              <w:rPr>
                <w:rFonts w:ascii="Times New Roman" w:hAnsi="Times New Roman"/>
                <w:b w:val="0"/>
                <w:i w:val="0"/>
                <w:sz w:val="18"/>
              </w:rPr>
              <w:t>-</w:t>
            </w:r>
          </w:p>
        </w:tc>
        <w:tc>
          <w:tcPr>
            <w:tcW w:type="dxa" w:w="850"/>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r>
      <w:tr>
        <w:tc>
          <w:tcPr>
            <w:tcW w:type="dxa" w:w="2154"/>
          </w:tcPr>
          <w:p>
            <w:pPr>
              <w:spacing w:line="252" w:lineRule="auto" w:before="40" w:after="40"/>
              <w:jc w:val="center"/>
            </w:pPr>
            <w:r>
              <w:rPr>
                <w:rFonts w:ascii="Times New Roman" w:hAnsi="Times New Roman"/>
                <w:b w:val="0"/>
                <w:i w:val="0"/>
                <w:sz w:val="18"/>
              </w:rPr>
              <w:t>Tier 2: Manual (Khumaidi dkk.)</w:t>
            </w:r>
          </w:p>
        </w:tc>
        <w:tc>
          <w:tcPr>
            <w:tcW w:type="dxa" w:w="907"/>
          </w:tcPr>
          <w:p>
            <w:pPr>
              <w:spacing w:line="252" w:lineRule="auto" w:before="40" w:after="40"/>
              <w:jc w:val="both"/>
            </w:pPr>
            <w:r>
              <w:rPr>
                <w:rFonts w:ascii="Times New Roman" w:hAnsi="Times New Roman"/>
                <w:b w:val="0"/>
                <w:i w:val="0"/>
                <w:sz w:val="18"/>
              </w:rPr>
              <w:t>60 Hari</w:t>
            </w:r>
          </w:p>
        </w:tc>
        <w:tc>
          <w:tcPr>
            <w:tcW w:type="dxa" w:w="1020"/>
          </w:tcPr>
          <w:p>
            <w:pPr>
              <w:spacing w:line="252" w:lineRule="auto" w:before="40" w:after="40"/>
              <w:jc w:val="right"/>
            </w:pPr>
            <w:r>
              <w:rPr>
                <w:rFonts w:ascii="Times New Roman" w:hAnsi="Times New Roman"/>
                <w:b w:val="0"/>
                <w:i w:val="0"/>
                <w:sz w:val="18"/>
              </w:rPr>
              <w:t>USD 3.904,15</w:t>
            </w:r>
          </w:p>
        </w:tc>
        <w:tc>
          <w:tcPr>
            <w:tcW w:type="dxa" w:w="1020"/>
          </w:tcPr>
          <w:p>
            <w:pPr>
              <w:spacing w:line="252" w:lineRule="auto" w:before="40" w:after="40"/>
              <w:jc w:val="right"/>
            </w:pPr>
            <w:r>
              <w:rPr>
                <w:rFonts w:ascii="Times New Roman" w:hAnsi="Times New Roman"/>
                <w:b w:val="0"/>
                <w:i w:val="0"/>
                <w:sz w:val="18"/>
              </w:rPr>
              <w:t>USD 3.182,86</w:t>
            </w:r>
          </w:p>
        </w:tc>
        <w:tc>
          <w:tcPr>
            <w:tcW w:type="dxa" w:w="794"/>
          </w:tcPr>
          <w:p>
            <w:pPr>
              <w:spacing w:line="252" w:lineRule="auto" w:before="40" w:after="40"/>
              <w:jc w:val="right"/>
            </w:pPr>
            <w:r>
              <w:rPr>
                <w:rFonts w:ascii="Times New Roman" w:hAnsi="Times New Roman"/>
                <w:b w:val="0"/>
                <w:i w:val="0"/>
                <w:sz w:val="18"/>
              </w:rPr>
              <w:t>3,16%</w:t>
            </w:r>
          </w:p>
        </w:tc>
        <w:tc>
          <w:tcPr>
            <w:tcW w:type="dxa" w:w="850"/>
          </w:tcPr>
          <w:p>
            <w:pPr>
              <w:spacing w:line="252" w:lineRule="auto" w:before="40" w:after="40"/>
              <w:jc w:val="right"/>
            </w:pPr>
            <w:r>
              <w:rPr>
                <w:rFonts w:ascii="Times New Roman" w:hAnsi="Times New Roman"/>
                <w:b w:val="0"/>
                <w:i w:val="0"/>
                <w:sz w:val="18"/>
              </w:rPr>
              <w:t>0,00%</w:t>
            </w:r>
          </w:p>
        </w:tc>
        <w:tc>
          <w:tcPr>
            <w:tcW w:type="dxa" w:w="850"/>
          </w:tcPr>
          <w:p>
            <w:pPr>
              <w:spacing w:line="252" w:lineRule="auto" w:before="40" w:after="40"/>
              <w:jc w:val="right"/>
            </w:pPr>
            <w:r>
              <w:rPr>
                <w:rFonts w:ascii="Times New Roman" w:hAnsi="Times New Roman"/>
                <w:b w:val="0"/>
                <w:i w:val="0"/>
                <w:sz w:val="18"/>
              </w:rPr>
              <w:t>0,00%</w:t>
            </w:r>
          </w:p>
        </w:tc>
        <w:tc>
          <w:tcPr>
            <w:tcW w:type="dxa" w:w="907"/>
          </w:tcPr>
          <w:p>
            <w:pPr>
              <w:spacing w:line="252" w:lineRule="auto" w:before="40" w:after="40"/>
              <w:jc w:val="right"/>
            </w:pPr>
            <w:r>
              <w:rPr>
                <w:rFonts w:ascii="Times New Roman" w:hAnsi="Times New Roman"/>
                <w:b w:val="0"/>
                <w:i w:val="0"/>
                <w:sz w:val="18"/>
              </w:rPr>
              <w:t>0,00%</w:t>
            </w:r>
          </w:p>
        </w:tc>
      </w:tr>
      <w:tr>
        <w:tc>
          <w:tcPr>
            <w:tcW w:type="dxa" w:w="2154"/>
          </w:tcPr>
          <w:p>
            <w:pPr>
              <w:spacing w:line="252" w:lineRule="auto" w:before="40" w:after="40"/>
              <w:jc w:val="center"/>
            </w:pPr>
            <w:r>
              <w:rPr>
                <w:rFonts w:ascii="Times New Roman" w:hAnsi="Times New Roman"/>
                <w:b w:val="0"/>
                <w:i w:val="0"/>
                <w:sz w:val="18"/>
              </w:rPr>
              <w:t>Tier 3: Optuna-TPE (Usulan)</w:t>
            </w:r>
          </w:p>
        </w:tc>
        <w:tc>
          <w:tcPr>
            <w:tcW w:type="dxa" w:w="907"/>
          </w:tcPr>
          <w:p>
            <w:pPr>
              <w:spacing w:line="252" w:lineRule="auto" w:before="40" w:after="40"/>
              <w:jc w:val="both"/>
            </w:pPr>
            <w:r>
              <w:rPr>
                <w:rFonts w:ascii="Times New Roman" w:hAnsi="Times New Roman"/>
                <w:b w:val="0"/>
                <w:i w:val="0"/>
                <w:sz w:val="18"/>
              </w:rPr>
              <w:t>22 Hari</w:t>
            </w:r>
          </w:p>
        </w:tc>
        <w:tc>
          <w:tcPr>
            <w:tcW w:type="dxa" w:w="1020"/>
          </w:tcPr>
          <w:p>
            <w:pPr>
              <w:spacing w:line="252" w:lineRule="auto" w:before="40" w:after="40"/>
              <w:jc w:val="right"/>
            </w:pPr>
            <w:r>
              <w:rPr>
                <w:rFonts w:ascii="Times New Roman" w:hAnsi="Times New Roman"/>
                <w:b w:val="0"/>
                <w:i w:val="0"/>
                <w:sz w:val="18"/>
              </w:rPr>
              <w:t>USD 2.338,22</w:t>
            </w:r>
          </w:p>
        </w:tc>
        <w:tc>
          <w:tcPr>
            <w:tcW w:type="dxa" w:w="1020"/>
          </w:tcPr>
          <w:p>
            <w:pPr>
              <w:spacing w:line="252" w:lineRule="auto" w:before="40" w:after="40"/>
              <w:jc w:val="right"/>
            </w:pPr>
            <w:r>
              <w:rPr>
                <w:rFonts w:ascii="Times New Roman" w:hAnsi="Times New Roman"/>
                <w:b w:val="0"/>
                <w:i w:val="0"/>
                <w:sz w:val="18"/>
              </w:rPr>
              <w:t>USD 1.784,27</w:t>
            </w:r>
          </w:p>
        </w:tc>
        <w:tc>
          <w:tcPr>
            <w:tcW w:type="dxa" w:w="794"/>
          </w:tcPr>
          <w:p>
            <w:pPr>
              <w:spacing w:line="252" w:lineRule="auto" w:before="40" w:after="40"/>
              <w:jc w:val="right"/>
            </w:pPr>
            <w:r>
              <w:rPr>
                <w:rFonts w:ascii="Times New Roman" w:hAnsi="Times New Roman"/>
                <w:b w:val="0"/>
                <w:i w:val="0"/>
                <w:sz w:val="18"/>
              </w:rPr>
              <w:t>1,81%</w:t>
            </w:r>
          </w:p>
        </w:tc>
        <w:tc>
          <w:tcPr>
            <w:tcW w:type="dxa" w:w="850"/>
          </w:tcPr>
          <w:p>
            <w:pPr>
              <w:spacing w:line="252" w:lineRule="auto" w:before="40" w:after="40"/>
              <w:jc w:val="right"/>
            </w:pPr>
            <w:r>
              <w:rPr>
                <w:rFonts w:ascii="Times New Roman" w:hAnsi="Times New Roman"/>
                <w:b w:val="0"/>
                <w:i w:val="0"/>
                <w:sz w:val="18"/>
              </w:rPr>
              <w:t>+40,11%</w:t>
            </w:r>
          </w:p>
        </w:tc>
        <w:tc>
          <w:tcPr>
            <w:tcW w:type="dxa" w:w="850"/>
          </w:tcPr>
          <w:p>
            <w:pPr>
              <w:spacing w:line="252" w:lineRule="auto" w:before="40" w:after="40"/>
              <w:jc w:val="right"/>
            </w:pPr>
            <w:r>
              <w:rPr>
                <w:rFonts w:ascii="Times New Roman" w:hAnsi="Times New Roman"/>
                <w:b w:val="0"/>
                <w:i w:val="0"/>
                <w:sz w:val="18"/>
              </w:rPr>
              <w:t>+43,94%</w:t>
            </w:r>
          </w:p>
        </w:tc>
        <w:tc>
          <w:tcPr>
            <w:tcW w:type="dxa" w:w="907"/>
          </w:tcPr>
          <w:p>
            <w:pPr>
              <w:spacing w:line="252" w:lineRule="auto" w:before="40" w:after="40"/>
              <w:jc w:val="right"/>
            </w:pPr>
            <w:r>
              <w:rPr>
                <w:rFonts w:ascii="Times New Roman" w:hAnsi="Times New Roman"/>
                <w:b w:val="0"/>
                <w:i w:val="0"/>
                <w:sz w:val="18"/>
              </w:rPr>
              <w:t>+42,72%</w:t>
            </w:r>
          </w:p>
        </w:tc>
      </w:tr>
    </w:tbl>
    <w:p>
      <w:pPr>
        <w:spacing w:before="160" w:after="40"/>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gambar_4_1_perbandingan_prediksi_3tier.png"/>
                    <pic:cNvPicPr/>
                  </pic:nvPicPr>
                  <pic:blipFill>
                    <a:blip r:embed="rId10"/>
                    <a:stretch>
                      <a:fillRect/>
                    </a:stretch>
                  </pic:blipFill>
                  <pic:spPr>
                    <a:xfrm>
                      <a:off x="0" y="0"/>
                      <a:ext cx="5220000" cy="2610000"/>
                    </a:xfrm>
                    <a:prstGeom prst="rect"/>
                  </pic:spPr>
                </pic:pic>
              </a:graphicData>
            </a:graphic>
          </wp:inline>
        </w:drawing>
      </w:r>
    </w:p>
    <w:p>
      <w:pPr>
        <w:spacing w:before="40" w:after="160"/>
        <w:jc w:val="center"/>
      </w:pPr>
      <w:r>
        <w:rPr>
          <w:rFonts w:ascii="Times New Roman" w:hAnsi="Times New Roman"/>
          <w:b/>
          <w:i w:val="0"/>
          <w:sz w:val="21"/>
        </w:rPr>
        <w:t>Gambar 4.2 Perbandingan Kurva Prediksi Harga Bitcoin pada Data Out-of-Sample (3-Tier Benchmark)</w:t>
      </w:r>
    </w:p>
    <w:p>
      <w:pPr>
        <w:spacing w:before="160" w:after="40"/>
        <w:jc w:val="center"/>
      </w:pPr>
      <w:r>
        <w:drawing>
          <wp:inline xmlns:a="http://schemas.openxmlformats.org/drawingml/2006/main" xmlns:pic="http://schemas.openxmlformats.org/drawingml/2006/picture">
            <wp:extent cx="5220000" cy="1677857"/>
            <wp:docPr id="3" name="Picture 3"/>
            <wp:cNvGraphicFramePr>
              <a:graphicFrameLocks noChangeAspect="1"/>
            </wp:cNvGraphicFramePr>
            <a:graphic>
              <a:graphicData uri="http://schemas.openxmlformats.org/drawingml/2006/picture">
                <pic:pic>
                  <pic:nvPicPr>
                    <pic:cNvPr id="0" name="gambar_4_2_bar_chart_komparasi_metrik.png"/>
                    <pic:cNvPicPr/>
                  </pic:nvPicPr>
                  <pic:blipFill>
                    <a:blip r:embed="rId11"/>
                    <a:stretch>
                      <a:fillRect/>
                    </a:stretch>
                  </pic:blipFill>
                  <pic:spPr>
                    <a:xfrm>
                      <a:off x="0" y="0"/>
                      <a:ext cx="5220000" cy="1677857"/>
                    </a:xfrm>
                    <a:prstGeom prst="rect"/>
                  </pic:spPr>
                </pic:pic>
              </a:graphicData>
            </a:graphic>
          </wp:inline>
        </w:drawing>
      </w:r>
    </w:p>
    <w:p>
      <w:pPr>
        <w:spacing w:before="40" w:after="160"/>
        <w:jc w:val="center"/>
      </w:pPr>
      <w:r>
        <w:rPr>
          <w:rFonts w:ascii="Times New Roman" w:hAnsi="Times New Roman"/>
          <w:b/>
          <w:i w:val="0"/>
          <w:sz w:val="21"/>
        </w:rPr>
        <w:t>Gambar 4.3 Diagram Batang Perbandingan Metrik Evaluasi RMSE, MAE, dan MAPE Lintas Tiga Model</w:t>
      </w:r>
    </w:p>
    <w:p>
      <w:pPr>
        <w:spacing w:before="280" w:after="120" w:line="360" w:lineRule="auto"/>
      </w:pPr>
      <w:r>
        <w:rPr>
          <w:rFonts w:ascii="Times New Roman" w:hAnsi="Times New Roman"/>
          <w:b/>
          <w:i w:val="0"/>
          <w:sz w:val="24"/>
        </w:rPr>
        <w:t>B. Pembahasan Hasil Penelitian</w:t>
      </w:r>
    </w:p>
    <w:p>
      <w:pPr>
        <w:spacing w:line="360" w:lineRule="auto" w:after="120"/>
        <w:ind w:firstLine="567"/>
        <w:jc w:val="both"/>
      </w:pPr>
      <w:r>
        <w:rPr>
          <w:rFonts w:ascii="Times New Roman" w:hAnsi="Times New Roman"/>
          <w:b w:val="0"/>
          <w:i w:val="0"/>
          <w:sz w:val="24"/>
        </w:rPr>
        <w:t>Subbab pembahasan ini membedah secara mendalam seluruh temuan empiris yang diperoleh dengan mengaitkannya pada landasan teori pembelajaran mendalam dan telaah literatur terdahulu yang telah dikaji pada Bab II. Ketiadaan pembahasan kritis sering kali mereduksi nilai riset komputasi menjadi sekadar pelaporan angka tanpa memberikan kontribusi teoritis yang bermakna bagi disiplin ilmu informatika. Pembahasan difokuskan pada lima aspek krusial: efektivitas penjelajahan Bayes TPE, dinamika sensitivitas panjang jendela temporal, evaluasi penyebab kegagalan penalaan coba-coba manual, implikasi peramalan finansial, serta batasan metodologis (Creswell &amp; Creswell, 2018; Bouthillier et al., 2020). Telaah ini mengungkap landasan ilmiah mengapa model usulan mampu menghasilkan estimasi peramalan yang lebih akurat dan terpercaya (Goodfellow et al., 2016).</w:t>
      </w:r>
    </w:p>
    <w:p>
      <w:pPr>
        <w:spacing w:before="200" w:after="80" w:line="360" w:lineRule="auto"/>
      </w:pPr>
      <w:r>
        <w:rPr>
          <w:rFonts w:ascii="Times New Roman" w:hAnsi="Times New Roman"/>
          <w:b/>
          <w:i w:val="0"/>
          <w:sz w:val="24"/>
        </w:rPr>
        <w:t>1. Telaah Kritis Efektivitas Optimasi Bayesian TPE pada Ruang Hyperparameter</w:t>
      </w:r>
    </w:p>
    <w:p>
      <w:pPr>
        <w:spacing w:line="360" w:lineRule="auto" w:after="120"/>
        <w:ind w:firstLine="567"/>
        <w:jc w:val="both"/>
      </w:pPr>
      <w:r>
        <w:rPr>
          <w:rFonts w:ascii="Times New Roman" w:hAnsi="Times New Roman"/>
          <w:b w:val="0"/>
          <w:i w:val="0"/>
          <w:sz w:val="24"/>
        </w:rPr>
        <w:t xml:space="preserve">Keunggulan performa model Tier 3 membuktikan secara empiris superioritas algoritma Tree-structured Parzen Estimator (TPE) dalam menavigasi ruang pencarian hyperparameter yang bersifat kontinu, non-konveks, dan berkorelasi tinggi. Berbeda dari Grid Search yang mengalami ledakan kombinatorial dan Random Search yang mengabaikan evaluasi masa lalu, TPE memodelkan distribusi probabilitas konfigurasi terbaik </w:t>
      </w:r>
      <m:oMath>
        <m:r>
          <m:t>ℓ(x)</m:t>
        </m:r>
      </m:oMath>
      <w:r>
        <w:rPr>
          <w:rFonts w:ascii="Times New Roman" w:hAnsi="Times New Roman"/>
          <w:b w:val="0"/>
          <w:i w:val="0"/>
          <w:sz w:val="24"/>
        </w:rPr>
        <w:t xml:space="preserve"> secara adaptif (Bergstra et al., 2011). Mekanisme ini memungkinkan Optuna memusatkan anggaran komputasi 50 trials pada wilayah parameter yang paling menjanjikan untuk meminimalkan kerugian validasi (Akiba et al., 2019). Keberhasilan ini mengonfirmasi temuan Feurer &amp; Hutter (2019) bahwa penalaan otomatis berbasis Bayes secara konsisten melampaui kemampuan intuisi manusia dalam menemukan kombinasi parameter global optimal pada model pembelajaran mendalam.</w:t>
      </w:r>
    </w:p>
    <w:p>
      <w:pPr>
        <w:spacing w:line="360" w:lineRule="auto" w:after="120"/>
        <w:ind w:firstLine="567"/>
        <w:jc w:val="both"/>
      </w:pPr>
      <w:r>
        <w:rPr>
          <w:rFonts w:ascii="Times New Roman" w:hAnsi="Times New Roman"/>
          <w:b w:val="0"/>
          <w:i w:val="0"/>
          <w:sz w:val="24"/>
        </w:rPr>
        <w:t>Efisiensi proses optimasi semakin diperkokoh oleh integrasi strategi pemangkasan otomatis berbasis modul MedianPruner yang secara cerdas menghentikan uji coba tidak potensial sebelum merampungkan seluruh epoch pelatihan. Dalam eksperimen komputasi intensif, melatih konfigurasi buruk hingga selesai merupakan pemborosan sumber daya pemrosesan yang masif (Li et al., 2017). Dengan membandingkan nilai kerugian parsial tiap lipatan terhadap nilai median riwayat uji coba terdahulu, MedianPruner berhasil mengeliminasi kandidat berkinerja rendah pada tahap awal (Falkner et al., 2018). Efisiensi ini memungkinkan penelitian menyelesaikan eksplorasi 50 trials secara tuntas dalam waktu komputasi yang terkontrol tanpa mengorbankan kualitas penjelajahan ruang hyperparameter, sejalan dengan prinsip efisiensi komputasi modern dalam AutoML (Akiba et al., 2019; Bouthillier et al., 2020).</w:t>
      </w:r>
    </w:p>
    <w:p>
      <w:pPr>
        <w:spacing w:before="200" w:after="80" w:line="360" w:lineRule="auto"/>
      </w:pPr>
      <w:r>
        <w:rPr>
          <w:rFonts w:ascii="Times New Roman" w:hAnsi="Times New Roman"/>
          <w:b/>
          <w:i w:val="0"/>
          <w:sz w:val="24"/>
        </w:rPr>
        <w:t>2. Pengaruh Dinamika Jendela Temporal (Lookback Window) Terhadap Volatilitas Kripto</w:t>
      </w:r>
    </w:p>
    <w:p>
      <w:pPr>
        <w:spacing w:line="360" w:lineRule="auto" w:after="120"/>
        <w:ind w:firstLine="567"/>
        <w:jc w:val="both"/>
      </w:pPr>
      <w:r>
        <w:rPr>
          <w:rFonts w:ascii="Times New Roman" w:hAnsi="Times New Roman"/>
          <w:b w:val="0"/>
          <w:i w:val="0"/>
          <w:sz w:val="24"/>
        </w:rPr>
        <w:t>Salah satu kontribusi ilmiah paling mendasar dari penelitian ini adalah ditemukannya panjang jendela lookback optimal sebesar 22 hari (</w:t>
      </w:r>
      <m:oMath>
        <m:r>
          <m:t>L=22</m:t>
        </m:r>
      </m:oMath>
      <w:r>
        <w:rPr>
          <w:rFonts w:ascii="Times New Roman" w:hAnsi="Times New Roman"/>
          <w:b w:val="0"/>
          <w:i w:val="0"/>
          <w:sz w:val="24"/>
        </w:rPr>
        <w:t>), yang mengonfirmasi prinsip Adaptive Market Hypothesis (Lo, 2004) dan dinamika Cell State LSTM pada data non-stasioner (Fischer &amp; Krauss, 2018). Banyak peneliti sebelumnya berasumsi bahwa memperpanjang jendela historis (seperti 60 hari pada Khumaidi dkk.) akan memperkaya memori model untuk menangkap pola jangka panjang (Khumaidi dkk., 2024). Namun, pada aset bervolatilitas ekstrem seperti Bitcoin, lookback yang terlalu panjang justru menimbulkan fenomena kelambatan momentum (*momentum drag*), di mana prediksi terbebani oleh informasi harga masa lalu yang sudah tidak relevan (Lim &amp; Zohren, 2021). Hal ini terbukti secara empiris pada tahap pra-eksperimen: saat ruang pencarian dibiarkan hingga 120 hari, model memilih lookback 114 hari yang menghasilkan MAPE membengkak hingga 3,92% akibat *memory lag*. Melalui pembatasan terarah (domain-guided), jendela 22 hari terbukti paling ideal dalam merepresentasikan siklus likuiditas ~3 mingguan pasar kripto global (Gu et al., 2020).</w:t>
      </w:r>
    </w:p>
    <w:p>
      <w:pPr>
        <w:spacing w:line="360" w:lineRule="auto" w:after="120"/>
        <w:ind w:firstLine="567"/>
        <w:jc w:val="both"/>
      </w:pPr>
      <w:r>
        <w:rPr>
          <w:rFonts w:ascii="Times New Roman" w:hAnsi="Times New Roman"/>
          <w:b w:val="0"/>
          <w:i w:val="0"/>
          <w:sz w:val="24"/>
        </w:rPr>
        <w:t>Ditinjau dari dinamika internal arsitektur LSTM, jendela sekuensial yang teroptimasi (</w:t>
      </w:r>
      <m:oMath>
        <m:r>
          <m:t>L=22</m:t>
        </m:r>
      </m:oMath>
      <w:r>
        <w:rPr>
          <w:rFonts w:ascii="Times New Roman" w:hAnsi="Times New Roman"/>
          <w:b w:val="0"/>
          <w:i w:val="0"/>
          <w:sz w:val="24"/>
        </w:rPr>
        <w:t>) secara efektif memitigasi risiko degradasi sinyal gradien selama proses perambatan balik melalui waktu (*backpropagation through time*). Meskipun gerbang memori sel LSTM dirancang untuk mengatasi vanishing gradient, dependensi temporal yang terlampau panjang pada data acak non-stasioner tetap dapat memicu saturasi gerbang lupakan (*forget gate*) (Hochreiter &amp; Schmidhuber, 1997; Greff et al., 2017). Dengan membatasi sekuens masukan pada rentang teroptimasi 22 hari, model mampu memusatkan perhatian bobot sinapsisnya pada tren terdekat yang memiliki autokorelasi langsung terhadap pergerakan harga esok hari (Tashman, 2000). Hal ini tercermin dari respons kurva Tier 3 yang sangat adaptif mengikuti akselerasi tren tanpa menghasilkan deviasi berlebih (Gambar 4.2).</w:t>
      </w:r>
    </w:p>
    <w:p>
      <w:pPr>
        <w:spacing w:before="200" w:after="80" w:line="360" w:lineRule="auto"/>
      </w:pPr>
      <w:r>
        <w:rPr>
          <w:rFonts w:ascii="Times New Roman" w:hAnsi="Times New Roman"/>
          <w:b/>
          <w:i w:val="0"/>
          <w:sz w:val="24"/>
        </w:rPr>
        <w:t>3. Analisis Kegagalan Penalaan Manual (Tier 2) dan Peran Regularisasi</w:t>
      </w:r>
    </w:p>
    <w:p>
      <w:pPr>
        <w:spacing w:line="360" w:lineRule="auto" w:after="120"/>
        <w:ind w:firstLine="567"/>
        <w:jc w:val="both"/>
      </w:pPr>
      <w:r>
        <w:rPr>
          <w:rFonts w:ascii="Times New Roman" w:hAnsi="Times New Roman"/>
          <w:b w:val="0"/>
          <w:i w:val="0"/>
          <w:sz w:val="24"/>
        </w:rPr>
        <w:t>Hasil pengujian memperlihatkan bahwa model Tier 2 (replikasi Khumaidi dkk., 2024) mencatatkan tingkat galat tertinggi di antara seluruh model (MAPE 3,16%, RMSE USD 3.904,15), membuktikan kelemahan mendasar dari metode penalaan coba-coba manual. Penggunaan ukuran batch yang terlampau kecil (batch=10) dipadukan kapasitas neuron yang besar (128 units) menyebabkan estimasi gradien memiliki variansi stokastik yang sangat tinggi (Srivastava et al., 2014; Goodfellow et al., 2016). Kondisi ini memicu model menghafal fluktuasi derau acak pada data latih (*in-sample overfitting*), sehingga akurasinya runtuh saat diuji pada data out-of-sample yang mencakup rezim harga baru di atas level tertinggi historis (Makridakis et al., 2018). Temuan ini menegaskan batas kemampuan heuristik manual manusia dalam menangani ruang pencarian non-linier (Khumaidi dkk., 2024).</w:t>
      </w:r>
    </w:p>
    <w:p>
      <w:pPr>
        <w:spacing w:line="360" w:lineRule="auto" w:after="120"/>
        <w:ind w:firstLine="567"/>
        <w:jc w:val="both"/>
      </w:pPr>
      <w:r>
        <w:rPr>
          <w:rFonts w:ascii="Times New Roman" w:hAnsi="Times New Roman"/>
          <w:b w:val="0"/>
          <w:i w:val="0"/>
          <w:sz w:val="24"/>
        </w:rPr>
        <w:t>Sebaliknya, model usulan Tier 3 berhasil mencapai keseimbangan generalisasi yang optimal melalui sinergi antara 100 unit neuron, tingkat Dropout moderat 0.10, fungsi kerugian linier MAE yang selaras dengan formula MAPE, laju pembelajaran adaptif 0.00197 yang dipadukan dengan scheduler penyesuaian dinamis (ReduceLROnPlateau), serta ukuran batch 16 sampel. Ukuran batch 16 menyediakan pembaruan gradien yang stabil, sementara fungsi MAE loss dan scheduler mencegah model terjebak pada osilasi lokal dan memfasilitasi konvergensi bobot yang sangat halus (Kingma &amp; Ba, 2014; Srivastava et al., 2014). Kombinasi parameter ini memungkinkan jaringan LSTM mengekstraksi struktur pola tren harga secara murni tanpa terdistorsi oleh lonjakan derau transaksi sesaat (Lim &amp; Zohren, 2021). Keseimbangan inilah yang mendasari keberhasilan Tier 3 dalam mengungguli replikasi model Khumaidi dkk. dengan margin perbaikan masif mencapai lebih dari 40% di seluruh metrik (Willmott &amp; Matsuura, 2005).</w:t>
      </w:r>
    </w:p>
    <w:p>
      <w:pPr>
        <w:spacing w:before="200" w:after="80" w:line="360" w:lineRule="auto"/>
      </w:pPr>
      <w:r>
        <w:rPr>
          <w:rFonts w:ascii="Times New Roman" w:hAnsi="Times New Roman"/>
          <w:b/>
          <w:i w:val="0"/>
          <w:sz w:val="24"/>
        </w:rPr>
        <w:t>4. Verifikasi dan Konfirmasi Hipotesis Penelitian</w:t>
      </w:r>
    </w:p>
    <w:p>
      <w:pPr>
        <w:spacing w:line="360" w:lineRule="auto" w:after="120"/>
        <w:ind w:firstLine="567"/>
        <w:jc w:val="both"/>
      </w:pPr>
      <w:r>
        <w:rPr>
          <w:rFonts w:ascii="Times New Roman" w:hAnsi="Times New Roman"/>
          <w:b w:val="0"/>
          <w:i w:val="0"/>
          <w:sz w:val="24"/>
        </w:rPr>
        <w:t>Seluruh temuan numerik yang terangkum pada Tabel 4.5 secara konklusif mengonfirmasi kebenaran hipotesis penelitian yang diajukan pada Bab I, di mana optimasi hyperparameter LSTM menggunakan Optuna-TPE terbukti menghasilkan peningkatan performa yang konsisten terhadap model rujukan terdahulu. Penurunan error RMSE sebesar +40,11% vs Tier 2, penurunan MAE sebesar +43,94% vs Tier 2, serta penurunan MAPE sebesar +42,72% vs Tier 2, membuktikan bahwa peningkatan akurasi ini bersifat menyeluruh pada berbagai dimensi sensitivitas statistik (Willmott &amp; Matsuura, 2005). Konsistensi penurunan metrik kuadratik (RMSE) dan linier (MAE) menunjukkan bahwa model usulan berhasil memangkas galat ekstrim sekaligus menekan deviasi rerata harian secara serempak (Hyndman &amp; Athanasopoulos, 2018; Bouthillier et al., 2020).</w:t>
      </w:r>
    </w:p>
    <w:p>
      <w:pPr>
        <w:spacing w:line="360" w:lineRule="auto" w:after="120"/>
        <w:ind w:firstLine="567"/>
        <w:jc w:val="both"/>
      </w:pPr>
      <w:r>
        <w:rPr>
          <w:rFonts w:ascii="Times New Roman" w:hAnsi="Times New Roman"/>
          <w:b w:val="0"/>
          <w:i w:val="0"/>
          <w:sz w:val="24"/>
        </w:rPr>
        <w:t>Keberhasilan pencapaian nilai MAPE sebesar 1,81% pada model Tier 3 menempatkan arsitektur yang dikembangkan dalam kategori peramalan berspesifikasi sangat presisi tingkat tinggi (*highly accurate forecasting*) di bawah ambang batas 2% menurut kriteria baku evaluasi deret waktu finansial Lewis (Hyndman &amp; Athanasopoulos, 2018). Pada skala pasar aset kripto Bitcoin yang diperdagangkan pada kisaran USD 60.000 hingga USD 124.000 selama periode out-of-sample, galat relatif sebesar 1,81% merupakan margin kesalahan yang sangat sempit dan bernilai ekonomis tinggi bagi perancangan strategi kuantitatif (Gu et al., 2020). Temuan ini membuktikan bahwa intervensi otomatisasi penalaan hyperparameter berbasis TPE yang selaras fungsi evaluasi memberikan nilai tambah teknis yang konkret dalam rekayasa model kecerdasan buatan terapan (Akiba et al., 2019; Makridakis et al., 2018).</w:t>
      </w:r>
    </w:p>
    <w:p>
      <w:pPr>
        <w:spacing w:before="200" w:after="80" w:line="360" w:lineRule="auto"/>
      </w:pPr>
      <w:r>
        <w:rPr>
          <w:rFonts w:ascii="Times New Roman" w:hAnsi="Times New Roman"/>
          <w:b/>
          <w:i w:val="0"/>
          <w:sz w:val="24"/>
        </w:rPr>
        <w:t>5. Implikasi Teoritis dan Praktis dalam Peramalan Pasar Aset Kripto</w:t>
      </w:r>
    </w:p>
    <w:p>
      <w:pPr>
        <w:spacing w:line="360" w:lineRule="auto" w:after="120"/>
        <w:ind w:firstLine="567"/>
        <w:jc w:val="both"/>
      </w:pPr>
      <w:r>
        <w:rPr>
          <w:rFonts w:ascii="Times New Roman" w:hAnsi="Times New Roman"/>
          <w:b w:val="0"/>
          <w:i w:val="0"/>
          <w:sz w:val="24"/>
        </w:rPr>
        <w:t>Secara teoritis, penelitian ini memberikan kontribusi metodologis yang berharga bagi literatur sains data dan kecerdasan buatan dengan mendemonstrasikan integrasi formal antara optimasi Bayes non-parametrik dan pemodelan recurrent deret waktu bebas kebocoran data. Kerangka kerja benchmark 3-Tier yang diimplementasikan menetapkan standar pengujian yang transparan untuk membedakan antara perbaikan performa hakiki dan artefak pemilihan baseline yang lemah (Bouthillier et al., 2020). Selain itu, pembuktian efektivitas jendela temporal ringkas 22 hari memberikan landasan empiris baru bahwa sifat non-stasioner pasar kripto menuntut adaptabilitas parameter lokal daripada akumulasi konteks panjang yang kaku (Lim &amp; Zohren, 2021; Tashman, 2000). Hal ini memperkaya teori pemodelan time series finansial modern (López de Prado, 2018).</w:t>
      </w:r>
    </w:p>
    <w:p>
      <w:pPr>
        <w:spacing w:line="360" w:lineRule="auto" w:after="120"/>
        <w:ind w:firstLine="567"/>
        <w:jc w:val="both"/>
      </w:pPr>
      <w:r>
        <w:rPr>
          <w:rFonts w:ascii="Times New Roman" w:hAnsi="Times New Roman"/>
          <w:b w:val="0"/>
          <w:i w:val="0"/>
          <w:sz w:val="24"/>
        </w:rPr>
        <w:t>Dari perspektif implikasi praktis, model LSTM teroptimasi yang dihasilkan menyediakan instrumen analisis prediktif yang andal bagi pelaku pasar digital, manajer portofolio aset kripto, serta pengembang sistem perdagangan algoritmik (*algorithmic trading*). Estimasi harga penutupan satu hari ke depan dengan tingkat akurasi tinggi (MAPE 1,81%) dapat dimanfaatkan sebagai sinyal masukan untuk perumusan batas toleransi risiko (*stop-loss*) dan optimalisasi eksekusi order perdagangan (Gu et al., 2020; Binance Developer API, 2024). Di samping itu, otomatisasi pipeline penalaan Optuna-TPE dapat diadopsi oleh industri teknologi finansial untuk melakukan kalibrasi berkala bobot model secara otomatis tanpa bergantung pada intervensi penyesuaian manual yang lambat dan subjektif (Akiba et al., 2019; Feurer &amp; Hutter, 2019).</w:t>
      </w:r>
    </w:p>
    <w:p>
      <w:pPr>
        <w:spacing w:before="200" w:after="80" w:line="360" w:lineRule="auto"/>
      </w:pPr>
      <w:r>
        <w:rPr>
          <w:rFonts w:ascii="Times New Roman" w:hAnsi="Times New Roman"/>
          <w:b/>
          <w:i w:val="0"/>
          <w:sz w:val="24"/>
        </w:rPr>
        <w:t>6. Keterbatasan Penelitian Komputasional</w:t>
      </w:r>
    </w:p>
    <w:p>
      <w:pPr>
        <w:spacing w:line="360" w:lineRule="auto" w:after="120"/>
        <w:ind w:firstLine="567"/>
        <w:jc w:val="both"/>
      </w:pPr>
      <w:r>
        <w:rPr>
          <w:rFonts w:ascii="Times New Roman" w:hAnsi="Times New Roman"/>
          <w:b w:val="0"/>
          <w:i w:val="0"/>
          <w:sz w:val="24"/>
        </w:rPr>
        <w:t>Kendati model Tier 3 berhasil mencatatkan peningkatan kinerja yang sangat signifikan, penelitian komputasi ini tetap memiliki sejumlah keterbatasan metodologis yang perlu diungkapkan secara jujur untuk memandu arah riset masa depan. Keterbatasan pertama terletak pada penggunaan dataset peramalan univariat yang semata-mata mengandalkan atribut harga historis tanpa mengintegrasikan variabel eksternal seperti sentimen media sosial, indeks ketakutan pasar (Fear and Greed Index), maupun metrik transaksi on-chain jaringan Bitcoin (BRIN &amp; Binus, 2025; Lim &amp; Zohren, 2021). Faktor-faktor makroekonomi dan kebijakan regulasi global kerap memicu lonjakan harga mendadak yang tidak sepenuhnya terpantul pada pola deret waktu harga masa lalu (Goodfellow et al., 2016; Tashman, 2000).</w:t>
      </w:r>
    </w:p>
    <w:p>
      <w:pPr>
        <w:spacing w:line="360" w:lineRule="auto" w:after="120"/>
        <w:ind w:firstLine="567"/>
        <w:jc w:val="both"/>
      </w:pPr>
      <w:r>
        <w:rPr>
          <w:rFonts w:ascii="Times New Roman" w:hAnsi="Times New Roman"/>
          <w:b w:val="0"/>
          <w:i w:val="0"/>
          <w:sz w:val="24"/>
        </w:rPr>
        <w:t>Keterbatasan kedua berkaitan dengan ruang lingkup horizon peramalan yang terbatas pada estimasi satu langkah ke depan (*one-step-ahead forecasting*), sehingga belum menguji ketahanan model pada skenario peramalan jangka menengah atau multi-horizon. Selain itu, penalaan hyperparameter difokuskan secara mendalam pada arsitektur Long Short-Term Memory (LSTM) murni dan belum mengeksplorasi penggabungan mekanisme atensi (*attention mechanism*) maupun pembanding arsitektur Transformer dan Gated Recurrent Unit (GRU) dalam ruang pencarian yang sama (Vaswani et al., 2017; Greff et al., 2017). Keterbatasan-keterbatasan ini membuka peluang yang sangat luas bagi pengembangan riset lanjutan guna menyempurnakan ketahanan serta cakupan aplikasi sistem peramalan kecerdasan buatan pada pasar aset digital masa depan (Makridakis et al., 2018).</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