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i w:val="0"/>
          <w:sz w:val="28"/>
        </w:rPr>
        <w:t>BAB V</w:t>
        <w:br/>
        <w:t>PENUTUP</w:t>
      </w:r>
    </w:p>
    <w:p>
      <w:pPr>
        <w:spacing w:after="240"/>
      </w:pPr>
    </w:p>
    <w:p>
      <w:pPr>
        <w:spacing w:before="280" w:after="120" w:line="360" w:lineRule="auto"/>
      </w:pPr>
      <w:r>
        <w:rPr>
          <w:rFonts w:ascii="Times New Roman" w:hAnsi="Times New Roman"/>
          <w:b/>
          <w:i w:val="0"/>
          <w:sz w:val="24"/>
        </w:rPr>
        <w:t>A. Simpulan</w:t>
      </w:r>
    </w:p>
    <w:p>
      <w:pPr>
        <w:spacing w:line="360" w:lineRule="auto" w:after="120"/>
        <w:ind w:firstLine="567"/>
        <w:jc w:val="both"/>
      </w:pPr>
      <w:r>
        <w:rPr>
          <w:rFonts w:ascii="Times New Roman" w:hAnsi="Times New Roman"/>
          <w:b w:val="0"/>
          <w:i w:val="0"/>
          <w:sz w:val="24"/>
        </w:rPr>
        <w:t>Berdasarkan keseluruhan rangkaian eksperimen komputasi, analisis numerik, dan pembahasan kritis yang telah diuraikan pada bab-bab sebelumnya, penelitian ini berhasil menjawab seluruh rumusan masalah dan memvalidasi hipotesis yang diajukan secara ilmiah. Peramalan harga penutupan aset kripto Bitcoin pada data deret waktu bervolatilitas tinggi menuntut suatu mekanisme penalaan parameter arsitektur jaringan saraf tiruan yang adaptif, terarah, serta bebas dari bias subjektif manusia. Integrasi algoritma Tree-structured Parzen Estimator (TPE) pada kerangka kerja Optuna terbukti mampu mengotomatisasi proses eksplorasi ruang pencarian hyperparameter LSTM secara efisien (Akiba et al., 2019; Bergstra et al., 2011). Sebagai intisari dari hasil penelitian kuantitatif ini, ditarik tiga poin simpulan esensial sebagai berikut (Creswell &amp; Creswell, 2018).</w:t>
      </w:r>
    </w:p>
    <w:p>
      <w:pPr>
        <w:spacing w:line="360" w:lineRule="auto" w:after="120"/>
        <w:ind w:firstLine="567"/>
        <w:jc w:val="both"/>
      </w:pPr>
      <w:r>
        <w:rPr>
          <w:rFonts w:ascii="Times New Roman" w:hAnsi="Times New Roman"/>
          <w:b w:val="0"/>
          <w:i w:val="0"/>
          <w:sz w:val="24"/>
        </w:rPr>
        <w:t xml:space="preserve">Pertama, penerapan algoritma Optuna berbasis Tree-structured Parzen Estimator (TPE) terbukti sangat efektif dalam memecahkan permasalahan penalaan hyperparameter arsitektur Long Short-Term Memory (LSTM) pada peramalan harga Bitcoin. Melalui alokasi komputasi sebanyak 50 uji coba terarah yang dipadukan dengan skema validasi silang temporal Time-Series Split 5-fold, fungsi kerugian linier MAE, dan scheduler ReduceLROnPlateau, Optuna berhasil mengidentifikasi konfigurasi parameter optimal yang paling tangguh menghadapi dinamika pasar (Feurer &amp; Hutter, 2019). Konfigurasi optimal yang ditemukan menetapkan panjang jendela lookback </w:t>
      </w:r>
      <m:oMath>
        <m:r>
          <m:t>L=22</m:t>
        </m:r>
      </m:oMath>
      <w:r>
        <w:rPr>
          <w:rFonts w:ascii="Times New Roman" w:hAnsi="Times New Roman"/>
          <w:b w:val="0"/>
          <w:i w:val="0"/>
          <w:sz w:val="24"/>
        </w:rPr>
        <w:t xml:space="preserve"> hari, kapasitas hidden layer 100 unit neuron tunggal, tingkat Dropout 0.10, optimizer Adam dengan laju pembelajaran awal 0.00197, serta ukuran batch 16 sampel (Sakarya University, 2023). Mekanisme pemangkasan cerdas MedianPruner secara terukur mampu menghemat waktu komputasi tanpa mengorbankan kualitas penjelajahan ruang pencarian (Falkner et al., 2018).</w:t>
      </w:r>
    </w:p>
    <w:p>
      <w:pPr>
        <w:spacing w:line="360" w:lineRule="auto" w:after="120"/>
        <w:ind w:firstLine="567"/>
        <w:jc w:val="both"/>
      </w:pPr>
      <w:r>
        <w:rPr>
          <w:rFonts w:ascii="Times New Roman" w:hAnsi="Times New Roman"/>
          <w:b w:val="0"/>
          <w:i w:val="0"/>
          <w:sz w:val="24"/>
        </w:rPr>
        <w:t>Kedua, model usulan Tier 3 (LSTM Optuna-TPE dengan MAE Loss dan ReduceLROnPlateau) secara konsisten membuktikan keunggulan performa yang superior dibandingkan model rujukan utama Tier 2 (Replikasi Manual Khumaidi dkk., 2024) serta model baseline default Tier 1 pada data out-of-sample holdout. Evaluasi pada 439 hari pengujian murni menghasilkan nilai Root Mean Square Error (RMSE) sebesar USD 2.338,22, Mean Absolute Error (MAE) sebesar USD 1.784,27, serta Mean Absolute Percentage Error (MAPE) sebesar 1,81% (Bouthillier et al., 2020). Capaian ini mencatatkan persentase penurunan error (*positive improvement*) yang sangat signifikan sebesar +40,11% (RMSE), +43,94% (MAE), dan +42,72% (MAPE) terhadap model manual Khumaidi dkk., serta penurunan galat +20,67% (RMSE) dan +23,31% (MAPE) terhadap model baseline kontrol (Makridakis et al., 2018; Willmott &amp; Matsuura, 2005).</w:t>
      </w:r>
    </w:p>
    <w:p>
      <w:pPr>
        <w:spacing w:line="360" w:lineRule="auto" w:after="120"/>
        <w:ind w:firstLine="567"/>
        <w:jc w:val="both"/>
      </w:pPr>
      <w:r>
        <w:rPr>
          <w:rFonts w:ascii="Times New Roman" w:hAnsi="Times New Roman"/>
          <w:b w:val="0"/>
          <w:i w:val="0"/>
          <w:sz w:val="24"/>
        </w:rPr>
        <w:t>Ketiga, penelitian ini menghasilkan temuan metodologis baru yang sangat esensial bahwa penentuan ruang pencarian hyperparameter harus dibimbing oleh teori finansial (Domain-Guided HPO) dan diselaraskan dengan objektif evaluasi. Berdasarkan Adaptive Market Hypothesis (Lo, 2004) dan dinamika Cell State LSTM (Fischer &amp; Krauss, 2018), pemilihan jendela temporal teroptimasi 22 hari (</w:t>
      </w:r>
      <m:oMath>
        <m:r>
          <m:t>L=22</m:t>
        </m:r>
      </m:oMath>
      <w:r>
        <w:rPr>
          <w:rFonts w:ascii="Times New Roman" w:hAnsi="Times New Roman"/>
          <w:b w:val="0"/>
          <w:i w:val="0"/>
          <w:sz w:val="24"/>
        </w:rPr>
        <w:t>) terbukti jauh lebih adaptif dalam menangkap momentum harga Bitcoin dibandingkan jendela panjang 60 hari pada penelitian terdahulu maupun jendela 114 hari pada uji pra-eksperimen yang menderita fenomena kelambatan momentum (*momentum drag*). Di samping itu, harmonisasi fungsi kerugian MAE dan dynamic decay scheduler terbukti efektif menembus presisi tingkat tinggi di bawah 2% (MAPE 1,81%) pada fase pasar terbuka tanpa mengalami distorsi bobot masa lalu yang usang (Gu et al., 2020; Tashman, 2000).</w:t>
      </w:r>
    </w:p>
    <w:p>
      <w:pPr>
        <w:spacing w:before="280" w:after="120" w:line="360" w:lineRule="auto"/>
      </w:pPr>
      <w:r>
        <w:rPr>
          <w:rFonts w:ascii="Times New Roman" w:hAnsi="Times New Roman"/>
          <w:b/>
          <w:i w:val="0"/>
          <w:sz w:val="24"/>
        </w:rPr>
        <w:t>B. Saran</w:t>
      </w:r>
    </w:p>
    <w:p>
      <w:pPr>
        <w:spacing w:line="360" w:lineRule="auto" w:after="120"/>
        <w:ind w:firstLine="567"/>
        <w:jc w:val="both"/>
      </w:pPr>
      <w:r>
        <w:rPr>
          <w:rFonts w:ascii="Times New Roman" w:hAnsi="Times New Roman"/>
          <w:b w:val="0"/>
          <w:i w:val="0"/>
          <w:sz w:val="24"/>
        </w:rPr>
        <w:t>Berdasarkan temuan empiris yang diperoleh, pembahasan kritis yang mendalam, serta sejumlah keterbatasan metodologis yang telah diidentifikasi sepanjang pelaksanaan eksperimen komputasi ini, dirumuskan sejumlah rekomendasi saran operasional yang ditujukan bagi akademisi, praktisi rekayasa kecerdasan buatan, maupun pelaku industri keuangan digital. Penelitian di bidang peramalan deret waktu finansial merupakan ranah keilmuan yang terus bertransformasi secara dinamis seiring dengan pesatnya perkembangan arsitektur pembelajaran mendalam mutakhir serta perubahan likuiditas pasar global yang kian kompleks (Lim &amp; Zohren, 2021; Goodfellow et al., 2016). Guna menyempurnakan ketahanan prediksi, memitigasi risiko overfitting, dan memperluas daya guna model peramalan prediktif pada masa mendatang, sejumlah saran strategis dan aplikatif dikemukakan sebagai berikut (Creswell &amp; Creswell, 2018; Bouthillier et al., 2020).</w:t>
      </w:r>
    </w:p>
    <w:p>
      <w:pPr>
        <w:spacing w:line="360" w:lineRule="auto" w:after="120"/>
        <w:ind w:firstLine="567"/>
        <w:jc w:val="both"/>
      </w:pPr>
      <w:r>
        <w:rPr>
          <w:rFonts w:ascii="Times New Roman" w:hAnsi="Times New Roman"/>
          <w:b w:val="0"/>
          <w:i w:val="0"/>
          <w:sz w:val="24"/>
        </w:rPr>
        <w:t>Pertama, penelitian lanjutan sangat disarankan untuk memperluas ruang lingkup fitur masukan dari pemodelan univariat menuju pemodelan multivariat terpadu dengan mengintegrasikan variabel sentimen pasar publik dan data fundamental on-chain jaringan Bitcoin. Mengingat laju volatilitas harga mata uang digital sangat rentan terhadap dinamika opini massa dan arus berita makroekonomi global, penggabungan metrik sentimen media sosial, indeks ketakutan dan keserakahan (Crypto Fear and Greed Index), aliran likuiditas exchange, serta volume transaksi aktif dompet digital berpotensi memperkuat kepekaan model terhadap anomali fluktuasi mendadak (BRIN &amp; Binus, 2025; Gu et al., 2020). Eksplorasi rekayasa fitur multi-sumber ini diyakini mampu menyediakan sinyal komplementer yang memperkaya kapasitas representasi jaringan saraf rekuren melampaui pola harga historis semata (Sakarya University, 2023).</w:t>
      </w:r>
    </w:p>
    <w:p>
      <w:pPr>
        <w:spacing w:line="360" w:lineRule="auto" w:after="120"/>
        <w:ind w:firstLine="567"/>
        <w:jc w:val="both"/>
      </w:pPr>
      <w:r>
        <w:rPr>
          <w:rFonts w:ascii="Times New Roman" w:hAnsi="Times New Roman"/>
          <w:b w:val="0"/>
          <w:i w:val="0"/>
          <w:sz w:val="24"/>
        </w:rPr>
        <w:t>Kedua, peneliti berikutnya dianjurkan untuk mengeksplorasi penggabungan arsitektur pembelajaran mendalam hybrid mutakhir, seperti pengintegrasian mekanisme atensi (*Self-Attention Mechanism*), model Transformer temporal, maupun komparasi performa arsitektur Gated Recurrent Unit (GRU) dalam ruang pencarian Optuna yang sama. Penggunaan mekanisme atensi dapat membantu model memusatkan alokasi bobot pentingnya pada titik-titik waktu tertentu yang memiliki dampak volatilitas paling signifikan di dalam jendela historis masukan (Vaswani et al., 2017). Di samping itu, perluasan cakupan horizon peramalan dari estimasi satu langkah ke depan (*one-step-ahead*) menjadi multi-langkah (*multi-horizon forecasting*) sangat bernilai untuk menguji stabilitas performa model dalam jangka menengah, sehingga memberikan wawasan prediktif yang lebih komprehensif bagi perencana investasi (Lim &amp; Zohren, 2021; Makridakis et al., 2018).</w:t>
      </w:r>
    </w:p>
    <w:p>
      <w:pPr>
        <w:spacing w:line="360" w:lineRule="auto" w:after="120"/>
        <w:ind w:firstLine="567"/>
        <w:jc w:val="both"/>
      </w:pPr>
      <w:r>
        <w:rPr>
          <w:rFonts w:ascii="Times New Roman" w:hAnsi="Times New Roman"/>
          <w:b w:val="0"/>
          <w:i w:val="0"/>
          <w:sz w:val="24"/>
        </w:rPr>
        <w:t>Ketiga, dari aspek implementasi terapan pada ekosistem industri, kerangka kerja optimasi hyperparameter Optuna-TPE yang dikembangkan dalam skripsi ini sangat potensial untuk diintegrasikan secara langsung ke dalam sistem perdagangan algoritmik (*algorithmic trading*) atau bot transaksi berbasis eksekusi API otomatis. Implementasi dunia nyata tersebut perlu dilengkapi dengan modul kalibrasi ulang berkala (*continuous re-training pipeline*) serta wajib memperhitungkan friksi pasar riil berupa biaya komisi transaksi (transaction fee), selisih harga jual-beli (bid-ask spread), dan slippage eksekusi agar tidak menghasilkan estimasi keuntungan semu (Binance Developer API, 2024; López de Prado, 2018). Integrasi praktis yang komprehensif ini akan menjembatani temuan akurasi numerik laboratorium komputasi dengan profitabilitas portofolio yang aman dan berkelanjutan (Tashman, 2000; Willmott &amp; Matsuura, 2005).</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