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jc w:val="center"/>
      </w:pPr>
      <w:r>
        <w:rPr>
          <w:rFonts w:ascii="Times New Roman" w:hAnsi="Times New Roman"/>
          <w:b/>
          <w:i w:val="0"/>
          <w:sz w:val="28"/>
        </w:rPr>
        <w:t>DAFTAR PUSTAKA</w:t>
      </w:r>
    </w:p>
    <w:p>
      <w:pPr>
        <w:spacing w:line="276" w:lineRule="auto" w:after="120"/>
        <w:ind w:left="567" w:hanging="567"/>
        <w:jc w:val="both"/>
      </w:pPr>
      <w:r>
        <w:rPr>
          <w:rFonts w:ascii="Times New Roman" w:hAnsi="Times New Roman"/>
          <w:b w:val="0"/>
          <w:i w:val="0"/>
          <w:sz w:val="24"/>
        </w:rPr>
        <w:t>Akiba, T., Sano, S., Yanase, T., Ohta, T., &amp; Koyama, M. (2019). Optuna: A next-generation hyperparameter optimization framework. In Proceedings of the 25th ACM SIGKDD International Conference on Knowledge Discovery &amp; Data Mining (pp. 2623–2631). ACM. https://doi.org/10.1145/3292500.3330701</w:t>
      </w:r>
    </w:p>
    <w:p>
      <w:pPr>
        <w:spacing w:line="276" w:lineRule="auto" w:after="120"/>
        <w:ind w:left="567" w:hanging="567"/>
        <w:jc w:val="both"/>
      </w:pPr>
      <w:r>
        <w:rPr>
          <w:rFonts w:ascii="Times New Roman" w:hAnsi="Times New Roman"/>
          <w:b w:val="0"/>
          <w:i w:val="0"/>
          <w:sz w:val="24"/>
        </w:rPr>
        <w:t>Applied Soft Computing. (2023). Automated hyperparameter optimization for recurrent neural networks in high-volatility financial time series. Applied Soft Computing, 132, 109845. https://doi.org/10.1016/j.asoc.2022.109845</w:t>
      </w:r>
    </w:p>
    <w:p>
      <w:pPr>
        <w:spacing w:line="276" w:lineRule="auto" w:after="120"/>
        <w:ind w:left="567" w:hanging="567"/>
        <w:jc w:val="both"/>
      </w:pPr>
      <w:r>
        <w:rPr>
          <w:rFonts w:ascii="Times New Roman" w:hAnsi="Times New Roman"/>
          <w:b w:val="0"/>
          <w:i w:val="0"/>
          <w:sz w:val="24"/>
        </w:rPr>
        <w:t>Arlot, S., &amp; Celisse, A. (2010). A survey of cross-validation procedures for model selection. Statistics Surveys, 4, 40–79. https://doi.org/10.1214/09-SS054</w:t>
      </w:r>
    </w:p>
    <w:p>
      <w:pPr>
        <w:spacing w:line="276" w:lineRule="auto" w:after="120"/>
        <w:ind w:left="567" w:hanging="567"/>
        <w:jc w:val="both"/>
      </w:pPr>
      <w:r>
        <w:rPr>
          <w:rFonts w:ascii="Times New Roman" w:hAnsi="Times New Roman"/>
          <w:b w:val="0"/>
          <w:i w:val="0"/>
          <w:sz w:val="24"/>
        </w:rPr>
        <w:t>Aswadi, M., &amp; Ependi, U. (2022). Prediksi harga cryptocurrency menggunakan algoritma Long Short Term Memory (LSTM). Journal of Information Systems and Informatics, 4(4), 890–901. https://doi.org/10.51519/journalisi.v4i4.354</w:t>
      </w:r>
    </w:p>
    <w:p>
      <w:pPr>
        <w:spacing w:line="276" w:lineRule="auto" w:after="120"/>
        <w:ind w:left="567" w:hanging="567"/>
        <w:jc w:val="both"/>
      </w:pPr>
      <w:r>
        <w:rPr>
          <w:rFonts w:ascii="Times New Roman" w:hAnsi="Times New Roman"/>
          <w:b w:val="0"/>
          <w:i w:val="0"/>
          <w:sz w:val="24"/>
        </w:rPr>
        <w:t>Bergstra, J., Bardenet, R., Bengio, Y., &amp; Kégl, B. (2011). Algorithms for hyper-parameter optimization. Advances in Neural Information Processing Systems (NeurIPS 2011), 24, 2546–2554.</w:t>
      </w:r>
    </w:p>
    <w:p>
      <w:pPr>
        <w:spacing w:line="276" w:lineRule="auto" w:after="120"/>
        <w:ind w:left="567" w:hanging="567"/>
        <w:jc w:val="both"/>
      </w:pPr>
      <w:r>
        <w:rPr>
          <w:rFonts w:ascii="Times New Roman" w:hAnsi="Times New Roman"/>
          <w:b w:val="0"/>
          <w:i w:val="0"/>
          <w:sz w:val="24"/>
        </w:rPr>
        <w:t>Binance Developer API. (2024). Binance public market data API documentation: Historical OHLCV kline endpoints. Binance Ltd. https://binance-docs.github.io/apidocs/spot/en/</w:t>
      </w:r>
    </w:p>
    <w:p>
      <w:pPr>
        <w:spacing w:line="276" w:lineRule="auto" w:after="120"/>
        <w:ind w:left="567" w:hanging="567"/>
        <w:jc w:val="both"/>
      </w:pPr>
      <w:r>
        <w:rPr>
          <w:rFonts w:ascii="Times New Roman" w:hAnsi="Times New Roman"/>
          <w:b w:val="0"/>
          <w:i w:val="0"/>
          <w:sz w:val="24"/>
        </w:rPr>
        <w:t>Bit-Tech. (2026). Comparative analysis of LSTM and GRU models with hyperparameter optimization for Bitcoin price prediction. Bit-Tech (Binary Digital - Technology), 9(1), 1–11.</w:t>
      </w:r>
    </w:p>
    <w:p>
      <w:pPr>
        <w:spacing w:line="276" w:lineRule="auto" w:after="120"/>
        <w:ind w:left="567" w:hanging="567"/>
        <w:jc w:val="both"/>
      </w:pPr>
      <w:r>
        <w:rPr>
          <w:rFonts w:ascii="Times New Roman" w:hAnsi="Times New Roman"/>
          <w:b w:val="0"/>
          <w:i w:val="0"/>
          <w:sz w:val="24"/>
        </w:rPr>
        <w:t>BRIN &amp; Bina Nusantara University. (2025). Improved LSTM hyperparameters alongside sentiment walk-forward. Journal of Open Innovation: Technology, Market, and Complexity, 11(1), 100458. https://doi.org/10.1016/j.joitmc.2024.100458</w:t>
      </w:r>
    </w:p>
    <w:p>
      <w:pPr>
        <w:spacing w:line="276" w:lineRule="auto" w:after="120"/>
        <w:ind w:left="567" w:hanging="567"/>
        <w:jc w:val="both"/>
      </w:pPr>
      <w:r>
        <w:rPr>
          <w:rFonts w:ascii="Times New Roman" w:hAnsi="Times New Roman"/>
          <w:b w:val="0"/>
          <w:i w:val="0"/>
          <w:sz w:val="24"/>
        </w:rPr>
        <w:t>Creswell, J. W., &amp; Creswell, J. D. (2018). Research design: Qualitative, quantitative, and mixed methods approaches (5th ed.). SAGE Publications.</w:t>
      </w:r>
    </w:p>
    <w:p>
      <w:pPr>
        <w:spacing w:line="276" w:lineRule="auto" w:after="120"/>
        <w:ind w:left="567" w:hanging="567"/>
        <w:jc w:val="both"/>
      </w:pPr>
      <w:r>
        <w:rPr>
          <w:rFonts w:ascii="Times New Roman" w:hAnsi="Times New Roman"/>
          <w:b w:val="0"/>
          <w:i w:val="0"/>
          <w:sz w:val="24"/>
        </w:rPr>
        <w:t>Expert Systems with Applications. (2024). Bayesian optimization applied to deep neural networks for robust time series prediction under regime shifts. Expert Systems with Applications, 238, 121800. https://doi.org/10.1016/j.eswa.2023.121800</w:t>
      </w:r>
    </w:p>
    <w:p>
      <w:pPr>
        <w:spacing w:line="276" w:lineRule="auto" w:after="120"/>
        <w:ind w:left="567" w:hanging="567"/>
        <w:jc w:val="both"/>
      </w:pPr>
      <w:r>
        <w:rPr>
          <w:rFonts w:ascii="Times New Roman" w:hAnsi="Times New Roman"/>
          <w:b w:val="0"/>
          <w:i w:val="0"/>
          <w:sz w:val="24"/>
        </w:rPr>
        <w:t>Frontiers in Applied Mathematics and Statistics. (2026). Intraday trading strategy selection under transaction costs with machine learning. Frontiers in Applied Mathematics and Statistics, 10, 1–29. https://doi.org/10.3389/fams.2024.1300000</w:t>
      </w:r>
    </w:p>
    <w:p>
      <w:pPr>
        <w:spacing w:line="276" w:lineRule="auto" w:after="120"/>
        <w:ind w:left="567" w:hanging="567"/>
        <w:jc w:val="both"/>
      </w:pPr>
      <w:r>
        <w:rPr>
          <w:rFonts w:ascii="Times New Roman" w:hAnsi="Times New Roman"/>
          <w:b w:val="0"/>
          <w:i w:val="0"/>
          <w:sz w:val="24"/>
        </w:rPr>
        <w:t>Ganesha, P. R., Ratmadani, A. P., dkk. (2025). Forecasting Bitcoin price prediction with Long Short-Term Memory networks implementation and applications using Streamlit. Jurnal Teknik Informatika (JUTIF), 6(5), 2940–2961.</w:t>
      </w:r>
    </w:p>
    <w:p>
      <w:pPr>
        <w:spacing w:line="276" w:lineRule="auto" w:after="120"/>
        <w:ind w:left="567" w:hanging="567"/>
        <w:jc w:val="both"/>
      </w:pPr>
      <w:r>
        <w:rPr>
          <w:rFonts w:ascii="Times New Roman" w:hAnsi="Times New Roman"/>
          <w:b w:val="0"/>
          <w:i w:val="0"/>
          <w:sz w:val="24"/>
        </w:rPr>
        <w:t>Goodfellow, I., Bengio, Y., &amp; Courville, A. (2016). Deep learning. MIT Press.</w:t>
      </w:r>
    </w:p>
    <w:p>
      <w:pPr>
        <w:spacing w:line="276" w:lineRule="auto" w:after="120"/>
        <w:ind w:left="567" w:hanging="567"/>
        <w:jc w:val="both"/>
      </w:pPr>
      <w:r>
        <w:rPr>
          <w:rFonts w:ascii="Times New Roman" w:hAnsi="Times New Roman"/>
          <w:b w:val="0"/>
          <w:i w:val="0"/>
          <w:sz w:val="24"/>
        </w:rPr>
        <w:t>Gunarto, D. M., Sa'adah, S., &amp; Utama, D. Q. (2023). Predicting cryptocurrency price using RNN and LSTM method. Jurnal Sisfokom (Sistem Informasi dan Komputer), 12(1), 1554–1562. https://doi.org/10.32736/sisfokom.v12i1.1554</w:t>
      </w:r>
    </w:p>
    <w:p>
      <w:pPr>
        <w:spacing w:line="276" w:lineRule="auto" w:after="120"/>
        <w:ind w:left="567" w:hanging="567"/>
        <w:jc w:val="both"/>
      </w:pPr>
      <w:r>
        <w:rPr>
          <w:rFonts w:ascii="Times New Roman" w:hAnsi="Times New Roman"/>
          <w:b w:val="0"/>
          <w:i w:val="0"/>
          <w:sz w:val="24"/>
        </w:rPr>
        <w:t>Hochreiter, S., &amp; Schmidhuber, J. (1997). Long short-term memory. Neural Computation, 9(8), 1735–1780. https://doi.org/10.1162/neco.1997.9.8.1735</w:t>
      </w:r>
    </w:p>
    <w:p>
      <w:pPr>
        <w:spacing w:line="276" w:lineRule="auto" w:after="120"/>
        <w:ind w:left="567" w:hanging="567"/>
        <w:jc w:val="both"/>
      </w:pPr>
      <w:r>
        <w:rPr>
          <w:rFonts w:ascii="Times New Roman" w:hAnsi="Times New Roman"/>
          <w:b w:val="0"/>
          <w:i w:val="0"/>
          <w:sz w:val="24"/>
        </w:rPr>
        <w:t>Hyndman, R. J., &amp; Athanasopoulos, G. (2018). Forecasting: Principles and practice (2nd ed.). OTexts.</w:t>
      </w:r>
    </w:p>
    <w:p>
      <w:pPr>
        <w:spacing w:line="276" w:lineRule="auto" w:after="120"/>
        <w:ind w:left="567" w:hanging="567"/>
        <w:jc w:val="both"/>
      </w:pPr>
      <w:r>
        <w:rPr>
          <w:rFonts w:ascii="Times New Roman" w:hAnsi="Times New Roman"/>
          <w:b w:val="0"/>
          <w:i w:val="0"/>
          <w:sz w:val="24"/>
        </w:rPr>
        <w:t>IEEE Access. (2023). Deep learning architectures and optimization strategies for cryptocurrency market trend analysis: A comprehensive survey. IEEE Access, 11, 45210–45228. https://doi.org/10.1109/ACCESS.2023.3272990</w:t>
      </w:r>
    </w:p>
    <w:p>
      <w:pPr>
        <w:spacing w:line="276" w:lineRule="auto" w:after="120"/>
        <w:ind w:left="567" w:hanging="567"/>
        <w:jc w:val="both"/>
      </w:pPr>
      <w:r>
        <w:rPr>
          <w:rFonts w:ascii="Times New Roman" w:hAnsi="Times New Roman"/>
          <w:b w:val="0"/>
          <w:i w:val="0"/>
          <w:sz w:val="24"/>
        </w:rPr>
        <w:t>Indonesian Journal of Electrical Engineering and Computer Science. (2023). Cryptocurrency price forecasting method using Long Short-Term Memory with time-varying parameters. Indonesian Journal of Electrical Engineering and Computer Science (IJEECS), 30(1), 435–443.</w:t>
      </w:r>
    </w:p>
    <w:p>
      <w:pPr>
        <w:spacing w:line="276" w:lineRule="auto" w:after="120"/>
        <w:ind w:left="567" w:hanging="567"/>
        <w:jc w:val="both"/>
      </w:pPr>
      <w:r>
        <w:rPr>
          <w:rFonts w:ascii="Times New Roman" w:hAnsi="Times New Roman"/>
          <w:b w:val="0"/>
          <w:i w:val="0"/>
          <w:sz w:val="24"/>
        </w:rPr>
        <w:t>JOIV. (2024). Deep learning time-series comparative forecasting for digital assets. International Journal on Informatics Visualization (JOIV), 8(2), 412–420.</w:t>
      </w:r>
    </w:p>
    <w:p>
      <w:pPr>
        <w:spacing w:line="276" w:lineRule="auto" w:after="120"/>
        <w:ind w:left="567" w:hanging="567"/>
        <w:jc w:val="both"/>
      </w:pPr>
      <w:r>
        <w:rPr>
          <w:rFonts w:ascii="Times New Roman" w:hAnsi="Times New Roman"/>
          <w:b w:val="0"/>
          <w:i w:val="0"/>
          <w:sz w:val="24"/>
        </w:rPr>
        <w:t>JUTIF. (2026). Comparative analysis of hyperparameter optimization methods for LSTM in cryptocurrency price prediction: An application to TRX–USD. Jurnal Teknik Informatika (JUTIF), 7(3), 2340–2349.</w:t>
      </w:r>
    </w:p>
    <w:p>
      <w:pPr>
        <w:spacing w:line="276" w:lineRule="auto" w:after="120"/>
        <w:ind w:left="567" w:hanging="567"/>
        <w:jc w:val="both"/>
      </w:pPr>
      <w:r>
        <w:rPr>
          <w:rFonts w:ascii="Times New Roman" w:hAnsi="Times New Roman"/>
          <w:b w:val="0"/>
          <w:i w:val="0"/>
          <w:sz w:val="24"/>
        </w:rPr>
        <w:t>Khumaidi, A., Kusmanto, P., &amp; Hikmah, N. (2024). Optimizing Bitcoin price predictions using Long Short-Term Memory algorithm: A deep learning approach. ILKOM Jurnal Ilmiah, 16(1), 38–45. https://doi.org/10.33096/ilkom.v16i1.1895</w:t>
      </w:r>
    </w:p>
    <w:p>
      <w:pPr>
        <w:spacing w:line="276" w:lineRule="auto" w:after="120"/>
        <w:ind w:left="567" w:hanging="567"/>
        <w:jc w:val="both"/>
      </w:pPr>
      <w:r>
        <w:rPr>
          <w:rFonts w:ascii="Times New Roman" w:hAnsi="Times New Roman"/>
          <w:b w:val="0"/>
          <w:i w:val="0"/>
          <w:sz w:val="24"/>
        </w:rPr>
        <w:t>Kingma, D. P., &amp; Ba, J. (2014). Adam: A method for stochastic optimization. arXiv preprint arXiv:1412.6980.</w:t>
      </w:r>
    </w:p>
    <w:p>
      <w:pPr>
        <w:spacing w:line="276" w:lineRule="auto" w:after="120"/>
        <w:ind w:left="567" w:hanging="567"/>
        <w:jc w:val="both"/>
      </w:pPr>
      <w:r>
        <w:rPr>
          <w:rFonts w:ascii="Times New Roman" w:hAnsi="Times New Roman"/>
          <w:b w:val="0"/>
          <w:i w:val="0"/>
          <w:sz w:val="24"/>
        </w:rPr>
        <w:t>López de Prado, M. (2018). Advances in financial machine learning. John Wiley &amp; Sons.</w:t>
      </w:r>
    </w:p>
    <w:p>
      <w:pPr>
        <w:spacing w:line="276" w:lineRule="auto" w:after="120"/>
        <w:ind w:left="567" w:hanging="567"/>
        <w:jc w:val="both"/>
      </w:pPr>
      <w:r>
        <w:rPr>
          <w:rFonts w:ascii="Times New Roman" w:hAnsi="Times New Roman"/>
          <w:b w:val="0"/>
          <w:i w:val="0"/>
          <w:sz w:val="24"/>
        </w:rPr>
        <w:t>Optuna Development Team. (2024). Optuna documentation: Tree-structured Parzen Estimator and MedianPruner algorithms. Preferred Networks. https://optuna.readthedocs.io/</w:t>
      </w:r>
    </w:p>
    <w:p>
      <w:pPr>
        <w:spacing w:line="276" w:lineRule="auto" w:after="120"/>
        <w:ind w:left="567" w:hanging="567"/>
        <w:jc w:val="both"/>
      </w:pPr>
      <w:r>
        <w:rPr>
          <w:rFonts w:ascii="Times New Roman" w:hAnsi="Times New Roman"/>
          <w:b w:val="0"/>
          <w:i w:val="0"/>
          <w:sz w:val="24"/>
        </w:rPr>
        <w:t>Sakarya University Journal of Computer and Information Sciences. (2023). LSTM hyperparameters optimization with Hparam parameters for Bitcoin price prediction. Sakarya University Journal of Computer and Information Sciences, 6(1), 45–53.</w:t>
      </w:r>
    </w:p>
    <w:p>
      <w:pPr>
        <w:spacing w:line="276" w:lineRule="auto" w:after="120"/>
        <w:ind w:left="567" w:hanging="567"/>
        <w:jc w:val="both"/>
      </w:pPr>
      <w:r>
        <w:rPr>
          <w:rFonts w:ascii="Times New Roman" w:hAnsi="Times New Roman"/>
          <w:b w:val="0"/>
          <w:i w:val="0"/>
          <w:sz w:val="24"/>
        </w:rPr>
        <w:t>Srivastava, N., Hinton, G., Krizhevsky, A., Sutskever, I., &amp; Salakhutdinov, R. (2014). Dropout: A simple way to prevent neural networks from overfitting. Journal of Machine Learning Research, 15(1), 1929–1958.</w:t>
      </w:r>
    </w:p>
    <w:p>
      <w:pPr>
        <w:spacing w:line="276" w:lineRule="auto" w:after="120"/>
        <w:ind w:left="567" w:hanging="567"/>
        <w:jc w:val="both"/>
      </w:pPr>
      <w:r>
        <w:rPr>
          <w:rFonts w:ascii="Times New Roman" w:hAnsi="Times New Roman"/>
          <w:b w:val="0"/>
          <w:i w:val="0"/>
          <w:sz w:val="24"/>
        </w:rPr>
        <w:t>Tashman, L. J. (2000). Out-of-sample tests of forecasting accuracy: An analysis and review. International Journal of Forecasting, 16(4), 437–450. https://doi.org/10.1016/S0169-2070(00)00065-0</w:t>
      </w:r>
    </w:p>
    <w:p>
      <w:pPr>
        <w:spacing w:line="276" w:lineRule="auto" w:after="120"/>
        <w:ind w:left="567" w:hanging="567"/>
        <w:jc w:val="both"/>
      </w:pPr>
      <w:r>
        <w:rPr>
          <w:rFonts w:ascii="Times New Roman" w:hAnsi="Times New Roman"/>
          <w:b w:val="0"/>
          <w:i w:val="0"/>
          <w:sz w:val="24"/>
        </w:rPr>
        <w:t>TensorFlow Developers. (2024). TensorFlow: Large-scale machine learning on heterogeneous distributed systems. Google LLC. https://www.tensorflow.org/</w:t>
      </w:r>
    </w:p>
    <w:p>
      <w:pPr>
        <w:spacing w:line="276" w:lineRule="auto" w:after="120"/>
        <w:ind w:left="567" w:hanging="567"/>
        <w:jc w:val="both"/>
      </w:pPr>
      <w:r>
        <w:rPr>
          <w:rFonts w:ascii="Times New Roman" w:hAnsi="Times New Roman"/>
          <w:b w:val="0"/>
          <w:i w:val="0"/>
          <w:sz w:val="24"/>
        </w:rPr>
        <w:t>Ula, M., Ilhadi, V., &amp; Sidek, Z. M. (2024). Comparing Long Short-Term Memory and Random Forest accuracy for Bitcoin price forecasting. MATRIK: Jurnal Manajemen, Teknik Informatika dan Rekayasa Komputer, 23(2), 3267–3278. https://doi.org/10.30812/matrik.v23i2.3685</w:t>
      </w:r>
    </w:p>
    <w:p>
      <w:pPr>
        <w:spacing w:line="276" w:lineRule="auto" w:after="120"/>
        <w:ind w:left="567" w:hanging="567"/>
        <w:jc w:val="both"/>
      </w:pPr>
      <w:r>
        <w:rPr>
          <w:rFonts w:ascii="Times New Roman" w:hAnsi="Times New Roman"/>
          <w:b w:val="0"/>
          <w:i w:val="0"/>
          <w:sz w:val="24"/>
        </w:rPr>
        <w:t>Universitas Islam Nahdlatul Ulama Jepara. (2023). Peraturan Rektor UNISNU Jepara Nomor 57/PR/UNISNU/V/2023 tentang Pedoman Penulisan Skripsi, Tugas Akhir, dan Tesis. UNISNU Jepara.</w:t>
      </w:r>
    </w:p>
    <w:p>
      <w:pPr>
        <w:spacing w:line="276" w:lineRule="auto" w:after="120"/>
        <w:ind w:left="567" w:hanging="567"/>
        <w:jc w:val="both"/>
      </w:pPr>
      <w:r>
        <w:rPr>
          <w:rFonts w:ascii="Times New Roman" w:hAnsi="Times New Roman"/>
          <w:b w:val="0"/>
          <w:i w:val="0"/>
          <w:sz w:val="24"/>
        </w:rPr>
        <w:t>University of Warsaw. (2026). Machine learning-based Bitcoin trading under transaction costs: Evidence from walk-forward forecasting. Faculty of Economic Sciences Working Paper.</w:t>
      </w:r>
    </w:p>
    <w:p>
      <w:pPr>
        <w:spacing w:line="276" w:lineRule="auto" w:after="120"/>
        <w:ind w:left="567" w:hanging="567"/>
        <w:jc w:val="both"/>
      </w:pPr>
      <w:r>
        <w:rPr>
          <w:rFonts w:ascii="Times New Roman" w:hAnsi="Times New Roman"/>
          <w:b w:val="0"/>
          <w:i w:val="0"/>
          <w:sz w:val="24"/>
        </w:rPr>
        <w:t>Willmott, C. J., &amp; Matsuura, K. (2005). Advantages of the Mean Absolute Error (MAE) over the Root Mean Square Error (RMSE) in assessing average model performance. Climate Research, 30(1), 79–82. https://doi.org/10.3354/cr030079</w:t>
      </w:r>
    </w:p>
    <w:p>
      <w:r>
        <w:br w:type="page"/>
      </w:r>
    </w:p>
    <w:p>
      <w:pPr>
        <w:spacing w:before="0" w:after="120"/>
        <w:jc w:val="center"/>
      </w:pPr>
      <w:r>
        <w:rPr>
          <w:rFonts w:ascii="Times New Roman" w:hAnsi="Times New Roman"/>
          <w:b/>
          <w:i w:val="0"/>
          <w:sz w:val="24"/>
        </w:rPr>
        <w:t>LAMPIRAN 1</w:t>
        <w:br/>
        <w:t>RINGKASAN KODE PROGRAM PIPELINE KOMPUTASI PYTHON</w:t>
      </w:r>
    </w:p>
    <w:p>
      <w:pPr>
        <w:spacing w:line="360" w:lineRule="auto" w:after="240"/>
        <w:ind w:firstLine="567"/>
        <w:jc w:val="both"/>
      </w:pPr>
      <w:r>
        <w:rPr>
          <w:rFonts w:ascii="Times New Roman" w:hAnsi="Times New Roman"/>
          <w:b w:val="0"/>
          <w:i w:val="0"/>
          <w:sz w:val="24"/>
        </w:rPr>
        <w:t>Berikut merupakan ringkasan modul-modul skrip Python yang dirancang dan dieksekusi dalam lingkungan eksperimen komputasi penelitian, mencakup modul penarikan data Binance API, pra-pemrosesan data bebas kebocoran, pelatihan model Tier 1 (Baseline), model Tier 2 (Manual Khumaidi dkk.), optimasi Tier 3 (Optuna-TPE), serta modul evaluasi komparatif.</w:t>
      </w:r>
    </w:p>
    <w:p>
      <w:pPr>
        <w:spacing w:before="160" w:after="40"/>
      </w:pPr>
      <w:r>
        <w:rPr>
          <w:rFonts w:ascii="Times New Roman" w:hAnsi="Times New Roman"/>
          <w:b/>
          <w:i w:val="0"/>
          <w:sz w:val="22"/>
        </w:rPr>
        <w:t>Modul 01: Penarikan Data Historis Binance API (01_fetch_binance_data.py)</w:t>
      </w:r>
    </w:p>
    <w:tbl>
      <w:tblPr>
        <w:tblW w:type="auto" w:w="0"/>
        <w:jc w:val="center"/>
        <w:tblLook w:firstColumn="1" w:firstRow="1" w:lastColumn="0" w:lastRow="0" w:noHBand="0" w:noVBand="1" w:val="04A0"/>
      </w:tblPr>
      <w:tblGrid>
        <w:gridCol w:w="7937"/>
      </w:tblGrid>
      <w:tr>
        <w:tc>
          <w:tcPr>
            <w:tcW w:type="dxa" w:w="7937"/>
            <w:shd w:fill="F4F6F9"/>
            <w:tcBorders>
              <w:top w:val="single" w:sz="4" w:space="0" w:color="000000"/>
              <w:bottom w:val="single" w:sz="4" w:space="0" w:color="000000"/>
              <w:left w:val="single" w:sz="4" w:space="0" w:color="000000"/>
              <w:right w:val="single" w:sz="4" w:space="0" w:color="000000"/>
            </w:tcBorders>
          </w:tcPr>
          <w:p>
            <w:pPr>
              <w:spacing w:line="252" w:lineRule="auto" w:before="80" w:after="80"/>
            </w:pPr>
            <w:r>
              <w:rPr>
                <w:rFonts w:ascii="Consolas" w:hAnsi="Consolas"/>
                <w:b w:val="0"/>
                <w:i w:val="0"/>
                <w:sz w:val="17"/>
              </w:rPr>
              <w:t>import requests, pandas as pd, datetime</w:t>
              <w:br/>
              <w:t>BASE_URL = 'https://api.binance.com/api/v3/klines'</w:t>
              <w:br/>
              <w:t>params = {'symbol': 'BTCUSDT', 'interval': '1d', 'startTime': 1577836800000, 'endTime': 1767225599000, 'limit': 1000}</w:t>
              <w:br/>
              <w:t># Iteratif pagination 2.192 records (2020-01-01 s.d. 2025-12-31)</w:t>
              <w:br/>
              <w:t>df = pd.DataFrame(raw_klines, columns=['open_time', 'open', 'high', 'low', 'close', 'volume', ...])</w:t>
              <w:br/>
              <w:t>df['close'] = df['close'].astype(float); df.to_csv('BTCUSDT_daily_2020_2025.csv', index=False)</w:t>
            </w:r>
          </w:p>
        </w:tc>
      </w:tr>
    </w:tbl>
    <w:p>
      <w:pPr>
        <w:spacing w:before="160" w:after="40"/>
      </w:pPr>
      <w:r>
        <w:rPr>
          <w:rFonts w:ascii="Times New Roman" w:hAnsi="Times New Roman"/>
          <w:b/>
          <w:i w:val="0"/>
          <w:sz w:val="22"/>
        </w:rPr>
        <w:t>Modul 02: Pra-Pemrosesan &amp; Partisi Data Kronologis (02_preprocessing.py)</w:t>
      </w:r>
    </w:p>
    <w:tbl>
      <w:tblPr>
        <w:tblW w:type="auto" w:w="0"/>
        <w:jc w:val="center"/>
        <w:tblLook w:firstColumn="1" w:firstRow="1" w:lastColumn="0" w:lastRow="0" w:noHBand="0" w:noVBand="1" w:val="04A0"/>
      </w:tblPr>
      <w:tblGrid>
        <w:gridCol w:w="7937"/>
      </w:tblGrid>
      <w:tr>
        <w:tc>
          <w:tcPr>
            <w:tcW w:type="dxa" w:w="7937"/>
            <w:shd w:fill="F4F6F9"/>
            <w:tcBorders>
              <w:top w:val="single" w:sz="4" w:space="0" w:color="000000"/>
              <w:bottom w:val="single" w:sz="4" w:space="0" w:color="000000"/>
              <w:left w:val="single" w:sz="4" w:space="0" w:color="000000"/>
              <w:right w:val="single" w:sz="4" w:space="0" w:color="000000"/>
            </w:tcBorders>
          </w:tcPr>
          <w:p>
            <w:pPr>
              <w:spacing w:line="252" w:lineRule="auto" w:before="80" w:after="80"/>
            </w:pPr>
            <w:r>
              <w:rPr>
                <w:rFonts w:ascii="Consolas" w:hAnsi="Consolas"/>
                <w:b w:val="0"/>
                <w:i w:val="0"/>
                <w:sz w:val="17"/>
              </w:rPr>
              <w:t>from sklearn.preprocessing import MinMaxScaler</w:t>
              <w:br/>
              <w:t># Partisi Kronologis 80:20 (1.753 in-sample vs 439 out-of-sample)</w:t>
              <w:br/>
              <w:t>train_raw = df['close'].iloc[:1753].values.reshape(-1, 1)</w:t>
              <w:br/>
              <w:t>test_raw = df['close'].iloc[1753:].values.reshape(-1, 1)</w:t>
              <w:br/>
              <w:t>scaler = MinMaxScaler(feature_range=(0, 1))</w:t>
              <w:br/>
              <w:t>train_scaled = scaler.fit_transform(train_raw) # Fit HANYA pada data latih</w:t>
              <w:br/>
              <w:t>test_scaled = scaler.transform(test_raw)       # Transformasi skalar uji</w:t>
            </w:r>
          </w:p>
        </w:tc>
      </w:tr>
    </w:tbl>
    <w:p>
      <w:pPr>
        <w:spacing w:before="160" w:after="40"/>
      </w:pPr>
      <w:r>
        <w:rPr>
          <w:rFonts w:ascii="Times New Roman" w:hAnsi="Times New Roman"/>
          <w:b/>
          <w:i w:val="0"/>
          <w:sz w:val="22"/>
        </w:rPr>
        <w:t>Modul 03: Pelatihan Model Baseline Default Tier 1 (03_train_baseline_tier1.py)</w:t>
      </w:r>
    </w:p>
    <w:tbl>
      <w:tblPr>
        <w:tblW w:type="auto" w:w="0"/>
        <w:jc w:val="center"/>
        <w:tblLook w:firstColumn="1" w:firstRow="1" w:lastColumn="0" w:lastRow="0" w:noHBand="0" w:noVBand="1" w:val="04A0"/>
      </w:tblPr>
      <w:tblGrid>
        <w:gridCol w:w="7937"/>
      </w:tblGrid>
      <w:tr>
        <w:tc>
          <w:tcPr>
            <w:tcW w:type="dxa" w:w="7937"/>
            <w:shd w:fill="F4F6F9"/>
            <w:tcBorders>
              <w:top w:val="single" w:sz="4" w:space="0" w:color="000000"/>
              <w:bottom w:val="single" w:sz="4" w:space="0" w:color="000000"/>
              <w:left w:val="single" w:sz="4" w:space="0" w:color="000000"/>
              <w:right w:val="single" w:sz="4" w:space="0" w:color="000000"/>
            </w:tcBorders>
          </w:tcPr>
          <w:p>
            <w:pPr>
              <w:spacing w:line="252" w:lineRule="auto" w:before="80" w:after="80"/>
            </w:pPr>
            <w:r>
              <w:rPr>
                <w:rFonts w:ascii="Consolas" w:hAnsi="Consolas"/>
                <w:b w:val="0"/>
                <w:i w:val="0"/>
                <w:sz w:val="17"/>
              </w:rPr>
              <w:t>import tensorflow as tf</w:t>
              <w:br/>
              <w:t>model = tf.keras.Sequential([</w:t>
              <w:br/>
              <w:t xml:space="preserve">    tf.keras.layers.LSTM(units=50, input_shape=(60, 1)),</w:t>
              <w:br/>
              <w:t xml:space="preserve">    tf.keras.layers.Dense(1)</w:t>
              <w:br/>
              <w:t>])</w:t>
              <w:br/>
              <w:t>model.compile(optimizer=tf.keras.optimizers.Adam(learning_rate=0.001), loss='mse')</w:t>
              <w:br/>
              <w:t>model.fit(X_train, y_train, epochs=50, batch_size=32, validation_split=0.1)</w:t>
            </w:r>
          </w:p>
        </w:tc>
      </w:tr>
    </w:tbl>
    <w:p>
      <w:pPr>
        <w:spacing w:before="160" w:after="40"/>
      </w:pPr>
      <w:r>
        <w:rPr>
          <w:rFonts w:ascii="Times New Roman" w:hAnsi="Times New Roman"/>
          <w:b/>
          <w:i w:val="0"/>
          <w:sz w:val="22"/>
        </w:rPr>
        <w:t>Modul 04: Pelatihan Model Replikasi Manual Tuning Tier 2 (04_train_manual_tier2.py)</w:t>
      </w:r>
    </w:p>
    <w:tbl>
      <w:tblPr>
        <w:tblW w:type="auto" w:w="0"/>
        <w:jc w:val="center"/>
        <w:tblLook w:firstColumn="1" w:firstRow="1" w:lastColumn="0" w:lastRow="0" w:noHBand="0" w:noVBand="1" w:val="04A0"/>
      </w:tblPr>
      <w:tblGrid>
        <w:gridCol w:w="7937"/>
      </w:tblGrid>
      <w:tr>
        <w:tc>
          <w:tcPr>
            <w:tcW w:type="dxa" w:w="7937"/>
            <w:shd w:fill="F4F6F9"/>
            <w:tcBorders>
              <w:top w:val="single" w:sz="4" w:space="0" w:color="000000"/>
              <w:bottom w:val="single" w:sz="4" w:space="0" w:color="000000"/>
              <w:left w:val="single" w:sz="4" w:space="0" w:color="000000"/>
              <w:right w:val="single" w:sz="4" w:space="0" w:color="000000"/>
            </w:tcBorders>
          </w:tcPr>
          <w:p>
            <w:pPr>
              <w:spacing w:line="252" w:lineRule="auto" w:before="80" w:after="80"/>
            </w:pPr>
            <w:r>
              <w:rPr>
                <w:rFonts w:ascii="Consolas" w:hAnsi="Consolas"/>
                <w:b w:val="0"/>
                <w:i w:val="0"/>
                <w:sz w:val="17"/>
              </w:rPr>
              <w:t># Parameter Khumaidi dkk. (2024): lookback=60, units=128, dropout=0.20, lr=0.001, batch=10</w:t>
              <w:br/>
              <w:t>model = tf.keras.Sequential([</w:t>
              <w:br/>
              <w:t xml:space="preserve">    tf.keras.layers.LSTM(units=128, input_shape=(60, 1)),</w:t>
              <w:br/>
              <w:t xml:space="preserve">    tf.keras.layers.Dropout(0.20),</w:t>
              <w:br/>
              <w:t xml:space="preserve">    tf.keras.layers.Dense(1)</w:t>
              <w:br/>
              <w:t>])</w:t>
              <w:br/>
              <w:t>model.compile(optimizer=tf.keras.optimizers.Adam(learning_rate=0.001), loss='mse')</w:t>
              <w:br/>
              <w:t>model.fit(X_train, y_train, epochs=50, batch_size=10, validation_split=0.1)</w:t>
            </w:r>
          </w:p>
        </w:tc>
      </w:tr>
    </w:tbl>
    <w:p>
      <w:pPr>
        <w:spacing w:before="160" w:after="40"/>
      </w:pPr>
      <w:r>
        <w:rPr>
          <w:rFonts w:ascii="Times New Roman" w:hAnsi="Times New Roman"/>
          <w:b/>
          <w:i w:val="0"/>
          <w:sz w:val="22"/>
        </w:rPr>
        <w:t>Modul 05: Optimasi Bayesian Tree-structured Parzen Estimator Tier 3 (05_optimize_optuna_tier3.py)</w:t>
      </w:r>
    </w:p>
    <w:tbl>
      <w:tblPr>
        <w:tblW w:type="auto" w:w="0"/>
        <w:jc w:val="center"/>
        <w:tblLook w:firstColumn="1" w:firstRow="1" w:lastColumn="0" w:lastRow="0" w:noHBand="0" w:noVBand="1" w:val="04A0"/>
      </w:tblPr>
      <w:tblGrid>
        <w:gridCol w:w="7937"/>
      </w:tblGrid>
      <w:tr>
        <w:tc>
          <w:tcPr>
            <w:tcW w:type="dxa" w:w="7937"/>
            <w:shd w:fill="F4F6F9"/>
            <w:tcBorders>
              <w:top w:val="single" w:sz="4" w:space="0" w:color="000000"/>
              <w:bottom w:val="single" w:sz="4" w:space="0" w:color="000000"/>
              <w:left w:val="single" w:sz="4" w:space="0" w:color="000000"/>
              <w:right w:val="single" w:sz="4" w:space="0" w:color="000000"/>
            </w:tcBorders>
          </w:tcPr>
          <w:p>
            <w:pPr>
              <w:spacing w:line="252" w:lineRule="auto" w:before="80" w:after="80"/>
            </w:pPr>
            <w:r>
              <w:rPr>
                <w:rFonts w:ascii="Consolas" w:hAnsi="Consolas"/>
                <w:b w:val="0"/>
                <w:i w:val="0"/>
                <w:sz w:val="17"/>
              </w:rPr>
              <w:t>import optuna</w:t>
              <w:br/>
              <w:t>def objective(trial):</w:t>
              <w:br/>
              <w:t xml:space="preserve">    lookback = trial.suggest_categorical('lookback', [14, 30, 45, 60])</w:t>
              <w:br/>
              <w:t xml:space="preserve">    units = trial.suggest_int('units', 32, 128, step=16)</w:t>
              <w:br/>
              <w:t xml:space="preserve">    dropout = trial.suggest_float('dropout', 0.1, 0.4, step=0.1)</w:t>
              <w:br/>
              <w:t xml:space="preserve">    lr = trial.suggest_float('learning_rate', 1e-4, 1e-2, log=True)</w:t>
              <w:br/>
              <w:t xml:space="preserve">    batch_size = trial.suggest_categorical('batch_size', [16, 32, 64])</w:t>
              <w:br/>
              <w:t xml:space="preserve">    # 5-Fold Time-Series Cross-Validation + MedianPruner pruning</w:t>
              <w:br/>
              <w:t xml:space="preserve">    return cv_val_loss</w:t>
              <w:br/>
              <w:t>study = optuna.create_study(direction='minimize', sampler=optuna.samplers.TPESampler(),</w:t>
              <w:br/>
              <w:t xml:space="preserve">                            pruner=optuna.pruners.MedianPruner(n_startup_trials=10))</w:t>
              <w:br/>
              <w:t>study.optimize(objective, n_trials=50)</w:t>
            </w:r>
          </w:p>
        </w:tc>
      </w:tr>
    </w:tbl>
    <w:p>
      <w:pPr>
        <w:spacing w:before="160" w:after="40"/>
      </w:pPr>
      <w:r>
        <w:rPr>
          <w:rFonts w:ascii="Times New Roman" w:hAnsi="Times New Roman"/>
          <w:b/>
          <w:i w:val="0"/>
          <w:sz w:val="22"/>
        </w:rPr>
        <w:t>Modul 06: Evaluasi Komparatif 3-Tier (06_evaluate_and_compare.py)</w:t>
      </w:r>
    </w:p>
    <w:tbl>
      <w:tblPr>
        <w:tblW w:type="auto" w:w="0"/>
        <w:jc w:val="center"/>
        <w:tblLook w:firstColumn="1" w:firstRow="1" w:lastColumn="0" w:lastRow="0" w:noHBand="0" w:noVBand="1" w:val="04A0"/>
      </w:tblPr>
      <w:tblGrid>
        <w:gridCol w:w="7937"/>
      </w:tblGrid>
      <w:tr>
        <w:tc>
          <w:tcPr>
            <w:tcW w:type="dxa" w:w="7937"/>
            <w:shd w:fill="F4F6F9"/>
            <w:tcBorders>
              <w:top w:val="single" w:sz="4" w:space="0" w:color="000000"/>
              <w:bottom w:val="single" w:sz="4" w:space="0" w:color="000000"/>
              <w:left w:val="single" w:sz="4" w:space="0" w:color="000000"/>
              <w:right w:val="single" w:sz="4" w:space="0" w:color="000000"/>
            </w:tcBorders>
          </w:tcPr>
          <w:p>
            <w:pPr>
              <w:spacing w:line="252" w:lineRule="auto" w:before="80" w:after="80"/>
            </w:pPr>
            <w:r>
              <w:rPr>
                <w:rFonts w:ascii="Consolas" w:hAnsi="Consolas"/>
                <w:b w:val="0"/>
                <w:i w:val="0"/>
                <w:sz w:val="17"/>
              </w:rPr>
              <w:t>import numpy as np</w:t>
              <w:br/>
              <w:t>def compute_metrics(y_true, y_pred):</w:t>
              <w:br/>
              <w:t xml:space="preserve">    rmse = np.sqrt(np.mean((y_true - y_pred)**2))</w:t>
              <w:br/>
              <w:t xml:space="preserve">    mae = np.mean(np.abs(y_true - y_pred))</w:t>
              <w:br/>
              <w:t xml:space="preserve">    mape = np.mean(np.abs((y_true - y_pred) / y_true)) * 100</w:t>
              <w:br/>
              <w:t xml:space="preserve">    return rmse, mae, mape</w:t>
            </w:r>
          </w:p>
        </w:tc>
      </w:tr>
    </w:tbl>
    <w:p>
      <w:r>
        <w:br w:type="page"/>
      </w:r>
    </w:p>
    <w:p>
      <w:pPr>
        <w:spacing w:before="0" w:after="120"/>
        <w:jc w:val="center"/>
      </w:pPr>
      <w:r>
        <w:rPr>
          <w:rFonts w:ascii="Times New Roman" w:hAnsi="Times New Roman"/>
          <w:b/>
          <w:i w:val="0"/>
          <w:sz w:val="24"/>
        </w:rPr>
        <w:t>LAMPIRAN 2</w:t>
        <w:br/>
        <w:t>SAMPEL DATA HISTORIS TRANSAKSI HARIAN BINANCE BTC/USDT (2020–2025)</w:t>
      </w:r>
    </w:p>
    <w:p>
      <w:pPr>
        <w:spacing w:line="360" w:lineRule="auto" w:after="200"/>
        <w:ind w:firstLine="567"/>
        <w:jc w:val="both"/>
      </w:pPr>
      <w:r>
        <w:rPr>
          <w:rFonts w:ascii="Times New Roman" w:hAnsi="Times New Roman"/>
          <w:b w:val="0"/>
          <w:i w:val="0"/>
          <w:sz w:val="24"/>
        </w:rPr>
        <w:t>Berikut merupakan cuplikan sampel data historis transaksi harian pasangan BTC/USDT yang dihimpun dari Binance Public Market Data API sebanyak 2.192 hari. Tabel di bawah menampilkan 15 observasi awal periode Januari 2020 dan 15 observasi akhir periode Desember 2025 dengan atribut Open, High, Low, Close (USD), serta Volume perdagangan harian (BTC).</w:t>
      </w:r>
    </w:p>
    <w:tbl>
      <w:tblPr>
        <w:tblW w:type="auto" w:w="0"/>
        <w:jc w:val="center"/>
        <w:tblLook w:firstColumn="1" w:firstRow="1" w:lastColumn="0" w:lastRow="0" w:noHBand="0" w:noVBand="1" w:val="04A0"/>
      </w:tblPr>
      <w:tblGrid>
        <w:gridCol w:w="1323"/>
        <w:gridCol w:w="1323"/>
        <w:gridCol w:w="1323"/>
        <w:gridCol w:w="1323"/>
        <w:gridCol w:w="1323"/>
        <w:gridCol w:w="1323"/>
      </w:tblGrid>
      <w:tr>
        <w:tc>
          <w:tcPr>
            <w:tcW w:type="dxa" w:w="1323"/>
            <w:tcBorders>
              <w:top w:val="single" w:sz="4" w:space="0" w:color="000000"/>
              <w:bottom w:val="single" w:sz="4" w:space="0" w:color="000000"/>
              <w:left w:val="none" w:sz="4" w:space="0" w:color="000000"/>
              <w:right w:val="none" w:sz="4" w:space="0" w:color="000000"/>
            </w:tcBorders>
            <w:shd w:fill="E8EEF5"/>
          </w:tcPr>
          <w:p>
            <w:pPr>
              <w:jc w:val="center"/>
            </w:pPr>
            <w:r>
              <w:rPr>
                <w:rFonts w:ascii="Times New Roman" w:hAnsi="Times New Roman"/>
                <w:b/>
                <w:i w:val="0"/>
                <w:sz w:val="18"/>
              </w:rPr>
              <w:t>No.</w:t>
            </w:r>
          </w:p>
        </w:tc>
        <w:tc>
          <w:tcPr>
            <w:tcW w:type="dxa" w:w="1323"/>
            <w:tcBorders>
              <w:top w:val="single" w:sz="4" w:space="0" w:color="000000"/>
              <w:bottom w:val="single" w:sz="4" w:space="0" w:color="000000"/>
              <w:left w:val="none" w:sz="4" w:space="0" w:color="000000"/>
              <w:right w:val="none" w:sz="4" w:space="0" w:color="000000"/>
            </w:tcBorders>
            <w:shd w:fill="E8EEF5"/>
          </w:tcPr>
          <w:p>
            <w:pPr>
              <w:jc w:val="center"/>
            </w:pPr>
            <w:r>
              <w:rPr>
                <w:rFonts w:ascii="Times New Roman" w:hAnsi="Times New Roman"/>
                <w:b/>
                <w:i w:val="0"/>
                <w:sz w:val="18"/>
              </w:rPr>
              <w:t>Tanggal</w:t>
            </w:r>
          </w:p>
        </w:tc>
        <w:tc>
          <w:tcPr>
            <w:tcW w:type="dxa" w:w="1323"/>
            <w:tcBorders>
              <w:top w:val="single" w:sz="4" w:space="0" w:color="000000"/>
              <w:bottom w:val="single" w:sz="4" w:space="0" w:color="000000"/>
              <w:left w:val="none" w:sz="4" w:space="0" w:color="000000"/>
              <w:right w:val="none" w:sz="4" w:space="0" w:color="000000"/>
            </w:tcBorders>
            <w:shd w:fill="E8EEF5"/>
          </w:tcPr>
          <w:p>
            <w:pPr>
              <w:jc w:val="center"/>
            </w:pPr>
            <w:r>
              <w:rPr>
                <w:rFonts w:ascii="Times New Roman" w:hAnsi="Times New Roman"/>
                <w:b/>
                <w:i w:val="0"/>
                <w:sz w:val="18"/>
              </w:rPr>
              <w:t>Open (USD)</w:t>
            </w:r>
          </w:p>
        </w:tc>
        <w:tc>
          <w:tcPr>
            <w:tcW w:type="dxa" w:w="1323"/>
            <w:tcBorders>
              <w:top w:val="single" w:sz="4" w:space="0" w:color="000000"/>
              <w:bottom w:val="single" w:sz="4" w:space="0" w:color="000000"/>
              <w:left w:val="none" w:sz="4" w:space="0" w:color="000000"/>
              <w:right w:val="none" w:sz="4" w:space="0" w:color="000000"/>
            </w:tcBorders>
            <w:shd w:fill="E8EEF5"/>
          </w:tcPr>
          <w:p>
            <w:pPr>
              <w:jc w:val="center"/>
            </w:pPr>
            <w:r>
              <w:rPr>
                <w:rFonts w:ascii="Times New Roman" w:hAnsi="Times New Roman"/>
                <w:b/>
                <w:i w:val="0"/>
                <w:sz w:val="18"/>
              </w:rPr>
              <w:t>High (USD)</w:t>
            </w:r>
          </w:p>
        </w:tc>
        <w:tc>
          <w:tcPr>
            <w:tcW w:type="dxa" w:w="1323"/>
            <w:tcBorders>
              <w:top w:val="single" w:sz="4" w:space="0" w:color="000000"/>
              <w:bottom w:val="single" w:sz="4" w:space="0" w:color="000000"/>
              <w:left w:val="none" w:sz="4" w:space="0" w:color="000000"/>
              <w:right w:val="none" w:sz="4" w:space="0" w:color="000000"/>
            </w:tcBorders>
            <w:shd w:fill="E8EEF5"/>
          </w:tcPr>
          <w:p>
            <w:pPr>
              <w:jc w:val="center"/>
            </w:pPr>
            <w:r>
              <w:rPr>
                <w:rFonts w:ascii="Times New Roman" w:hAnsi="Times New Roman"/>
                <w:b/>
                <w:i w:val="0"/>
                <w:sz w:val="18"/>
              </w:rPr>
              <w:t>Low (USD)</w:t>
            </w:r>
          </w:p>
        </w:tc>
        <w:tc>
          <w:tcPr>
            <w:tcW w:type="dxa" w:w="1323"/>
            <w:tcBorders>
              <w:top w:val="single" w:sz="4" w:space="0" w:color="000000"/>
              <w:bottom w:val="single" w:sz="4" w:space="0" w:color="000000"/>
              <w:left w:val="none" w:sz="4" w:space="0" w:color="000000"/>
              <w:right w:val="none" w:sz="4" w:space="0" w:color="000000"/>
            </w:tcBorders>
            <w:shd w:fill="E8EEF5"/>
          </w:tcPr>
          <w:p>
            <w:pPr>
              <w:jc w:val="center"/>
            </w:pPr>
            <w:r>
              <w:rPr>
                <w:rFonts w:ascii="Times New Roman" w:hAnsi="Times New Roman"/>
                <w:b/>
                <w:i w:val="0"/>
                <w:sz w:val="18"/>
              </w:rPr>
              <w:t>Close (USD)</w:t>
            </w:r>
          </w:p>
        </w:tc>
      </w:tr>
      <w:tr>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1</w:t>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2020-01-01</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7,195.24</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7,255.00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7,175.15</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7,200.85</w:t>
            </w:r>
          </w:p>
        </w:tc>
      </w:tr>
      <w:tr>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w:t>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2020-01-02</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7,200.77</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7,212.50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6,924.74</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6,965.71</w:t>
            </w:r>
          </w:p>
        </w:tc>
      </w:tr>
      <w:tr>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3</w:t>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2020-01-03</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6,965.49</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7,405.00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6,871.04</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7,344.96</w:t>
            </w:r>
          </w:p>
        </w:tc>
      </w:tr>
      <w:tr>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4</w:t>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2020-01-04</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7,345.00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7,404.00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7,272.21</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7,354.11</w:t>
            </w:r>
          </w:p>
        </w:tc>
      </w:tr>
      <w:tr>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5</w:t>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2020-01-05</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7,354.19</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7,495.00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7,318.00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7,358.75</w:t>
            </w:r>
          </w:p>
        </w:tc>
      </w:tr>
      <w:tr>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6</w:t>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2020-01-06</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7,357.64</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7,795.34</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7,346.76</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7,758.00</w:t>
            </w:r>
          </w:p>
        </w:tc>
      </w:tr>
      <w:tr>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7</w:t>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2020-01-07</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7,758.90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8,207.68</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7,723.71</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8,145.28</w:t>
            </w:r>
          </w:p>
        </w:tc>
      </w:tr>
      <w:tr>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8</w:t>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2020-01-08</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8,145.92</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8,455.00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7,870.00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8,055.98</w:t>
            </w:r>
          </w:p>
        </w:tc>
      </w:tr>
      <w:tr>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9</w:t>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2020-01-09</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8,054.72</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8,055.96</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7,750.00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7,817.76</w:t>
            </w:r>
          </w:p>
        </w:tc>
      </w:tr>
      <w:tr>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10</w:t>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2020-01-10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7,817.74</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8,199.00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7,672.00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8,197.02</w:t>
            </w:r>
          </w:p>
        </w:tc>
      </w:tr>
      <w:tr>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11</w:t>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2020-01-11</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8,198.86</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8,286.34</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8,003.16</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8,020.01</w:t>
            </w:r>
          </w:p>
        </w:tc>
      </w:tr>
      <w:tr>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12</w:t>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2020-01-12</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8,020.01</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8,197.00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7,960.00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8,184.98</w:t>
            </w:r>
          </w:p>
        </w:tc>
      </w:tr>
      <w:tr>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i w:val="0"/>
                <w:sz w:val="17"/>
              </w:rPr>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i w:val="0"/>
                <w:sz w:val="17"/>
              </w:rPr>
              <w:t>...</w:t>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i w:val="0"/>
                <w:sz w:val="17"/>
              </w:rPr>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i w:val="0"/>
                <w:sz w:val="17"/>
              </w:rPr>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i w:val="0"/>
                <w:sz w:val="17"/>
              </w:rPr>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i w:val="0"/>
                <w:sz w:val="17"/>
              </w:rPr>
              <w:t>...</w:t>
            </w:r>
          </w:p>
        </w:tc>
      </w:tr>
      <w:tr>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2181</w:t>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2025-12-20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88,136.95</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88,573.07</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87,795.76</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88,360.90</w:t>
            </w:r>
          </w:p>
        </w:tc>
      </w:tr>
      <w:tr>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2182</w:t>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2025-12-21</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88,360.91</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89,081.77</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87,600.04</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88,658.86</w:t>
            </w:r>
          </w:p>
        </w:tc>
      </w:tr>
      <w:tr>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2183</w:t>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2025-12-22</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88,658.87</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90,588.23</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87,900.00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88,620.79</w:t>
            </w:r>
          </w:p>
        </w:tc>
      </w:tr>
      <w:tr>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2184</w:t>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2025-12-23</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88,620.79</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88,940.00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86,601.90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87,486.00</w:t>
            </w:r>
          </w:p>
        </w:tc>
      </w:tr>
      <w:tr>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2185</w:t>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2025-12-24</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87,486.00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88,049.89</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86,420.00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87,669.45</w:t>
            </w:r>
          </w:p>
        </w:tc>
      </w:tr>
      <w:tr>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2186</w:t>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2025-12-25</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87,669.44</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88,592.74</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86,934.72</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87,225.27</w:t>
            </w:r>
          </w:p>
        </w:tc>
      </w:tr>
      <w:tr>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2187</w:t>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2025-12-26</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87,225.27</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89,567.75</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86,655.08</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87,369.56</w:t>
            </w:r>
          </w:p>
        </w:tc>
      </w:tr>
      <w:tr>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2188</w:t>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2025-12-27</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87,369.56</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87,984.00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87,253.05</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87,877.01</w:t>
            </w:r>
          </w:p>
        </w:tc>
      </w:tr>
      <w:tr>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2189</w:t>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2025-12-28</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87,877.00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88,088.75</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87,435.00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87,952.71</w:t>
            </w:r>
          </w:p>
        </w:tc>
      </w:tr>
      <w:tr>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2190</w:t>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2025-12-29</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87,952.71</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90,406.08</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86,806.50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87,237.13</w:t>
            </w:r>
          </w:p>
        </w:tc>
      </w:tr>
      <w:tr>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2191</w:t>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2025-12-30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87,237.13</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89,400.00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86,845.66</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88,485.49</w:t>
            </w:r>
          </w:p>
        </w:tc>
      </w:tr>
      <w:tr>
        <w:tc>
          <w:tcPr>
            <w:tcW w:type="dxa" w:w="1323"/>
            <w:tcBorders>
              <w:top w:val="none" w:sz="4" w:space="0" w:color="000000"/>
              <w:bottom w:val="single" w:sz="4" w:space="0" w:color="000000"/>
              <w:left w:val="none" w:sz="4" w:space="0" w:color="000000"/>
              <w:right w:val="none" w:sz="4" w:space="0" w:color="000000"/>
            </w:tcBorders>
          </w:tcPr>
          <w:p>
            <w:pPr>
              <w:jc w:val="center"/>
            </w:pPr>
            <w:r>
              <w:rPr>
                <w:rFonts w:ascii="Times New Roman" w:hAnsi="Times New Roman"/>
                <w:b w:val="0"/>
                <w:i w:val="0"/>
                <w:sz w:val="17"/>
              </w:rPr>
              <w:t>2192</w:t>
            </w:r>
          </w:p>
        </w:tc>
        <w:tc>
          <w:tcPr>
            <w:tcW w:type="dxa" w:w="1323"/>
            <w:tcBorders>
              <w:top w:val="none" w:sz="4" w:space="0" w:color="000000"/>
              <w:bottom w:val="single" w:sz="4" w:space="0" w:color="000000"/>
              <w:left w:val="none" w:sz="4" w:space="0" w:color="000000"/>
              <w:right w:val="none" w:sz="4" w:space="0" w:color="000000"/>
            </w:tcBorders>
          </w:tcPr>
          <w:p>
            <w:pPr>
              <w:jc w:val="center"/>
            </w:pPr>
            <w:r>
              <w:rPr>
                <w:rFonts w:ascii="Times New Roman" w:hAnsi="Times New Roman"/>
                <w:b w:val="0"/>
                <w:i w:val="0"/>
                <w:sz w:val="17"/>
              </w:rPr>
              <w:t>2025-12-31</w:t>
            </w:r>
          </w:p>
        </w:tc>
        <w:tc>
          <w:tcPr>
            <w:tcW w:type="dxa" w:w="1323"/>
            <w:tcBorders>
              <w:top w:val="none" w:sz="4" w:space="0" w:color="000000"/>
              <w:bottom w:val="single" w:sz="4" w:space="0" w:color="000000"/>
              <w:left w:val="none" w:sz="4" w:space="0" w:color="000000"/>
              <w:right w:val="none" w:sz="4" w:space="0" w:color="000000"/>
            </w:tcBorders>
          </w:tcPr>
          <w:p>
            <w:pPr>
              <w:jc w:val="right"/>
            </w:pPr>
            <w:r>
              <w:rPr>
                <w:rFonts w:ascii="Times New Roman" w:hAnsi="Times New Roman"/>
                <w:b w:val="0"/>
                <w:i w:val="0"/>
                <w:sz w:val="17"/>
              </w:rPr>
              <w:t>88,485.50</w:t>
            </w:r>
          </w:p>
        </w:tc>
        <w:tc>
          <w:tcPr>
            <w:tcW w:type="dxa" w:w="1323"/>
            <w:tcBorders>
              <w:top w:val="none" w:sz="4" w:space="0" w:color="000000"/>
              <w:bottom w:val="single" w:sz="4" w:space="0" w:color="000000"/>
              <w:left w:val="none" w:sz="4" w:space="0" w:color="000000"/>
              <w:right w:val="none" w:sz="4" w:space="0" w:color="000000"/>
            </w:tcBorders>
          </w:tcPr>
          <w:p>
            <w:pPr>
              <w:jc w:val="right"/>
            </w:pPr>
            <w:r>
              <w:rPr>
                <w:rFonts w:ascii="Times New Roman" w:hAnsi="Times New Roman"/>
                <w:b w:val="0"/>
                <w:i w:val="0"/>
                <w:sz w:val="17"/>
              </w:rPr>
              <w:t>89,200.00</w:t>
            </w:r>
          </w:p>
        </w:tc>
        <w:tc>
          <w:tcPr>
            <w:tcW w:type="dxa" w:w="1323"/>
            <w:tcBorders>
              <w:top w:val="none" w:sz="4" w:space="0" w:color="000000"/>
              <w:bottom w:val="single" w:sz="4" w:space="0" w:color="000000"/>
              <w:left w:val="none" w:sz="4" w:space="0" w:color="000000"/>
              <w:right w:val="none" w:sz="4" w:space="0" w:color="000000"/>
            </w:tcBorders>
          </w:tcPr>
          <w:p>
            <w:pPr>
              <w:jc w:val="right"/>
            </w:pPr>
            <w:r>
              <w:rPr>
                <w:rFonts w:ascii="Times New Roman" w:hAnsi="Times New Roman"/>
                <w:b w:val="0"/>
                <w:i w:val="0"/>
                <w:sz w:val="17"/>
              </w:rPr>
              <w:t>87,250.00</w:t>
            </w:r>
          </w:p>
        </w:tc>
        <w:tc>
          <w:tcPr>
            <w:tcW w:type="dxa" w:w="1323"/>
            <w:tcBorders>
              <w:top w:val="none" w:sz="4" w:space="0" w:color="000000"/>
              <w:bottom w:val="single" w:sz="4" w:space="0" w:color="000000"/>
              <w:left w:val="none" w:sz="4" w:space="0" w:color="000000"/>
              <w:right w:val="none" w:sz="4" w:space="0" w:color="000000"/>
            </w:tcBorders>
          </w:tcPr>
          <w:p>
            <w:pPr>
              <w:jc w:val="right"/>
            </w:pPr>
            <w:r>
              <w:rPr>
                <w:rFonts w:ascii="Times New Roman" w:hAnsi="Times New Roman"/>
                <w:b w:val="0"/>
                <w:i w:val="0"/>
                <w:sz w:val="17"/>
              </w:rPr>
              <w:t>87,648.22</w:t>
            </w:r>
          </w:p>
        </w:tc>
      </w:tr>
    </w:tbl>
    <w:p>
      <w:r>
        <w:br w:type="page"/>
      </w:r>
    </w:p>
    <w:p>
      <w:pPr>
        <w:spacing w:before="0" w:after="120"/>
        <w:jc w:val="center"/>
      </w:pPr>
      <w:r>
        <w:rPr>
          <w:rFonts w:ascii="Times New Roman" w:hAnsi="Times New Roman"/>
          <w:b/>
          <w:i w:val="0"/>
          <w:sz w:val="24"/>
        </w:rPr>
        <w:t>LAMPIRAN 3</w:t>
        <w:br/>
        <w:t>LOG RIWAYAT 50 PERCOBAAN OPTIMASI BAYESIAN OPTUNA-TPE</w:t>
      </w:r>
    </w:p>
    <w:p>
      <w:pPr>
        <w:spacing w:line="360" w:lineRule="auto" w:after="200"/>
        <w:ind w:firstLine="567"/>
        <w:jc w:val="both"/>
      </w:pPr>
      <w:r>
        <w:rPr>
          <w:rFonts w:ascii="Times New Roman" w:hAnsi="Times New Roman"/>
          <w:b w:val="0"/>
          <w:i w:val="0"/>
          <w:sz w:val="24"/>
        </w:rPr>
        <w:t>Tabel berikut merangkum seluruh riwayat 50 percobaan (trials) yang dieksekusi oleh algoritma Optuna berbasis Tree-structured Parzen Estimator (TPE) dan mekanisme pemangkasan MedianPruner. Parameter yang dicatat meliputi nomor trial, lookback window, units, dropout rate, learning rate, batch size, nilai validation loss objektif (MSE), serta status akhir trial.</w:t>
      </w:r>
    </w:p>
    <w:tbl>
      <w:tblPr>
        <w:tblW w:type="auto" w:w="0"/>
        <w:jc w:val="center"/>
        <w:tblLook w:firstColumn="1" w:firstRow="1" w:lastColumn="0" w:lastRow="0" w:noHBand="0" w:noVBand="1" w:val="04A0"/>
      </w:tblPr>
      <w:tblGrid>
        <w:gridCol w:w="992"/>
        <w:gridCol w:w="992"/>
        <w:gridCol w:w="992"/>
        <w:gridCol w:w="992"/>
        <w:gridCol w:w="992"/>
        <w:gridCol w:w="992"/>
        <w:gridCol w:w="992"/>
        <w:gridCol w:w="992"/>
      </w:tblGrid>
      <w:tr>
        <w:tc>
          <w:tcPr>
            <w:tcW w:type="dxa" w:w="992"/>
            <w:tcBorders>
              <w:top w:val="single" w:sz="4" w:space="0" w:color="000000"/>
              <w:bottom w:val="single" w:sz="4" w:space="0" w:color="000000"/>
              <w:left w:val="none" w:sz="4" w:space="0" w:color="000000"/>
              <w:right w:val="none" w:sz="4" w:space="0" w:color="000000"/>
            </w:tcBorders>
            <w:shd w:fill="E8EEF5"/>
          </w:tcPr>
          <w:p>
            <w:pPr>
              <w:jc w:val="center"/>
            </w:pPr>
            <w:r>
              <w:rPr>
                <w:rFonts w:ascii="Times New Roman" w:hAnsi="Times New Roman"/>
                <w:b/>
                <w:i w:val="0"/>
                <w:sz w:val="17"/>
              </w:rPr>
              <w:t>Trial</w:t>
            </w:r>
          </w:p>
        </w:tc>
        <w:tc>
          <w:tcPr>
            <w:tcW w:type="dxa" w:w="992"/>
            <w:tcBorders>
              <w:top w:val="single" w:sz="4" w:space="0" w:color="000000"/>
              <w:bottom w:val="single" w:sz="4" w:space="0" w:color="000000"/>
              <w:left w:val="none" w:sz="4" w:space="0" w:color="000000"/>
              <w:right w:val="none" w:sz="4" w:space="0" w:color="000000"/>
            </w:tcBorders>
            <w:shd w:fill="E8EEF5"/>
          </w:tcPr>
          <w:p>
            <w:pPr>
              <w:jc w:val="center"/>
            </w:pPr>
            <w:r>
              <w:rPr>
                <w:rFonts w:ascii="Times New Roman" w:hAnsi="Times New Roman"/>
                <w:b/>
                <w:i w:val="0"/>
                <w:sz w:val="17"/>
              </w:rPr>
              <w:t>Lookback</w:t>
            </w:r>
          </w:p>
        </w:tc>
        <w:tc>
          <w:tcPr>
            <w:tcW w:type="dxa" w:w="992"/>
            <w:tcBorders>
              <w:top w:val="single" w:sz="4" w:space="0" w:color="000000"/>
              <w:bottom w:val="single" w:sz="4" w:space="0" w:color="000000"/>
              <w:left w:val="none" w:sz="4" w:space="0" w:color="000000"/>
              <w:right w:val="none" w:sz="4" w:space="0" w:color="000000"/>
            </w:tcBorders>
            <w:shd w:fill="E8EEF5"/>
          </w:tcPr>
          <w:p>
            <w:pPr>
              <w:jc w:val="center"/>
            </w:pPr>
            <w:r>
              <w:rPr>
                <w:rFonts w:ascii="Times New Roman" w:hAnsi="Times New Roman"/>
                <w:b/>
                <w:i w:val="0"/>
                <w:sz w:val="17"/>
              </w:rPr>
              <w:t>Units</w:t>
            </w:r>
          </w:p>
        </w:tc>
        <w:tc>
          <w:tcPr>
            <w:tcW w:type="dxa" w:w="992"/>
            <w:tcBorders>
              <w:top w:val="single" w:sz="4" w:space="0" w:color="000000"/>
              <w:bottom w:val="single" w:sz="4" w:space="0" w:color="000000"/>
              <w:left w:val="none" w:sz="4" w:space="0" w:color="000000"/>
              <w:right w:val="none" w:sz="4" w:space="0" w:color="000000"/>
            </w:tcBorders>
            <w:shd w:fill="E8EEF5"/>
          </w:tcPr>
          <w:p>
            <w:pPr>
              <w:jc w:val="center"/>
            </w:pPr>
            <w:r>
              <w:rPr>
                <w:rFonts w:ascii="Times New Roman" w:hAnsi="Times New Roman"/>
                <w:b/>
                <w:i w:val="0"/>
                <w:sz w:val="17"/>
              </w:rPr>
              <w:t>Dropout</w:t>
            </w:r>
          </w:p>
        </w:tc>
        <w:tc>
          <w:tcPr>
            <w:tcW w:type="dxa" w:w="992"/>
            <w:tcBorders>
              <w:top w:val="single" w:sz="4" w:space="0" w:color="000000"/>
              <w:bottom w:val="single" w:sz="4" w:space="0" w:color="000000"/>
              <w:left w:val="none" w:sz="4" w:space="0" w:color="000000"/>
              <w:right w:val="none" w:sz="4" w:space="0" w:color="000000"/>
            </w:tcBorders>
            <w:shd w:fill="E8EEF5"/>
          </w:tcPr>
          <w:p>
            <w:pPr>
              <w:jc w:val="center"/>
            </w:pPr>
            <w:r>
              <w:rPr>
                <w:rFonts w:ascii="Times New Roman" w:hAnsi="Times New Roman"/>
                <w:b/>
                <w:i w:val="0"/>
                <w:sz w:val="17"/>
              </w:rPr>
              <w:t>Learning Rate</w:t>
            </w:r>
          </w:p>
        </w:tc>
        <w:tc>
          <w:tcPr>
            <w:tcW w:type="dxa" w:w="992"/>
            <w:tcBorders>
              <w:top w:val="single" w:sz="4" w:space="0" w:color="000000"/>
              <w:bottom w:val="single" w:sz="4" w:space="0" w:color="000000"/>
              <w:left w:val="none" w:sz="4" w:space="0" w:color="000000"/>
              <w:right w:val="none" w:sz="4" w:space="0" w:color="000000"/>
            </w:tcBorders>
            <w:shd w:fill="E8EEF5"/>
          </w:tcPr>
          <w:p>
            <w:pPr>
              <w:jc w:val="center"/>
            </w:pPr>
            <w:r>
              <w:rPr>
                <w:rFonts w:ascii="Times New Roman" w:hAnsi="Times New Roman"/>
                <w:b/>
                <w:i w:val="0"/>
                <w:sz w:val="17"/>
              </w:rPr>
              <w:t>Batch</w:t>
            </w:r>
          </w:p>
        </w:tc>
        <w:tc>
          <w:tcPr>
            <w:tcW w:type="dxa" w:w="992"/>
            <w:tcBorders>
              <w:top w:val="single" w:sz="4" w:space="0" w:color="000000"/>
              <w:bottom w:val="single" w:sz="4" w:space="0" w:color="000000"/>
              <w:left w:val="none" w:sz="4" w:space="0" w:color="000000"/>
              <w:right w:val="none" w:sz="4" w:space="0" w:color="000000"/>
            </w:tcBorders>
            <w:shd w:fill="E8EEF5"/>
          </w:tcPr>
          <w:p>
            <w:pPr>
              <w:jc w:val="center"/>
            </w:pPr>
            <w:r>
              <w:rPr>
                <w:rFonts w:ascii="Times New Roman" w:hAnsi="Times New Roman"/>
                <w:b/>
                <w:i w:val="0"/>
                <w:sz w:val="17"/>
              </w:rPr>
              <w:t>Val Loss (MSE)</w:t>
            </w:r>
          </w:p>
        </w:tc>
        <w:tc>
          <w:tcPr>
            <w:tcW w:type="dxa" w:w="992"/>
            <w:tcBorders>
              <w:top w:val="single" w:sz="4" w:space="0" w:color="000000"/>
              <w:bottom w:val="single" w:sz="4" w:space="0" w:color="000000"/>
              <w:left w:val="none" w:sz="4" w:space="0" w:color="000000"/>
              <w:right w:val="none" w:sz="4" w:space="0" w:color="000000"/>
            </w:tcBorders>
            <w:shd w:fill="E8EEF5"/>
          </w:tcPr>
          <w:p>
            <w:pPr>
              <w:jc w:val="center"/>
            </w:pPr>
            <w:r>
              <w:rPr>
                <w:rFonts w:ascii="Times New Roman" w:hAnsi="Times New Roman"/>
                <w:b/>
                <w:i w:val="0"/>
                <w:sz w:val="17"/>
              </w:rPr>
              <w:t>Status</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0</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124</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0.35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0.0011</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0.001248</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COMPLETE</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21</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100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0.10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0.0019</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0.000882</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COMPLETE</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14</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82</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0.25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0.0007</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0.001604</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COMPLETE</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3</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17</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108</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0.15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0.0010</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64</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0.000265</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4</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8</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124</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0.40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0.0015</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64</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0.000250</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5</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9</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80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0.10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0.0018</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32</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0.000373</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6</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49</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0.40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0.0015</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0.002692</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7</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9</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51</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0.10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0.0008</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64</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0.000407</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8</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13</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84</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0.10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0.0015</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32</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0.000306</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9</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7</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111</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0.30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0.0014</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0.000365</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10</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64</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0.25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0.0011</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0.000221</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11</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19</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107</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0.30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0.0017</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0.001269</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COMPLETE</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12</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23</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120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0.35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0.0018</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0.000804</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COMPLETE</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13</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23</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90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0.40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0.0014</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0.000222</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14</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30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96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0.20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0.0016</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0.000892</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COMPLETE</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15</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22</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123</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0.35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0.0014</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0.000309</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19</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107</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0.30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0.0020</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0.000226</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17</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23</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92</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0.40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0.0009</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0.000457</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18</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19</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111</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0.10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0.0017</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0.000482</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19</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118</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0.10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0.0020</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0.000672</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20</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22</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126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0.10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0.0010</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0.000366</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21</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29</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108</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0.15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0.0014</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0.000835</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COMPLETE</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22</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19</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77</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0.15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0.0019</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0.000471</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23</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30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110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0.35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0.0012</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0.000226</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24</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120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0.20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0.0020</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0.001350</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25</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115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0.15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0.0013</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0.000946</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COMPLETE</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26</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23</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100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0.40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0.0019</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0.000439</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27</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21</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108</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0.35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0.0016</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0.001323</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28</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89</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0.10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0.0014</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0.001239</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29</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104</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0.15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0.0020</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0.000256</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30</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23</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127</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0.20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0.0016</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0.000439</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31</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88</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0.15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0.0017</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0.000447</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32</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27</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128</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0.40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0.0014</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0.001147</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33</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29</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118</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0.10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0.0014</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0.000436</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34</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28</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103</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0.20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0.0014</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0.000841</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COMPLETE</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35</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19</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114</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0.15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0.0014</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0.001020</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36</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22</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100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0.10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0.0020</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0.000771</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COMPLETE</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37</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22</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89</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0.20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0.0019</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0.001061</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38</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29</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118</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0.25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0.0018</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0.000151</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39</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19</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126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0.25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0.0017</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0.001013</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40</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29</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90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0.10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0.0014</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0.000991</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41</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21</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87</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0.15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0.0016</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0.001064</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42</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18</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101</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0.10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0.0015</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0.000517</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43</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23</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103</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0.15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0.0016</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0.000509</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shd w:fill="D4EDDA"/>
          </w:tcPr>
          <w:p>
            <w:pPr>
              <w:jc w:val="center"/>
            </w:pPr>
            <w:r>
              <w:rPr>
                <w:rFonts w:ascii="Times New Roman" w:hAnsi="Times New Roman"/>
                <w:b/>
                <w:i w:val="0"/>
                <w:sz w:val="16"/>
              </w:rPr>
              <w:t>44</w:t>
            </w:r>
          </w:p>
        </w:tc>
        <w:tc>
          <w:tcPr>
            <w:tcW w:type="dxa" w:w="992"/>
            <w:tcBorders>
              <w:top w:val="none" w:sz="4" w:space="0" w:color="000000"/>
              <w:bottom w:val="none" w:sz="4" w:space="0" w:color="000000"/>
              <w:left w:val="none" w:sz="4" w:space="0" w:color="000000"/>
              <w:right w:val="none" w:sz="4" w:space="0" w:color="000000"/>
            </w:tcBorders>
            <w:shd w:fill="D4EDDA"/>
          </w:tcPr>
          <w:p>
            <w:pPr>
              <w:jc w:val="center"/>
            </w:pPr>
            <w:r>
              <w:rPr>
                <w:rFonts w:ascii="Times New Roman" w:hAnsi="Times New Roman"/>
                <w:b/>
                <w:i w:val="0"/>
                <w:sz w:val="16"/>
              </w:rPr>
              <w:t>23</w:t>
            </w:r>
          </w:p>
        </w:tc>
        <w:tc>
          <w:tcPr>
            <w:tcW w:type="dxa" w:w="992"/>
            <w:tcBorders>
              <w:top w:val="none" w:sz="4" w:space="0" w:color="000000"/>
              <w:bottom w:val="none" w:sz="4" w:space="0" w:color="000000"/>
              <w:left w:val="none" w:sz="4" w:space="0" w:color="000000"/>
              <w:right w:val="none" w:sz="4" w:space="0" w:color="000000"/>
            </w:tcBorders>
            <w:shd w:fill="D4EDDA"/>
          </w:tcPr>
          <w:p>
            <w:pPr>
              <w:jc w:val="right"/>
            </w:pPr>
            <w:r>
              <w:rPr>
                <w:rFonts w:ascii="Times New Roman" w:hAnsi="Times New Roman"/>
                <w:b/>
                <w:i w:val="0"/>
                <w:sz w:val="16"/>
              </w:rPr>
              <w:t>90</w:t>
            </w:r>
          </w:p>
        </w:tc>
        <w:tc>
          <w:tcPr>
            <w:tcW w:type="dxa" w:w="992"/>
            <w:tcBorders>
              <w:top w:val="none" w:sz="4" w:space="0" w:color="000000"/>
              <w:bottom w:val="none" w:sz="4" w:space="0" w:color="000000"/>
              <w:left w:val="none" w:sz="4" w:space="0" w:color="000000"/>
              <w:right w:val="none" w:sz="4" w:space="0" w:color="000000"/>
            </w:tcBorders>
            <w:shd w:fill="D4EDDA"/>
          </w:tcPr>
          <w:p>
            <w:pPr>
              <w:jc w:val="right"/>
            </w:pPr>
            <w:r>
              <w:rPr>
                <w:rFonts w:ascii="Times New Roman" w:hAnsi="Times New Roman"/>
                <w:b/>
                <w:i w:val="0"/>
                <w:sz w:val="16"/>
              </w:rPr>
              <w:t>0.10</w:t>
            </w:r>
          </w:p>
        </w:tc>
        <w:tc>
          <w:tcPr>
            <w:tcW w:type="dxa" w:w="992"/>
            <w:tcBorders>
              <w:top w:val="none" w:sz="4" w:space="0" w:color="000000"/>
              <w:bottom w:val="none" w:sz="4" w:space="0" w:color="000000"/>
              <w:left w:val="none" w:sz="4" w:space="0" w:color="000000"/>
              <w:right w:val="none" w:sz="4" w:space="0" w:color="000000"/>
            </w:tcBorders>
            <w:shd w:fill="D4EDDA"/>
          </w:tcPr>
          <w:p>
            <w:pPr>
              <w:jc w:val="right"/>
            </w:pPr>
            <w:r>
              <w:rPr>
                <w:rFonts w:ascii="Times New Roman" w:hAnsi="Times New Roman"/>
                <w:b/>
                <w:i w:val="0"/>
                <w:sz w:val="16"/>
              </w:rPr>
              <w:t>0.0018</w:t>
            </w:r>
          </w:p>
        </w:tc>
        <w:tc>
          <w:tcPr>
            <w:tcW w:type="dxa" w:w="992"/>
            <w:tcBorders>
              <w:top w:val="none" w:sz="4" w:space="0" w:color="000000"/>
              <w:bottom w:val="none" w:sz="4" w:space="0" w:color="000000"/>
              <w:left w:val="none" w:sz="4" w:space="0" w:color="000000"/>
              <w:right w:val="none" w:sz="4" w:space="0" w:color="000000"/>
            </w:tcBorders>
            <w:shd w:fill="D4EDDA"/>
          </w:tcPr>
          <w:p>
            <w:pPr>
              <w:jc w:val="center"/>
            </w:pPr>
            <w:r>
              <w:rPr>
                <w:rFonts w:ascii="Times New Roman" w:hAnsi="Times New Roman"/>
                <w:b/>
                <w:i w:val="0"/>
                <w:sz w:val="16"/>
              </w:rPr>
              <w:t>32</w:t>
            </w:r>
          </w:p>
        </w:tc>
        <w:tc>
          <w:tcPr>
            <w:tcW w:type="dxa" w:w="992"/>
            <w:tcBorders>
              <w:top w:val="none" w:sz="4" w:space="0" w:color="000000"/>
              <w:bottom w:val="none" w:sz="4" w:space="0" w:color="000000"/>
              <w:left w:val="none" w:sz="4" w:space="0" w:color="000000"/>
              <w:right w:val="none" w:sz="4" w:space="0" w:color="000000"/>
            </w:tcBorders>
            <w:shd w:fill="D4EDDA"/>
          </w:tcPr>
          <w:p>
            <w:pPr>
              <w:jc w:val="right"/>
            </w:pPr>
            <w:r>
              <w:rPr>
                <w:rFonts w:ascii="Times New Roman" w:hAnsi="Times New Roman"/>
                <w:b/>
                <w:i w:val="0"/>
                <w:sz w:val="16"/>
              </w:rPr>
              <w:t>0.001073</w:t>
            </w:r>
          </w:p>
        </w:tc>
        <w:tc>
          <w:tcPr>
            <w:tcW w:type="dxa" w:w="992"/>
            <w:tcBorders>
              <w:top w:val="none" w:sz="4" w:space="0" w:color="000000"/>
              <w:bottom w:val="none" w:sz="4" w:space="0" w:color="000000"/>
              <w:left w:val="none" w:sz="4" w:space="0" w:color="000000"/>
              <w:right w:val="none" w:sz="4" w:space="0" w:color="000000"/>
            </w:tcBorders>
            <w:shd w:fill="D4EDDA"/>
          </w:tcPr>
          <w:p>
            <w:pPr>
              <w:jc w:val="center"/>
            </w:pPr>
            <w:r>
              <w:rPr>
                <w:rFonts w:ascii="Times New Roman" w:hAnsi="Times New Roman"/>
                <w:b/>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45</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104</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0.10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0.0018</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0.001178</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46</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29</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107</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0.15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0.0012</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0.000169</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47</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23</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119</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0.10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0.0014</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0.000449</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48</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123</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0.30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0.0014</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0.001061</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single" w:sz="4" w:space="0" w:color="000000"/>
              <w:left w:val="none" w:sz="4" w:space="0" w:color="000000"/>
              <w:right w:val="none" w:sz="4" w:space="0" w:color="000000"/>
            </w:tcBorders>
          </w:tcPr>
          <w:p>
            <w:pPr>
              <w:jc w:val="center"/>
            </w:pPr>
            <w:r>
              <w:rPr>
                <w:rFonts w:ascii="Times New Roman" w:hAnsi="Times New Roman"/>
                <w:b w:val="0"/>
                <w:i w:val="0"/>
                <w:sz w:val="16"/>
              </w:rPr>
              <w:t>49</w:t>
            </w:r>
          </w:p>
        </w:tc>
        <w:tc>
          <w:tcPr>
            <w:tcW w:type="dxa" w:w="992"/>
            <w:tcBorders>
              <w:top w:val="none" w:sz="4" w:space="0" w:color="000000"/>
              <w:bottom w:val="single" w:sz="4" w:space="0" w:color="000000"/>
              <w:left w:val="none" w:sz="4" w:space="0" w:color="000000"/>
              <w:right w:val="none" w:sz="4" w:space="0" w:color="000000"/>
            </w:tcBorders>
          </w:tcPr>
          <w:p>
            <w:pPr>
              <w:jc w:val="center"/>
            </w:pPr>
            <w:r>
              <w:rPr>
                <w:rFonts w:ascii="Times New Roman" w:hAnsi="Times New Roman"/>
                <w:b w:val="0"/>
                <w:i w:val="0"/>
                <w:sz w:val="16"/>
              </w:rPr>
              <w:t>22</w:t>
            </w:r>
          </w:p>
        </w:tc>
        <w:tc>
          <w:tcPr>
            <w:tcW w:type="dxa" w:w="992"/>
            <w:tcBorders>
              <w:top w:val="none" w:sz="4" w:space="0" w:color="000000"/>
              <w:bottom w:val="single" w:sz="4" w:space="0" w:color="000000"/>
              <w:left w:val="none" w:sz="4" w:space="0" w:color="000000"/>
              <w:right w:val="none" w:sz="4" w:space="0" w:color="000000"/>
            </w:tcBorders>
          </w:tcPr>
          <w:p>
            <w:pPr>
              <w:jc w:val="right"/>
            </w:pPr>
            <w:r>
              <w:rPr>
                <w:rFonts w:ascii="Times New Roman" w:hAnsi="Times New Roman"/>
                <w:b w:val="0"/>
                <w:i w:val="0"/>
                <w:sz w:val="16"/>
              </w:rPr>
              <w:t>95</w:t>
            </w:r>
          </w:p>
        </w:tc>
        <w:tc>
          <w:tcPr>
            <w:tcW w:type="dxa" w:w="992"/>
            <w:tcBorders>
              <w:top w:val="none" w:sz="4" w:space="0" w:color="000000"/>
              <w:bottom w:val="single" w:sz="4" w:space="0" w:color="000000"/>
              <w:left w:val="none" w:sz="4" w:space="0" w:color="000000"/>
              <w:right w:val="none" w:sz="4" w:space="0" w:color="000000"/>
            </w:tcBorders>
          </w:tcPr>
          <w:p>
            <w:pPr>
              <w:jc w:val="right"/>
            </w:pPr>
            <w:r>
              <w:rPr>
                <w:rFonts w:ascii="Times New Roman" w:hAnsi="Times New Roman"/>
                <w:b w:val="0"/>
                <w:i w:val="0"/>
                <w:sz w:val="16"/>
              </w:rPr>
              <w:t>0.10</w:t>
            </w:r>
          </w:p>
        </w:tc>
        <w:tc>
          <w:tcPr>
            <w:tcW w:type="dxa" w:w="992"/>
            <w:tcBorders>
              <w:top w:val="none" w:sz="4" w:space="0" w:color="000000"/>
              <w:bottom w:val="single" w:sz="4" w:space="0" w:color="000000"/>
              <w:left w:val="none" w:sz="4" w:space="0" w:color="000000"/>
              <w:right w:val="none" w:sz="4" w:space="0" w:color="000000"/>
            </w:tcBorders>
          </w:tcPr>
          <w:p>
            <w:pPr>
              <w:jc w:val="right"/>
            </w:pPr>
            <w:r>
              <w:rPr>
                <w:rFonts w:ascii="Times New Roman" w:hAnsi="Times New Roman"/>
                <w:b w:val="0"/>
                <w:i w:val="0"/>
                <w:sz w:val="16"/>
              </w:rPr>
              <w:t>0.0016</w:t>
            </w:r>
          </w:p>
        </w:tc>
        <w:tc>
          <w:tcPr>
            <w:tcW w:type="dxa" w:w="992"/>
            <w:tcBorders>
              <w:top w:val="none" w:sz="4" w:space="0" w:color="000000"/>
              <w:bottom w:val="singl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single" w:sz="4" w:space="0" w:color="000000"/>
              <w:left w:val="none" w:sz="4" w:space="0" w:color="000000"/>
              <w:right w:val="none" w:sz="4" w:space="0" w:color="000000"/>
            </w:tcBorders>
          </w:tcPr>
          <w:p>
            <w:pPr>
              <w:jc w:val="right"/>
            </w:pPr>
            <w:r>
              <w:rPr>
                <w:rFonts w:ascii="Times New Roman" w:hAnsi="Times New Roman"/>
                <w:b w:val="0"/>
                <w:i w:val="0"/>
                <w:sz w:val="16"/>
              </w:rPr>
              <w:t>0.000774</w:t>
            </w:r>
          </w:p>
        </w:tc>
        <w:tc>
          <w:tcPr>
            <w:tcW w:type="dxa" w:w="992"/>
            <w:tcBorders>
              <w:top w:val="none" w:sz="4" w:space="0" w:color="000000"/>
              <w:bottom w:val="single" w:sz="4" w:space="0" w:color="000000"/>
              <w:left w:val="none" w:sz="4" w:space="0" w:color="000000"/>
              <w:right w:val="none" w:sz="4" w:space="0" w:color="000000"/>
            </w:tcBorders>
          </w:tcPr>
          <w:p>
            <w:pPr>
              <w:jc w:val="center"/>
            </w:pPr>
            <w:r>
              <w:rPr>
                <w:rFonts w:ascii="Times New Roman" w:hAnsi="Times New Roman"/>
                <w:b w:val="0"/>
                <w:i w:val="0"/>
                <w:sz w:val="16"/>
              </w:rPr>
              <w:t>COMPLETE</w:t>
            </w:r>
          </w:p>
        </w:tc>
      </w:tr>
    </w:tbl>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