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C4E" w14:textId="697E95CB" w:rsidR="00637A97" w:rsidRPr="00062E93" w:rsidRDefault="00637A97" w:rsidP="00062E93">
      <w:pPr>
        <w:pStyle w:val="Heading1"/>
        <w:spacing w:line="360" w:lineRule="auto"/>
        <w:rPr>
          <w:rFonts w:eastAsia="Times New Roman" w:cs="Times New Roman"/>
          <w:lang w:eastAsia="en-ID"/>
        </w:rPr>
      </w:pPr>
      <w:r w:rsidRPr="00062E93">
        <w:rPr>
          <w:rFonts w:eastAsia="Times New Roman" w:cs="Times New Roman"/>
          <w:lang w:eastAsia="en-ID"/>
        </w:rPr>
        <w:t xml:space="preserve">BAB IV </w:t>
      </w:r>
      <w:r w:rsidRPr="00062E93">
        <w:rPr>
          <w:rFonts w:eastAsia="Times New Roman" w:cs="Times New Roman"/>
          <w:lang w:eastAsia="en-ID"/>
        </w:rPr>
        <w:br/>
        <w:t>HASIL PENELITIAN DAN PEMBAHASAN</w:t>
      </w:r>
    </w:p>
    <w:p w14:paraId="6BD3550C" w14:textId="77777777" w:rsidR="00637A97" w:rsidRPr="00062E93" w:rsidRDefault="00637A97" w:rsidP="00062E93">
      <w:pPr>
        <w:pStyle w:val="Heading2"/>
        <w:spacing w:line="360" w:lineRule="auto"/>
        <w:rPr>
          <w:rFonts w:eastAsia="Times New Roman" w:cs="Times New Roman"/>
          <w:lang w:eastAsia="en-ID"/>
        </w:rPr>
      </w:pPr>
      <w:r>
        <w:t xml:space="preserve">Deskripsi Data Penelitian</w:t>
      </w:r>
    </w:p>
    <w:p w14:paraId="2572AFF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memakai data historis Bitcoin dari dua bursa aset digital, yakni Binance dan Coinbase. Binance dijadikan dataset utama, sementara Coinbase berperan sebagai dataset robustness guna meninjau apakah pola hasil penelitian tetap tampak bilamana sumber data diganti.</w:t>
      </w:r>
    </w:p>
    <w:p w14:paraId="3BD53AEC"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Dataset Binance memuat 3.059 observasi harian; setelah pembentukan fitur dan penghapusan baris yang belum lengkap nilai fiturnya, tersisa 2.969 observasi. Sementara itu, dataset Coinbase bermula dari 3.818 observasi dan menyisakan 3.728 observasi seusai preprocessing. Kedua dataset memakai feature universe yang sama, yakni 30 fitur, dan memilih 10 fitur pada tiap temporal window.</w:t>
      </w:r>
    </w:p>
    <w:p w14:paraId="7E423F4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Target penelitian ialah log return satu periode ke depan, yang dirumuskan sebagai:</w:t>
      </w:r>
    </w:p>
    <w:p w14:paraId="4E838FCB" w14:textId="4E7B6E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box>
                </m:den>
              </m:f>
            </m:e>
          </m:box>
        </m:oMath>
      </m:oMathPara>
    </w:p>
    <w:p w14:paraId="28302D59" w14:textId="49A870A8" w:rsidR="00637A97" w:rsidRPr="00062E93" w:rsidRDefault="00637A97" w:rsidP="009134A1">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Lewat formulasi itu, informasi yang tersedia hingga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ascii="Times New Roman" w:eastAsia="Times New Roman" w:hAnsi="Times New Roman" w:cs="Times New Roman"/>
          <w:kern w:val="0"/>
          <w:lang w:eastAsia="en-ID"/>
          <w14:ligatures w14:val="none"/>
        </w:rPr>
        <w:t xml:space="preserve"> dipakai guna menjalankan proses seleksi fitur sekaligus prediksi, sedangkan </w:t>
      </w:r>
      <m:oMath>
        <m:r>
          <w:rPr>
            <w:rFonts w:ascii="Cambria Math" w:eastAsia="Times New Roman" w:hAnsi="Cambria Math" w:cs="Times New Roman"/>
            <w:kern w:val="0"/>
            <w:lang w:eastAsia="en-ID"/>
            <w14:ligatures w14:val="none"/>
          </w:rPr>
          <m:t xml:space="preserve">nilai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ascii="Times New Roman" w:eastAsia="Times New Roman" w:hAnsi="Times New Roman" w:cs="Times New Roman"/>
          <w:kern w:val="0"/>
          <w:lang w:eastAsia="en-ID"/>
          <w14:ligatures w14:val="none"/>
        </w:rPr>
        <w:t xml:space="preserve"> baru dipakai sebagai target evaluasi out-of-sample. Pendekatan ini diterapkan demi mempertahankan urutan temporal sekaligus menyingkirkan penggunaan informasi masa depan dalam pembentukan prediktor.</w:t>
      </w:r>
    </w:p>
    <w:p w14:paraId="5B487790" w14:textId="7E4E2C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Pendekatan berbasis temporal krusial pada data keuangan sebab keterkaitan antara variabel input dan target bisa bergeser mengikuti periode pengamatan. </w:t>
      </w:r>
      <w:sdt>
        <w:sdtPr>
          <w:rPr>
            <w:rFonts w:ascii="Times New Roman" w:eastAsia="Times New Roman" w:hAnsi="Times New Roman" w:cs="Times New Roman"/>
            <w:kern w:val="0"/>
            <w:lang w:eastAsia="en-ID"/>
            <w14:ligatures w14:val="none"/>
          </w:rPr>
          <w:tag w:val="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618702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w:t>
          </w:r>
          <w:proofErr w:type="spellEnd"/>
          <w:r w:rsidR="00DC77C4" w:rsidRPr="00DC77C4">
            <w:rPr>
              <w:rFonts w:ascii="Times New Roman" w:eastAsia="Times New Roman" w:hAnsi="Times New Roman" w:cs="Times New Roman"/>
              <w:color w:val="000000"/>
              <w:kern w:val="0"/>
              <w:lang w:eastAsia="en-ID"/>
              <w14:ligatures w14:val="none"/>
            </w:rPr>
            <w:t xml:space="preserve"> S (2023)</w:t>
          </w:r>
        </w:sdtContent>
      </w:sdt>
      <w:r>
        <w:rPr>
          <w:rFonts w:ascii="Times New Roman" w:eastAsia="Times New Roman" w:hAnsi="Times New Roman" w:cs="Times New Roman"/>
          <w:kern w:val="0"/>
          <w:lang w:eastAsia="en-ID"/>
          <w14:ligatures w14:val="none"/>
        </w:rPr>
        <w:t xml:space="preserve">, misalnya, memperlihatkan bahwa pola aliran informasi menuju return Bitcoin mampu berubah secara signifikan pada periode tertentu, sehingga ciri variabel yang relevan tak mesti dianggap konstan sepanjang waktu.</w:t>
      </w:r>
    </w:p>
    <w:p w14:paraId="061FAD0D" w14:textId="77777777" w:rsidR="00637A97" w:rsidRPr="00062E93" w:rsidRDefault="00637A97" w:rsidP="00062E93">
      <w:pPr>
        <w:spacing w:before="100" w:beforeAutospacing="1" w:after="100" w:afterAutospacing="1"/>
        <w:jc w:val="center"/>
        <w:outlineLvl w:val="2"/>
        <w:rPr>
          <w:rFonts w:ascii="Times New Roman" w:eastAsia="Times New Roman" w:hAnsi="Times New Roman" w:cs="Times New Roman"/>
          <w:b/>
          <w:bCs/>
          <w:kern w:val="0"/>
          <w:sz w:val="27"/>
          <w:szCs w:val="27"/>
          <w:lang w:eastAsia="en-ID"/>
          <w14:ligatures w14:val="none"/>
        </w:rPr>
      </w:pPr>
      <w:r w:rsidRPr="00062E93">
        <w:rPr>
          <w:rFonts w:ascii="Times New Roman" w:eastAsia="Times New Roman" w:hAnsi="Times New Roman" w:cs="Times New Roman"/>
          <w:b/>
          <w:bCs/>
          <w:kern w:val="0"/>
          <w:sz w:val="27"/>
          <w:szCs w:val="27"/>
          <w:lang w:eastAsia="en-ID"/>
          <w14:ligatures w14:val="none"/>
        </w:rPr>
        <w:t xml:space="preserve">Tabel 4.1 </w:t>
      </w:r>
      <w:proofErr w:type="spellStart"/>
      <w:r w:rsidRPr="00062E93">
        <w:rPr>
          <w:rFonts w:ascii="Times New Roman" w:eastAsia="Times New Roman" w:hAnsi="Times New Roman" w:cs="Times New Roman"/>
          <w:b/>
          <w:bCs/>
          <w:kern w:val="0"/>
          <w:sz w:val="27"/>
          <w:szCs w:val="27"/>
          <w:lang w:eastAsia="en-ID"/>
          <w14:ligatures w14:val="none"/>
        </w:rPr>
        <w:t>Karakteristik</w:t>
      </w:r>
      <w:proofErr w:type="spellEnd"/>
      <w:r w:rsidRPr="00062E93">
        <w:rPr>
          <w:rFonts w:ascii="Times New Roman" w:eastAsia="Times New Roman" w:hAnsi="Times New Roman" w:cs="Times New Roman"/>
          <w:b/>
          <w:bCs/>
          <w:kern w:val="0"/>
          <w:sz w:val="27"/>
          <w:szCs w:val="27"/>
          <w:lang w:eastAsia="en-ID"/>
          <w14:ligatures w14:val="none"/>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134"/>
        <w:gridCol w:w="1022"/>
      </w:tblGrid>
      <w:tr w:rsidR="00637A97" w:rsidRPr="00062E93" w14:paraId="1647D7BA" w14:textId="77777777" w:rsidTr="009134A1">
        <w:trPr>
          <w:tblHeader/>
          <w:tblCellSpacing w:w="15" w:type="dxa"/>
        </w:trPr>
        <w:tc>
          <w:tcPr>
            <w:tcW w:w="3357" w:type="dxa"/>
            <w:vAlign w:val="center"/>
            <w:hideMark/>
          </w:tcPr>
          <w:p w14:paraId="083E881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lastRenderedPageBreak/>
              <w:t>Karakteristik</w:t>
            </w:r>
            <w:proofErr w:type="spellEnd"/>
          </w:p>
        </w:tc>
        <w:tc>
          <w:tcPr>
            <w:tcW w:w="1104" w:type="dxa"/>
            <w:vAlign w:val="center"/>
            <w:hideMark/>
          </w:tcPr>
          <w:p w14:paraId="61F8A9C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1B974BE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791ABB70" w14:textId="77777777" w:rsidTr="009134A1">
        <w:trPr>
          <w:tblCellSpacing w:w="15" w:type="dxa"/>
        </w:trPr>
        <w:tc>
          <w:tcPr>
            <w:tcW w:w="3357" w:type="dxa"/>
            <w:vAlign w:val="center"/>
            <w:hideMark/>
          </w:tcPr>
          <w:p w14:paraId="5D2BC9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p>
        </w:tc>
        <w:tc>
          <w:tcPr>
            <w:tcW w:w="1104" w:type="dxa"/>
            <w:vAlign w:val="center"/>
            <w:hideMark/>
          </w:tcPr>
          <w:p w14:paraId="73D4451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3.059</w:t>
            </w:r>
          </w:p>
        </w:tc>
        <w:tc>
          <w:tcPr>
            <w:tcW w:w="0" w:type="auto"/>
            <w:vAlign w:val="center"/>
            <w:hideMark/>
          </w:tcPr>
          <w:p w14:paraId="316B36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3.818</w:t>
            </w:r>
          </w:p>
        </w:tc>
      </w:tr>
      <w:tr w:rsidR="00637A97" w:rsidRPr="00062E93" w14:paraId="37022F42" w14:textId="77777777" w:rsidTr="009134A1">
        <w:trPr>
          <w:tblCellSpacing w:w="15" w:type="dxa"/>
        </w:trPr>
        <w:tc>
          <w:tcPr>
            <w:tcW w:w="3357" w:type="dxa"/>
            <w:vAlign w:val="center"/>
            <w:hideMark/>
          </w:tcPr>
          <w:p w14:paraId="11959D7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w:t>
            </w:r>
          </w:p>
        </w:tc>
        <w:tc>
          <w:tcPr>
            <w:tcW w:w="1104" w:type="dxa"/>
            <w:vAlign w:val="center"/>
            <w:hideMark/>
          </w:tcPr>
          <w:p w14:paraId="33C5C54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2.969</w:t>
            </w:r>
          </w:p>
        </w:tc>
        <w:tc>
          <w:tcPr>
            <w:tcW w:w="0" w:type="auto"/>
            <w:vAlign w:val="center"/>
            <w:hideMark/>
          </w:tcPr>
          <w:p w14:paraId="452EFF3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3.728</w:t>
            </w:r>
          </w:p>
        </w:tc>
      </w:tr>
      <w:tr w:rsidR="00637A97" w:rsidRPr="00062E93" w14:paraId="6A83AD8F" w14:textId="77777777" w:rsidTr="009134A1">
        <w:trPr>
          <w:tblCellSpacing w:w="15" w:type="dxa"/>
        </w:trPr>
        <w:tc>
          <w:tcPr>
            <w:tcW w:w="3357" w:type="dxa"/>
            <w:vAlign w:val="center"/>
            <w:hideMark/>
          </w:tcPr>
          <w:p w14:paraId="69DBD2F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feature universe</w:t>
            </w:r>
          </w:p>
        </w:tc>
        <w:tc>
          <w:tcPr>
            <w:tcW w:w="1104" w:type="dxa"/>
            <w:vAlign w:val="center"/>
            <w:hideMark/>
          </w:tcPr>
          <w:p w14:paraId="313A0F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c>
          <w:tcPr>
            <w:tcW w:w="0" w:type="auto"/>
            <w:vAlign w:val="center"/>
            <w:hideMark/>
          </w:tcPr>
          <w:p w14:paraId="1B7ECCC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40AF6478" w14:textId="77777777" w:rsidTr="009134A1">
        <w:trPr>
          <w:tblCellSpacing w:w="15" w:type="dxa"/>
        </w:trPr>
        <w:tc>
          <w:tcPr>
            <w:tcW w:w="3357" w:type="dxa"/>
            <w:vAlign w:val="center"/>
            <w:hideMark/>
          </w:tcPr>
          <w:p w14:paraId="58A646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Fitur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per window</w:t>
            </w:r>
          </w:p>
        </w:tc>
        <w:tc>
          <w:tcPr>
            <w:tcW w:w="1104" w:type="dxa"/>
            <w:vAlign w:val="center"/>
            <w:hideMark/>
          </w:tcPr>
          <w:p w14:paraId="7DD956C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c>
          <w:tcPr>
            <w:tcW w:w="0" w:type="auto"/>
            <w:vAlign w:val="center"/>
            <w:hideMark/>
          </w:tcPr>
          <w:p w14:paraId="15E301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r>
      <w:tr w:rsidR="00637A97" w:rsidRPr="00062E93" w14:paraId="695F997F" w14:textId="77777777" w:rsidTr="009134A1">
        <w:trPr>
          <w:tblCellSpacing w:w="15" w:type="dxa"/>
        </w:trPr>
        <w:tc>
          <w:tcPr>
            <w:tcW w:w="3357" w:type="dxa"/>
            <w:vAlign w:val="center"/>
            <w:hideMark/>
          </w:tcPr>
          <w:p w14:paraId="23AE37B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temporal window</w:t>
            </w:r>
          </w:p>
        </w:tc>
        <w:tc>
          <w:tcPr>
            <w:tcW w:w="1104" w:type="dxa"/>
            <w:vAlign w:val="center"/>
            <w:hideMark/>
          </w:tcPr>
          <w:p w14:paraId="6D9D604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w:t>
            </w:r>
          </w:p>
        </w:tc>
        <w:tc>
          <w:tcPr>
            <w:tcW w:w="0" w:type="auto"/>
            <w:vAlign w:val="center"/>
            <w:hideMark/>
          </w:tcPr>
          <w:p w14:paraId="498409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31</w:t>
            </w:r>
          </w:p>
        </w:tc>
      </w:tr>
      <w:tr w:rsidR="00637A97" w:rsidRPr="00062E93" w14:paraId="0534D8D4" w14:textId="77777777" w:rsidTr="009134A1">
        <w:trPr>
          <w:tblCellSpacing w:w="15" w:type="dxa"/>
        </w:trPr>
        <w:tc>
          <w:tcPr>
            <w:tcW w:w="3357" w:type="dxa"/>
            <w:vAlign w:val="center"/>
            <w:hideMark/>
          </w:tcPr>
          <w:p w14:paraId="13907AC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stability-error</w:t>
            </w:r>
          </w:p>
        </w:tc>
        <w:tc>
          <w:tcPr>
            <w:tcW w:w="1104" w:type="dxa"/>
            <w:vAlign w:val="center"/>
            <w:hideMark/>
          </w:tcPr>
          <w:p w14:paraId="28C3BFE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8A5A1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bl>
    <w:p w14:paraId="70E4786D" w14:textId="77777777" w:rsidR="00637A97" w:rsidRPr="00062E93" w:rsidRDefault="00637A97" w:rsidP="00062E93">
      <w:pPr>
        <w:pStyle w:val="Heading2"/>
        <w:rPr>
          <w:rFonts w:eastAsia="Times New Roman"/>
          <w:lang w:eastAsia="en-ID"/>
        </w:rPr>
      </w:pPr>
      <w:r>
        <w:t xml:space="preserve">Pembentukan Feature Set dan Feature Selection</w:t>
      </w:r>
    </w:p>
    <w:p w14:paraId="07ECD93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universe penelitian mencakup 30 fitur yang diturunkan dari data OHLCV serta fitur berbasis return, momentum, trend, volatility, dan volume. Pada tiap temporal window, XGBoost dipakai guna memperoleh feature importance berbasis Gain, lalu 10 fitur dengan importance tertinggi dipilih sebagai feature subset window tersebut.</w:t>
      </w:r>
    </w:p>
    <w:p w14:paraId="245526B6" w14:textId="7DC26F5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Pemilihan XGBoost bertumpu pada karakteristik algoritma tree boosting yang sanggup memodelkan hubungan nonlinier sekaligus menyediakan ukuran kontribusi fitur yang dapat dipakai untuk proses feature selection. XGBoost diperkenalkan oleh </w:t>
      </w:r>
      <w:sdt>
        <w:sdtPr>
          <w:rPr>
            <w:rFonts w:ascii="Times New Roman" w:eastAsia="Times New Roman" w:hAnsi="Times New Roman"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selaku sistem tree boosting yang efisien dan scalable bagi beragam permasalahan machine learning.</w:t>
      </w:r>
    </w:p>
    <w:p w14:paraId="71BADBE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penelitian ini, XGBoost berperan bukan sekadar sebagai model forecasting, melainkan pula selaku metode feature selection. Karena itu, feature importance yang ditelaah ialah kepentingan fitur menurut model XGBoost pada tiap temporal window, bukan ukuran kepentingan yang berlaku universal.</w:t>
      </w:r>
    </w:p>
    <w:p w14:paraId="2892E0D8" w14:textId="6982B26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Konsep stabilitas feature selection berkaitan dengan seberapa konsisten subset fitur yang dihasilkan tatkala kondisi data berubah. </w:t>
      </w:r>
      <w:sdt>
        <w:sdtPr>
          <w:rPr>
            <w:rFonts w:ascii="Times New Roman" w:eastAsia="Times New Roman" w:hAnsi="Times New Roman"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feature selection disebut tidak stabil apabila perubahan kecil pada data mampu menghasilkan perubahan besar pada subset fitur terpilih.</w:t>
      </w:r>
    </w:p>
    <w:p w14:paraId="1AD5A864" w14:textId="15D2E7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penelitian ini, perubahan yang teramati bukan terutama akibat resampling acak, melainkan akibat pergeseran temporal window. Oleh sebab itu, istilah stability pada pembahasan berikutnya merujuk pada temporal feature-subset stability, yakni konsistensi subset fitur XGBoost antar-window berurutan.</w:t>
      </w:r>
    </w:p>
    <w:p w14:paraId="11A9D0AF" w14:textId="77777777" w:rsidR="00637A97" w:rsidRPr="00062E93" w:rsidRDefault="00637A97" w:rsidP="00062E93">
      <w:pPr>
        <w:pStyle w:val="Heading2"/>
        <w:rPr>
          <w:rFonts w:eastAsia="Times New Roman"/>
          <w:lang w:eastAsia="en-ID"/>
        </w:rPr>
      </w:pPr>
      <w:r w:rsidRPr="00062E93">
        <w:rPr>
          <w:rFonts w:eastAsia="Times New Roman"/>
          <w:lang w:eastAsia="en-ID"/>
        </w:rPr>
        <w:lastRenderedPageBreak/>
        <w:t>Hasil Feature Selection</w:t>
      </w:r>
    </w:p>
    <w:p w14:paraId="3AB78092" w14:textId="77777777" w:rsidR="00637A97" w:rsidRPr="00062E93" w:rsidRDefault="00637A97" w:rsidP="00062E93">
      <w:pPr>
        <w:pStyle w:val="Heading3"/>
        <w:rPr>
          <w:rFonts w:eastAsia="Times New Roman"/>
          <w:lang w:eastAsia="en-ID"/>
        </w:rPr>
      </w:pPr>
      <w:r>
        <w:t xml:space="preserve">Frekuensi Pemilihan Fitur pada Dataset Binance</w:t>
      </w:r>
    </w:p>
    <w:p w14:paraId="2CCC4751" w14:textId="19482FF9"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seleksi memperlihatkan sejumlah fitur lebih kerap menembus Top-10 ketimbang fitur lainnya. Frekuensi tertinggi dipegang bb_percent_b_20, yang masuk pada 13 dari 22 window atau 59,09%. Berikutnya ialah stochastic_d_3 dengan frekuensi 11 dari 22 window atau 50,00%. Sejumlah fitur lain, yakni bb_width_20, ema_30, obv, return_3d, rolling_std_14, dan stochastic_k_14, masing-masing terpilih pada 10 dari 22 window. feature-selection-frequency-sum.</w:t>
      </w:r>
    </w:p>
    <w:p w14:paraId="33D8C5F1" w14:textId="77777777" w:rsidR="00637A97" w:rsidRPr="00062E93" w:rsidRDefault="00637A97" w:rsidP="00062E93">
      <w:pPr>
        <w:pStyle w:val="Normal"/>
        <w:jc w:val="center"/>
        <w:rPr>
          <w:rFonts w:eastAsia="Times New Roman"/>
          <w:lang w:eastAsia="en-ID"/>
        </w:rPr>
      </w:pPr>
      <w:r w:rsidRPr="00062E93">
        <w:rPr>
          <w:rFonts w:eastAsia="Times New Roman"/>
          <w:lang w:eastAsia="en-ID"/>
        </w:rPr>
        <w:t xml:space="preserve">Tabel 4.2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Binance</w:t>
      </w:r>
    </w:p>
    <w:tbl>
      <w:tblPr>
        <w:tblW w:w="5152" w:type="dxa"/>
        <w:tblCellSpacing w:w="15" w:type="dxa"/>
        <w:tblCellMar>
          <w:top w:w="15" w:type="dxa"/>
          <w:left w:w="15" w:type="dxa"/>
          <w:bottom w:w="15" w:type="dxa"/>
          <w:right w:w="15" w:type="dxa"/>
        </w:tblCellMar>
        <w:tblLook w:val="04A0" w:firstRow="1" w:lastRow="0" w:firstColumn="1" w:lastColumn="0" w:noHBand="0" w:noVBand="1"/>
      </w:tblPr>
      <w:tblGrid>
        <w:gridCol w:w="2145"/>
        <w:gridCol w:w="1594"/>
        <w:gridCol w:w="1413"/>
      </w:tblGrid>
      <w:tr w:rsidR="00637A97" w:rsidRPr="00062E93" w14:paraId="69E915D9" w14:textId="77777777" w:rsidTr="00062E93">
        <w:trPr>
          <w:trHeight w:val="437"/>
          <w:tblHeader/>
          <w:tblCellSpacing w:w="15" w:type="dxa"/>
        </w:trPr>
        <w:tc>
          <w:tcPr>
            <w:tcW w:w="0" w:type="auto"/>
            <w:vAlign w:val="center"/>
            <w:hideMark/>
          </w:tcPr>
          <w:p w14:paraId="1E2E8E6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7B192BA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0FAC8EA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615F1AD3" w14:textId="77777777" w:rsidTr="00062E93">
        <w:trPr>
          <w:trHeight w:val="450"/>
          <w:tblCellSpacing w:w="15" w:type="dxa"/>
        </w:trPr>
        <w:tc>
          <w:tcPr>
            <w:tcW w:w="0" w:type="auto"/>
            <w:vAlign w:val="center"/>
            <w:hideMark/>
          </w:tcPr>
          <w:p w14:paraId="2DF811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20CCFB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13/22</w:t>
            </w:r>
          </w:p>
        </w:tc>
        <w:tc>
          <w:tcPr>
            <w:tcW w:w="0" w:type="auto"/>
            <w:vAlign w:val="center"/>
            <w:hideMark/>
          </w:tcPr>
          <w:p w14:paraId="72EBF6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59,09%</w:t>
            </w:r>
          </w:p>
        </w:tc>
      </w:tr>
      <w:tr w:rsidR="00637A97" w:rsidRPr="00062E93" w14:paraId="363C5530" w14:textId="77777777" w:rsidTr="00062E93">
        <w:trPr>
          <w:trHeight w:val="450"/>
          <w:tblCellSpacing w:w="15" w:type="dxa"/>
        </w:trPr>
        <w:tc>
          <w:tcPr>
            <w:tcW w:w="0" w:type="auto"/>
            <w:vAlign w:val="center"/>
            <w:hideMark/>
          </w:tcPr>
          <w:p w14:paraId="1894FE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stochastic_d_3</w:t>
            </w:r>
          </w:p>
        </w:tc>
        <w:tc>
          <w:tcPr>
            <w:tcW w:w="0" w:type="auto"/>
            <w:vAlign w:val="center"/>
            <w:hideMark/>
          </w:tcPr>
          <w:p w14:paraId="26E5D39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11/22</w:t>
            </w:r>
          </w:p>
        </w:tc>
        <w:tc>
          <w:tcPr>
            <w:tcW w:w="0" w:type="auto"/>
            <w:vAlign w:val="center"/>
            <w:hideMark/>
          </w:tcPr>
          <w:p w14:paraId="59F20F2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50,00%</w:t>
            </w:r>
          </w:p>
        </w:tc>
      </w:tr>
      <w:tr w:rsidR="00637A97" w:rsidRPr="00062E93" w14:paraId="118F45AC" w14:textId="77777777" w:rsidTr="00062E93">
        <w:trPr>
          <w:trHeight w:val="450"/>
          <w:tblCellSpacing w:w="15" w:type="dxa"/>
        </w:trPr>
        <w:tc>
          <w:tcPr>
            <w:tcW w:w="0" w:type="auto"/>
            <w:vAlign w:val="center"/>
            <w:hideMark/>
          </w:tcPr>
          <w:p w14:paraId="439CDC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bb_width_20</w:t>
            </w:r>
          </w:p>
        </w:tc>
        <w:tc>
          <w:tcPr>
            <w:tcW w:w="0" w:type="auto"/>
            <w:vAlign w:val="center"/>
            <w:hideMark/>
          </w:tcPr>
          <w:p w14:paraId="73BA0D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396F7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CBFC20F" w14:textId="77777777" w:rsidTr="00062E93">
        <w:trPr>
          <w:trHeight w:val="437"/>
          <w:tblCellSpacing w:w="15" w:type="dxa"/>
        </w:trPr>
        <w:tc>
          <w:tcPr>
            <w:tcW w:w="0" w:type="auto"/>
            <w:vAlign w:val="center"/>
            <w:hideMark/>
          </w:tcPr>
          <w:p w14:paraId="40709C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ema_30</w:t>
            </w:r>
          </w:p>
        </w:tc>
        <w:tc>
          <w:tcPr>
            <w:tcW w:w="0" w:type="auto"/>
            <w:vAlign w:val="center"/>
            <w:hideMark/>
          </w:tcPr>
          <w:p w14:paraId="3B3352A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3AF67A5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26713A84" w14:textId="77777777" w:rsidTr="00062E93">
        <w:trPr>
          <w:trHeight w:val="450"/>
          <w:tblCellSpacing w:w="15" w:type="dxa"/>
        </w:trPr>
        <w:tc>
          <w:tcPr>
            <w:tcW w:w="0" w:type="auto"/>
            <w:vAlign w:val="center"/>
            <w:hideMark/>
          </w:tcPr>
          <w:p w14:paraId="03846F4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AACADC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1D92DE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03D03078" w14:textId="77777777" w:rsidTr="00062E93">
        <w:trPr>
          <w:trHeight w:val="450"/>
          <w:tblCellSpacing w:w="15" w:type="dxa"/>
        </w:trPr>
        <w:tc>
          <w:tcPr>
            <w:tcW w:w="0" w:type="auto"/>
            <w:vAlign w:val="center"/>
            <w:hideMark/>
          </w:tcPr>
          <w:p w14:paraId="60DEAB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596AF28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76E6802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7BD041A4" w14:textId="77777777" w:rsidTr="00062E93">
        <w:trPr>
          <w:trHeight w:val="450"/>
          <w:tblCellSpacing w:w="15" w:type="dxa"/>
        </w:trPr>
        <w:tc>
          <w:tcPr>
            <w:tcW w:w="0" w:type="auto"/>
            <w:vAlign w:val="center"/>
            <w:hideMark/>
          </w:tcPr>
          <w:p w14:paraId="64E0114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rolling_std_14</w:t>
            </w:r>
          </w:p>
        </w:tc>
        <w:tc>
          <w:tcPr>
            <w:tcW w:w="0" w:type="auto"/>
            <w:vAlign w:val="center"/>
            <w:hideMark/>
          </w:tcPr>
          <w:p w14:paraId="0303DF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68F20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2B8DFF0" w14:textId="77777777" w:rsidTr="00062E93">
        <w:trPr>
          <w:trHeight w:val="437"/>
          <w:tblCellSpacing w:w="15" w:type="dxa"/>
        </w:trPr>
        <w:tc>
          <w:tcPr>
            <w:tcW w:w="0" w:type="auto"/>
            <w:vAlign w:val="center"/>
            <w:hideMark/>
          </w:tcPr>
          <w:p w14:paraId="7F73357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stochastic_k_14</w:t>
            </w:r>
          </w:p>
        </w:tc>
        <w:tc>
          <w:tcPr>
            <w:tcW w:w="0" w:type="auto"/>
            <w:vAlign w:val="center"/>
            <w:hideMark/>
          </w:tcPr>
          <w:p w14:paraId="01D852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62DB50D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bl>
    <w:p w14:paraId="47EDEC81"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meskipun subset fitur bergeser antar-window, ada fitur tertentu yang berulang kali dipilih XGBoost. Akan tetapi, frekuensi pemilihan tak bisa langsung dimaknai sebagai bukti bahwa fitur tersebut adalah faktor penyebab maupun predictor universal bagi return Bitcoin. Interpretasi yang dipakai penelitian ini sebatas menunjukkan bahwa fitur tersebut lebih sering terpilih dalam window eksperimen.</w:t>
      </w:r>
    </w:p>
    <w:p w14:paraId="0D96EF20" w14:textId="77777777" w:rsidR="00637A97" w:rsidRPr="00062E93" w:rsidRDefault="00637A97" w:rsidP="00062E93">
      <w:pPr>
        <w:pStyle w:val="Heading3"/>
        <w:spacing w:before="100" w:beforeAutospacing="1" w:after="100" w:afterAutospacing="1"/>
        <w:jc w:val="both"/>
        <w:outlineLvl w:val="2"/>
        <w:rPr>
          <w:rFonts w:ascii="Times New Roman" w:eastAsia="Times New Roman" w:hAnsi="Times New Roman" w:cs="Times New Roman"/>
          <w:b/>
          <w:bCs/>
          <w:kern w:val="0"/>
          <w:sz w:val="27"/>
          <w:szCs w:val="27"/>
          <w:lang w:eastAsia="en-ID"/>
          <w14:ligatures w14:val="none"/>
        </w:rPr>
      </w:pPr>
      <w:r>
        <w:t xml:space="preserve">Frekuensi Pemilihan Fitur pada Dataset Coinbase</w:t>
      </w:r>
    </w:p>
    <w:p w14:paraId="7260656E" w14:textId="3CE57C0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Coinbase, bb_percent_b_20 kembali menempati frekuensi pemilihan tertinggi, yakni 23 dari 31 window atau 74,19%. Sesudahnya ema_14 terpilih pada 19 dari 31 window atau 61,29%, sementara rsi_14 terpilih pada 18 dari 31 window atau 58,06%. Fitur obv, return_14d, return_3d, dan sma_30 masing-masing terpilih pada 16 dari 31 window atau 51,61%.</w:t>
      </w:r>
    </w:p>
    <w:p w14:paraId="77201FBF" w14:textId="77777777" w:rsidR="00637A97" w:rsidRPr="00062E93" w:rsidRDefault="00637A97" w:rsidP="00062E93">
      <w:pPr>
        <w:pStyle w:val="Normal"/>
        <w:jc w:val="center"/>
        <w:rPr>
          <w:rFonts w:eastAsia="Times New Roman"/>
          <w:lang w:eastAsia="en-ID"/>
        </w:rPr>
      </w:pPr>
      <w:r w:rsidRPr="00062E93">
        <w:rPr>
          <w:rFonts w:eastAsia="Times New Roman"/>
          <w:lang w:eastAsia="en-ID"/>
        </w:rPr>
        <w:lastRenderedPageBreak/>
        <w:t xml:space="preserve">Tabel 4.3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Coinbase</w:t>
      </w:r>
    </w:p>
    <w:tbl>
      <w:tblPr>
        <w:tblW w:w="5266" w:type="dxa"/>
        <w:tblCellSpacing w:w="15" w:type="dxa"/>
        <w:tblCellMar>
          <w:top w:w="15" w:type="dxa"/>
          <w:left w:w="15" w:type="dxa"/>
          <w:bottom w:w="15" w:type="dxa"/>
          <w:right w:w="15" w:type="dxa"/>
        </w:tblCellMar>
        <w:tblLook w:val="04A0" w:firstRow="1" w:lastRow="0" w:firstColumn="1" w:lastColumn="0" w:noHBand="0" w:noVBand="1"/>
      </w:tblPr>
      <w:tblGrid>
        <w:gridCol w:w="2192"/>
        <w:gridCol w:w="1630"/>
        <w:gridCol w:w="1444"/>
      </w:tblGrid>
      <w:tr w:rsidR="00637A97" w:rsidRPr="00062E93" w14:paraId="49D4E6D4" w14:textId="77777777" w:rsidTr="00062E93">
        <w:trPr>
          <w:trHeight w:val="467"/>
          <w:tblHeader/>
          <w:tblCellSpacing w:w="15" w:type="dxa"/>
        </w:trPr>
        <w:tc>
          <w:tcPr>
            <w:tcW w:w="0" w:type="auto"/>
            <w:vAlign w:val="center"/>
            <w:hideMark/>
          </w:tcPr>
          <w:p w14:paraId="266EED1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0889FA8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305BB8F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3B1CAE2F" w14:textId="77777777" w:rsidTr="00062E93">
        <w:trPr>
          <w:trHeight w:val="482"/>
          <w:tblCellSpacing w:w="15" w:type="dxa"/>
        </w:trPr>
        <w:tc>
          <w:tcPr>
            <w:tcW w:w="0" w:type="auto"/>
            <w:vAlign w:val="center"/>
            <w:hideMark/>
          </w:tcPr>
          <w:p w14:paraId="07A824D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589A0D1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23/31</w:t>
            </w:r>
          </w:p>
        </w:tc>
        <w:tc>
          <w:tcPr>
            <w:tcW w:w="0" w:type="auto"/>
            <w:vAlign w:val="center"/>
            <w:hideMark/>
          </w:tcPr>
          <w:p w14:paraId="28F4318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74,19%</w:t>
            </w:r>
          </w:p>
        </w:tc>
      </w:tr>
      <w:tr w:rsidR="00637A97" w:rsidRPr="00062E93" w14:paraId="0186299A" w14:textId="77777777" w:rsidTr="00062E93">
        <w:trPr>
          <w:trHeight w:val="482"/>
          <w:tblCellSpacing w:w="15" w:type="dxa"/>
        </w:trPr>
        <w:tc>
          <w:tcPr>
            <w:tcW w:w="0" w:type="auto"/>
            <w:vAlign w:val="center"/>
            <w:hideMark/>
          </w:tcPr>
          <w:p w14:paraId="5653060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ema_14</w:t>
            </w:r>
          </w:p>
        </w:tc>
        <w:tc>
          <w:tcPr>
            <w:tcW w:w="0" w:type="auto"/>
            <w:vAlign w:val="center"/>
            <w:hideMark/>
          </w:tcPr>
          <w:p w14:paraId="4A1A58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19/31</w:t>
            </w:r>
          </w:p>
        </w:tc>
        <w:tc>
          <w:tcPr>
            <w:tcW w:w="0" w:type="auto"/>
            <w:vAlign w:val="center"/>
            <w:hideMark/>
          </w:tcPr>
          <w:p w14:paraId="6FCC09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61,29%</w:t>
            </w:r>
          </w:p>
        </w:tc>
      </w:tr>
      <w:tr w:rsidR="00637A97" w:rsidRPr="00062E93" w14:paraId="39FFAF68" w14:textId="77777777" w:rsidTr="00062E93">
        <w:trPr>
          <w:trHeight w:val="482"/>
          <w:tblCellSpacing w:w="15" w:type="dxa"/>
        </w:trPr>
        <w:tc>
          <w:tcPr>
            <w:tcW w:w="0" w:type="auto"/>
            <w:vAlign w:val="center"/>
            <w:hideMark/>
          </w:tcPr>
          <w:p w14:paraId="12F6B5D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rsi_14</w:t>
            </w:r>
          </w:p>
        </w:tc>
        <w:tc>
          <w:tcPr>
            <w:tcW w:w="0" w:type="auto"/>
            <w:vAlign w:val="center"/>
            <w:hideMark/>
          </w:tcPr>
          <w:p w14:paraId="1DABAC9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18/31</w:t>
            </w:r>
          </w:p>
        </w:tc>
        <w:tc>
          <w:tcPr>
            <w:tcW w:w="0" w:type="auto"/>
            <w:vAlign w:val="center"/>
            <w:hideMark/>
          </w:tcPr>
          <w:p w14:paraId="5E09D3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58,06%</w:t>
            </w:r>
          </w:p>
        </w:tc>
      </w:tr>
      <w:tr w:rsidR="00637A97" w:rsidRPr="00062E93" w14:paraId="22C3B89E" w14:textId="77777777" w:rsidTr="00062E93">
        <w:trPr>
          <w:trHeight w:val="467"/>
          <w:tblCellSpacing w:w="15" w:type="dxa"/>
        </w:trPr>
        <w:tc>
          <w:tcPr>
            <w:tcW w:w="0" w:type="auto"/>
            <w:vAlign w:val="center"/>
            <w:hideMark/>
          </w:tcPr>
          <w:p w14:paraId="20F9058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C567A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6CA220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1F5C1DBB" w14:textId="77777777" w:rsidTr="00062E93">
        <w:trPr>
          <w:trHeight w:val="482"/>
          <w:tblCellSpacing w:w="15" w:type="dxa"/>
        </w:trPr>
        <w:tc>
          <w:tcPr>
            <w:tcW w:w="0" w:type="auto"/>
            <w:vAlign w:val="center"/>
            <w:hideMark/>
          </w:tcPr>
          <w:p w14:paraId="498E3AF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return_14d</w:t>
            </w:r>
          </w:p>
        </w:tc>
        <w:tc>
          <w:tcPr>
            <w:tcW w:w="0" w:type="auto"/>
            <w:vAlign w:val="center"/>
            <w:hideMark/>
          </w:tcPr>
          <w:p w14:paraId="7079376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55029A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55CC0933" w14:textId="77777777" w:rsidTr="00062E93">
        <w:trPr>
          <w:trHeight w:val="482"/>
          <w:tblCellSpacing w:w="15" w:type="dxa"/>
        </w:trPr>
        <w:tc>
          <w:tcPr>
            <w:tcW w:w="0" w:type="auto"/>
            <w:vAlign w:val="center"/>
            <w:hideMark/>
          </w:tcPr>
          <w:p w14:paraId="2BED4BD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4983B78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5D24548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231C2355" w14:textId="77777777" w:rsidTr="00062E93">
        <w:trPr>
          <w:trHeight w:val="467"/>
          <w:tblCellSpacing w:w="15" w:type="dxa"/>
        </w:trPr>
        <w:tc>
          <w:tcPr>
            <w:tcW w:w="0" w:type="auto"/>
            <w:vAlign w:val="center"/>
            <w:hideMark/>
          </w:tcPr>
          <w:p w14:paraId="0F89C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sma_30</w:t>
            </w:r>
          </w:p>
        </w:tc>
        <w:tc>
          <w:tcPr>
            <w:tcW w:w="0" w:type="auto"/>
            <w:vAlign w:val="center"/>
            <w:hideMark/>
          </w:tcPr>
          <w:p w14:paraId="337A7A6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CB767F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bl>
    <w:p w14:paraId="30DD7D97"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Ada pola menarik sebab bb_percent_b_20 menjadi fitur yang paling sering dipilih pada kedua dataset. Temuan itu memperlihatkan adanya fitur yang relatif persisten dalam proses seleksi, namun persistence pada tingkat fitur individual tak berarti seluruh subset fitur mempertahankan komposisi yang sama.</w:t>
      </w:r>
    </w:p>
    <w:p w14:paraId="3C27D57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terlihat dari fitur berfrekuensi rendah. Pada Binance, misalnya, volume_change cuma muncul pada 1 dari 22 window, sedangkan open, high, dan low masing-masing cuma muncul pada 2 window. Pada Coinbase, high cuma muncul pada 1 dari 31 window dan low pada 2 window.</w:t>
      </w:r>
    </w:p>
    <w:p w14:paraId="07CC2669" w14:textId="62B784C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feature frequency memperlihatkan adanya feature persistence pada tingkat individual, sedangkan hasil stability di bagian berikutnya dipakai guna menilai apakah komposisi subset secara menyeluruh juga persisten.</w:t>
      </w:r>
    </w:p>
    <w:p w14:paraId="3DEA378D" w14:textId="77777777" w:rsidR="00637A97" w:rsidRPr="00062E93" w:rsidRDefault="00637A97" w:rsidP="00062E93">
      <w:pPr>
        <w:pStyle w:val="Heading2"/>
        <w:rPr>
          <w:rFonts w:eastAsia="Times New Roman"/>
          <w:lang w:eastAsia="en-ID"/>
        </w:rPr>
      </w:pPr>
      <w:r>
        <w:t xml:space="preserve">Analisis Feature-Subset Stability</w:t>
      </w:r>
    </w:p>
    <w:p w14:paraId="5D61F8E8" w14:textId="77777777" w:rsidR="00637A97" w:rsidRPr="00062E93" w:rsidRDefault="00637A97" w:rsidP="00062E93">
      <w:pPr>
        <w:pStyle w:val="Heading3"/>
        <w:rPr>
          <w:rFonts w:eastAsia="Times New Roman"/>
          <w:lang w:eastAsia="en-ID"/>
        </w:rPr>
      </w:pPr>
      <w:r w:rsidRPr="00062E93">
        <w:rPr>
          <w:rFonts w:eastAsia="Times New Roman"/>
          <w:lang w:eastAsia="en-ID"/>
        </w:rPr>
        <w:t>Hasil Jaccard Index</w:t>
      </w:r>
    </w:p>
    <w:p w14:paraId="1296D09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Feature-subset stability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Index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persamaan</w:t>
      </w:r>
      <w:proofErr w:type="spellEnd"/>
      <w:r w:rsidRPr="00062E93">
        <w:rPr>
          <w:rFonts w:ascii="Times New Roman" w:eastAsia="Times New Roman" w:hAnsi="Times New Roman" w:cs="Times New Roman"/>
          <w:kern w:val="0"/>
          <w:lang w:eastAsia="en-ID"/>
          <w14:ligatures w14:val="none"/>
        </w:rPr>
        <w:t>:</w:t>
      </w:r>
    </w:p>
    <w:p w14:paraId="3ECC4748" w14:textId="25A3CEF3"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3DD7719E" w14:textId="48412175"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merupakan subset fitur Top-10 pada window </w:t>
      </w:r>
      <m:oMath>
        <m:r>
          <w:rPr>
            <w:rFonts w:ascii="Cambria Math" w:eastAsia="Times New Roman" w:hAnsi="Cambria Math" w:cs="Times New Roman"/>
            <w:kern w:val="0"/>
            <w:lang w:eastAsia="en-ID"/>
            <w14:ligatures w14:val="none"/>
          </w:rPr>
          <m:t>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D2E99C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Jaccard yang kian tinggi menandakan kian besarnya kesamaan antar subset, sedangkan nilai yang kian rendah menandakan kian besarnya perubahan komposisi subset.</w:t>
      </w:r>
    </w:p>
    <w:p w14:paraId="4FCE7043" w14:textId="77777777" w:rsidR="00637A97" w:rsidRPr="00062E93" w:rsidRDefault="00637A97" w:rsidP="00062E93">
      <w:pPr>
        <w:pStyle w:val="Normal"/>
        <w:jc w:val="center"/>
        <w:rPr>
          <w:rFonts w:eastAsia="Times New Roman"/>
          <w:lang w:eastAsia="en-ID"/>
        </w:rPr>
      </w:pPr>
      <w:r w:rsidRPr="00062E93">
        <w:rPr>
          <w:rFonts w:eastAsia="Times New Roman"/>
          <w:lang w:eastAsia="en-ID"/>
        </w:rPr>
        <w:t xml:space="preserve">Tabel 4.4 </w:t>
      </w:r>
      <w:proofErr w:type="spellStart"/>
      <w:r w:rsidRPr="00062E93">
        <w:rPr>
          <w:rFonts w:eastAsia="Times New Roman"/>
          <w:lang w:eastAsia="en-ID"/>
        </w:rPr>
        <w:t>Statistik</w:t>
      </w:r>
      <w:proofErr w:type="spellEnd"/>
      <w:r w:rsidRPr="00062E93">
        <w:rPr>
          <w:rFonts w:eastAsia="Times New Roman"/>
          <w:lang w:eastAsia="en-ID"/>
        </w:rPr>
        <w:t xml:space="preserve"> Jaccard Index</w:t>
      </w:r>
    </w:p>
    <w:tbl>
      <w:tblPr>
        <w:tblW w:w="5137" w:type="dxa"/>
        <w:tblCellSpacing w:w="15" w:type="dxa"/>
        <w:tblCellMar>
          <w:top w:w="15" w:type="dxa"/>
          <w:left w:w="15" w:type="dxa"/>
          <w:bottom w:w="15" w:type="dxa"/>
          <w:right w:w="15" w:type="dxa"/>
        </w:tblCellMar>
        <w:tblLook w:val="04A0" w:firstRow="1" w:lastRow="0" w:firstColumn="1" w:lastColumn="0" w:noHBand="0" w:noVBand="1"/>
      </w:tblPr>
      <w:tblGrid>
        <w:gridCol w:w="2441"/>
        <w:gridCol w:w="1255"/>
        <w:gridCol w:w="1441"/>
      </w:tblGrid>
      <w:tr w:rsidR="00637A97" w:rsidRPr="00062E93" w14:paraId="725D54A0" w14:textId="77777777" w:rsidTr="00062E93">
        <w:trPr>
          <w:trHeight w:val="470"/>
          <w:tblHeader/>
          <w:tblCellSpacing w:w="15" w:type="dxa"/>
        </w:trPr>
        <w:tc>
          <w:tcPr>
            <w:tcW w:w="0" w:type="auto"/>
            <w:vAlign w:val="center"/>
            <w:hideMark/>
          </w:tcPr>
          <w:p w14:paraId="3DB595A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Statistik</w:t>
            </w:r>
            <w:proofErr w:type="spellEnd"/>
          </w:p>
        </w:tc>
        <w:tc>
          <w:tcPr>
            <w:tcW w:w="0" w:type="auto"/>
            <w:vAlign w:val="center"/>
            <w:hideMark/>
          </w:tcPr>
          <w:p w14:paraId="7A3BF7C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699E20CD"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4B69EC79" w14:textId="77777777" w:rsidTr="00062E93">
        <w:trPr>
          <w:trHeight w:val="485"/>
          <w:tblCellSpacing w:w="15" w:type="dxa"/>
        </w:trPr>
        <w:tc>
          <w:tcPr>
            <w:tcW w:w="0" w:type="auto"/>
            <w:vAlign w:val="center"/>
            <w:hideMark/>
          </w:tcPr>
          <w:p w14:paraId="01847D8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52CF8F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FC534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3DD76001" w14:textId="77777777" w:rsidTr="00062E93">
        <w:trPr>
          <w:trHeight w:val="485"/>
          <w:tblCellSpacing w:w="15" w:type="dxa"/>
        </w:trPr>
        <w:tc>
          <w:tcPr>
            <w:tcW w:w="0" w:type="auto"/>
            <w:vAlign w:val="center"/>
            <w:hideMark/>
          </w:tcPr>
          <w:p w14:paraId="39A1C8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w:t>
            </w:r>
          </w:p>
        </w:tc>
        <w:tc>
          <w:tcPr>
            <w:tcW w:w="0" w:type="auto"/>
            <w:vAlign w:val="center"/>
            <w:hideMark/>
          </w:tcPr>
          <w:p w14:paraId="0E98C1D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0,3680</w:t>
            </w:r>
          </w:p>
        </w:tc>
        <w:tc>
          <w:tcPr>
            <w:tcW w:w="0" w:type="auto"/>
            <w:vAlign w:val="center"/>
            <w:hideMark/>
          </w:tcPr>
          <w:p w14:paraId="15501F8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0,3898</w:t>
            </w:r>
          </w:p>
        </w:tc>
      </w:tr>
      <w:tr w:rsidR="00637A97" w:rsidRPr="00062E93" w14:paraId="3BA383EA" w14:textId="77777777" w:rsidTr="00062E93">
        <w:trPr>
          <w:trHeight w:val="485"/>
          <w:tblCellSpacing w:w="15" w:type="dxa"/>
        </w:trPr>
        <w:tc>
          <w:tcPr>
            <w:tcW w:w="0" w:type="auto"/>
            <w:vAlign w:val="center"/>
            <w:hideMark/>
          </w:tcPr>
          <w:p w14:paraId="0A8AE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w:t>
            </w:r>
          </w:p>
        </w:tc>
        <w:tc>
          <w:tcPr>
            <w:tcW w:w="0" w:type="auto"/>
            <w:vAlign w:val="center"/>
            <w:hideMark/>
          </w:tcPr>
          <w:p w14:paraId="0D2F77E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c>
          <w:tcPr>
            <w:tcW w:w="0" w:type="auto"/>
            <w:vAlign w:val="center"/>
            <w:hideMark/>
          </w:tcPr>
          <w:p w14:paraId="7117DD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0EB8EEE8" w14:textId="77777777" w:rsidTr="00062E93">
        <w:trPr>
          <w:trHeight w:val="470"/>
          <w:tblCellSpacing w:w="15" w:type="dxa"/>
        </w:trPr>
        <w:tc>
          <w:tcPr>
            <w:tcW w:w="0" w:type="auto"/>
            <w:vAlign w:val="center"/>
            <w:hideMark/>
          </w:tcPr>
          <w:p w14:paraId="0B088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p>
        </w:tc>
        <w:tc>
          <w:tcPr>
            <w:tcW w:w="0" w:type="auto"/>
            <w:vAlign w:val="center"/>
            <w:hideMark/>
          </w:tcPr>
          <w:p w14:paraId="624D1DC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0,1593</w:t>
            </w:r>
          </w:p>
        </w:tc>
        <w:tc>
          <w:tcPr>
            <w:tcW w:w="0" w:type="auto"/>
            <w:vAlign w:val="center"/>
            <w:hideMark/>
          </w:tcPr>
          <w:p w14:paraId="437C32E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0,1017</w:t>
            </w:r>
          </w:p>
        </w:tc>
      </w:tr>
      <w:tr w:rsidR="00637A97" w:rsidRPr="00062E93" w14:paraId="517E464A" w14:textId="77777777" w:rsidTr="00062E93">
        <w:trPr>
          <w:trHeight w:val="485"/>
          <w:tblCellSpacing w:w="15" w:type="dxa"/>
        </w:trPr>
        <w:tc>
          <w:tcPr>
            <w:tcW w:w="0" w:type="auto"/>
            <w:vAlign w:val="center"/>
            <w:hideMark/>
          </w:tcPr>
          <w:p w14:paraId="67B1F5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Minimum</w:t>
            </w:r>
          </w:p>
        </w:tc>
        <w:tc>
          <w:tcPr>
            <w:tcW w:w="0" w:type="auto"/>
            <w:vAlign w:val="center"/>
            <w:hideMark/>
          </w:tcPr>
          <w:p w14:paraId="31316F2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0,1111</w:t>
            </w:r>
          </w:p>
        </w:tc>
        <w:tc>
          <w:tcPr>
            <w:tcW w:w="0" w:type="auto"/>
            <w:vAlign w:val="center"/>
            <w:hideMark/>
          </w:tcPr>
          <w:p w14:paraId="50832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0,1765</w:t>
            </w:r>
          </w:p>
        </w:tc>
      </w:tr>
      <w:tr w:rsidR="00637A97" w:rsidRPr="00062E93" w14:paraId="618A3FD4" w14:textId="77777777" w:rsidTr="00062E93">
        <w:trPr>
          <w:trHeight w:val="485"/>
          <w:tblCellSpacing w:w="15" w:type="dxa"/>
        </w:trPr>
        <w:tc>
          <w:tcPr>
            <w:tcW w:w="0" w:type="auto"/>
            <w:vAlign w:val="center"/>
            <w:hideMark/>
          </w:tcPr>
          <w:p w14:paraId="745B53E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1</w:t>
            </w:r>
          </w:p>
        </w:tc>
        <w:tc>
          <w:tcPr>
            <w:tcW w:w="0" w:type="auto"/>
            <w:vAlign w:val="center"/>
            <w:hideMark/>
          </w:tcPr>
          <w:p w14:paraId="6EAFC38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0,2500</w:t>
            </w:r>
          </w:p>
        </w:tc>
        <w:tc>
          <w:tcPr>
            <w:tcW w:w="0" w:type="auto"/>
            <w:vAlign w:val="center"/>
            <w:hideMark/>
          </w:tcPr>
          <w:p w14:paraId="67EBF1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r>
      <w:tr w:rsidR="00637A97" w:rsidRPr="00062E93" w14:paraId="73C621D5" w14:textId="77777777" w:rsidTr="00062E93">
        <w:trPr>
          <w:trHeight w:val="485"/>
          <w:tblCellSpacing w:w="15" w:type="dxa"/>
        </w:trPr>
        <w:tc>
          <w:tcPr>
            <w:tcW w:w="0" w:type="auto"/>
            <w:vAlign w:val="center"/>
            <w:hideMark/>
          </w:tcPr>
          <w:p w14:paraId="0FBFA14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3</w:t>
            </w:r>
          </w:p>
        </w:tc>
        <w:tc>
          <w:tcPr>
            <w:tcW w:w="0" w:type="auto"/>
            <w:vAlign w:val="center"/>
            <w:hideMark/>
          </w:tcPr>
          <w:p w14:paraId="4599EA0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c>
          <w:tcPr>
            <w:tcW w:w="0" w:type="auto"/>
            <w:vAlign w:val="center"/>
            <w:hideMark/>
          </w:tcPr>
          <w:p w14:paraId="3CB481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756D4414" w14:textId="77777777" w:rsidTr="00062E93">
        <w:trPr>
          <w:trHeight w:val="470"/>
          <w:tblCellSpacing w:w="15" w:type="dxa"/>
        </w:trPr>
        <w:tc>
          <w:tcPr>
            <w:tcW w:w="0" w:type="auto"/>
            <w:vAlign w:val="center"/>
            <w:hideMark/>
          </w:tcPr>
          <w:p w14:paraId="130CEF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Maksimum</w:t>
            </w:r>
            <w:proofErr w:type="spellEnd"/>
          </w:p>
        </w:tc>
        <w:tc>
          <w:tcPr>
            <w:tcW w:w="0" w:type="auto"/>
            <w:vAlign w:val="center"/>
            <w:hideMark/>
          </w:tcPr>
          <w:p w14:paraId="723D82B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0,6667</w:t>
            </w:r>
          </w:p>
        </w:tc>
        <w:tc>
          <w:tcPr>
            <w:tcW w:w="0" w:type="auto"/>
            <w:vAlign w:val="center"/>
            <w:hideMark/>
          </w:tcPr>
          <w:p w14:paraId="3CCBE7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r>
    </w:tbl>
    <w:p w14:paraId="69F1F279"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nilai Jaccard terentang dari 0,1111 sampai 0,6667. Nilai minimum 0,1111 menandakan perubahan subset yang sangat besar antara dua window berurutan. Sebaliknya, nilai maksimum 0,6667 menandakan adanya transisi dengan tingkat overlap yang relatif lebih tinggi.</w:t>
      </w:r>
    </w:p>
    <w:p w14:paraId="01F0024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Coinbase, nilai Jaccard terentang dari 0,1765 sampai 0,5385. Nilai itu juga memperlihatkan bahwa subset fitur tak bersifat tetap sepanjang periode eksperimen.</w:t>
      </w:r>
    </w:p>
    <w:p w14:paraId="6F93E3A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menjawab rumusan masalah pertama dan kedua bahwa feature subset hasil XGBoost berubah sepanjang waktu, dan perubahan itu berintensitas berbeda antar periode.</w:t>
      </w:r>
    </w:p>
    <w:p w14:paraId="1790C481" w14:textId="6676D72B"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ini selaras dengan literatur yang menempatkan stabilitas selaku karakteristik krusial dalam feature selection. </w:t>
      </w:r>
      <w:sdt>
        <w:sdtPr>
          <w:rPr>
            <w:rFonts w:ascii="Times New Roman" w:eastAsia="Times New Roman" w:hAnsi="Times New Roman"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pergeseran subset fitur gara-gara perubahan kondisi data ialah aspek krusial yang mesti diukur, bukan cuma predictive performance.</w:t>
      </w:r>
    </w:p>
    <w:p w14:paraId="27CF3CA4" w14:textId="70ACC96F"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pun relevan dengan </w:t>
      </w:r>
      <w:sdt>
        <w:sdtPr>
          <w:rPr>
            <w:rFonts w:ascii="Times New Roman" w:eastAsia="Times New Roman" w:hAnsi="Times New Roman"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definisi stability konvensional bisa menyimpan keterbatasan tatkala data berciri drift atau perubahan distribusi. Mereka membangun pendekatan stability yang secara eksplisit menimbang dinamika data.</w:t>
      </w:r>
    </w:p>
    <w:p w14:paraId="0819CFC0" w14:textId="330308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konteks penelitian ini, pemakaian window temporal dapat dipandang sebagai cara mengamati dinamika tersebut secara langsung.</w:t>
      </w:r>
    </w:p>
    <w:p w14:paraId="6143A21C" w14:textId="77777777" w:rsidR="00637A97" w:rsidRPr="00062E93" w:rsidRDefault="00637A97" w:rsidP="00DE7962">
      <w:pPr>
        <w:pStyle w:val="Heading3"/>
        <w:rPr>
          <w:rFonts w:eastAsia="Times New Roman"/>
          <w:lang w:eastAsia="en-ID"/>
        </w:rPr>
      </w:pPr>
      <w:r>
        <w:t xml:space="preserve">Hasil Kuncheva Index</w:t>
      </w:r>
    </w:p>
    <w:p w14:paraId="7AAEF03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Selain Jaccard, Kuncheva Index dipakai selaku metrik pendukung yang memperhitungkan kemungkinan overlap yang terjadi secara kebetulan.</w:t>
      </w:r>
    </w:p>
    <w:p w14:paraId="5E55C027"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Mean Kuncheva pada Binance sebesar 0,2786, sedangkan Coinbase 0,3300. Rentang Binance ialah -0,20 sampai 0,70, sementara Coinbase terentang -0,05 sampai 0,55.</w:t>
      </w:r>
    </w:p>
    <w:p w14:paraId="13BBB671"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Kuncheva negatif pada sejumlah transisi menandakan bahwa overlap aktual pada transisi itu berada di bawah tingkat overlap yang diharapkan secara kebetulan, menilik ukuran subset dan feature universe.</w:t>
      </w:r>
    </w:p>
    <w:p w14:paraId="13888A1D" w14:textId="38D90AE8"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Jaccard dan Kuncheva bersama-sama memperkuat temuan bahwa feature subset berubah antar-window. Namun kedua metrik itu tetap mengukur stabilitas subset yang dihasilkan metode seleksi, bukan stabilitas hubungan kausal maupun kepentingan fundamental suatu variabel.</w:t>
      </w:r>
    </w:p>
    <w:p w14:paraId="78274576" w14:textId="77777777" w:rsidR="00637A97" w:rsidRPr="00062E93" w:rsidRDefault="00637A97" w:rsidP="00DE7962">
      <w:pPr>
        <w:pStyle w:val="Heading2"/>
        <w:rPr>
          <w:rFonts w:eastAsia="Times New Roman"/>
          <w:lang w:eastAsia="en-ID"/>
        </w:rPr>
      </w:pPr>
      <w:r w:rsidRPr="00062E93">
        <w:rPr>
          <w:rFonts w:eastAsia="Times New Roman"/>
          <w:lang w:eastAsia="en-ID"/>
        </w:rPr>
        <w:t>Hasil Forecasting</w:t>
      </w:r>
    </w:p>
    <w:p w14:paraId="15A0B249"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Seusai feature selection dijalankan pada tiap temporal window, subset Top-10 dipakai dalam proses forecasting memakai XGBoost. Evaluasi hanya dilakukan pada periode out-of-sample. Sebagai pembanding dipakai baseline zero-return naive, yakni prediksi return berikutnya sama dengan nol.</w:t>
      </w:r>
    </w:p>
    <w:p w14:paraId="50E45C15" w14:textId="77777777" w:rsidR="00637A97" w:rsidRPr="00062E93" w:rsidRDefault="00637A97" w:rsidP="00DE7962">
      <w:pPr>
        <w:pStyle w:val="Normal"/>
        <w:jc w:val="center"/>
        <w:rPr>
          <w:rFonts w:eastAsia="Times New Roman"/>
          <w:lang w:eastAsia="en-ID"/>
        </w:rPr>
      </w:pPr>
      <w:r w:rsidRPr="00062E93">
        <w:rPr>
          <w:rFonts w:eastAsia="Times New Roman"/>
          <w:lang w:eastAsia="en-ID"/>
        </w:rPr>
        <w:lastRenderedPageBreak/>
        <w:t xml:space="preserve">Tabel 4.5 </w:t>
      </w:r>
      <w:proofErr w:type="spellStart"/>
      <w:r w:rsidRPr="00062E93">
        <w:rPr>
          <w:rFonts w:eastAsia="Times New Roman"/>
          <w:lang w:eastAsia="en-ID"/>
        </w:rPr>
        <w:t>Ringkasan</w:t>
      </w:r>
      <w:proofErr w:type="spellEnd"/>
      <w:r w:rsidRPr="00062E93">
        <w:rPr>
          <w:rFonts w:eastAsia="Times New Roman"/>
          <w:lang w:eastAsia="en-ID"/>
        </w:rPr>
        <w:t xml:space="preserve"> Forecasting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451"/>
        <w:gridCol w:w="1516"/>
        <w:gridCol w:w="1571"/>
        <w:gridCol w:w="1651"/>
      </w:tblGrid>
      <w:tr w:rsidR="00637A97" w:rsidRPr="00062E93" w14:paraId="2E38D30F" w14:textId="77777777">
        <w:trPr>
          <w:tblHeader/>
          <w:tblCellSpacing w:w="15" w:type="dxa"/>
        </w:trPr>
        <w:tc>
          <w:tcPr>
            <w:tcW w:w="0" w:type="auto"/>
            <w:vAlign w:val="center"/>
            <w:hideMark/>
          </w:tcPr>
          <w:p w14:paraId="63AD68F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Metrik</w:t>
            </w:r>
            <w:proofErr w:type="spellEnd"/>
          </w:p>
        </w:tc>
        <w:tc>
          <w:tcPr>
            <w:tcW w:w="0" w:type="auto"/>
            <w:vAlign w:val="center"/>
            <w:hideMark/>
          </w:tcPr>
          <w:p w14:paraId="0EA1D08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XGB</w:t>
            </w:r>
          </w:p>
        </w:tc>
        <w:tc>
          <w:tcPr>
            <w:tcW w:w="0" w:type="auto"/>
            <w:vAlign w:val="center"/>
            <w:hideMark/>
          </w:tcPr>
          <w:p w14:paraId="70C9DFB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Naive</w:t>
            </w:r>
          </w:p>
        </w:tc>
        <w:tc>
          <w:tcPr>
            <w:tcW w:w="0" w:type="auto"/>
            <w:vAlign w:val="center"/>
            <w:hideMark/>
          </w:tcPr>
          <w:p w14:paraId="0B97BE42"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XGB</w:t>
            </w:r>
          </w:p>
        </w:tc>
        <w:tc>
          <w:tcPr>
            <w:tcW w:w="0" w:type="auto"/>
            <w:vAlign w:val="center"/>
            <w:hideMark/>
          </w:tcPr>
          <w:p w14:paraId="576A909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Naive</w:t>
            </w:r>
          </w:p>
        </w:tc>
      </w:tr>
      <w:tr w:rsidR="00637A97" w:rsidRPr="00062E93" w14:paraId="4BBDB539" w14:textId="77777777">
        <w:trPr>
          <w:tblCellSpacing w:w="15" w:type="dxa"/>
        </w:trPr>
        <w:tc>
          <w:tcPr>
            <w:tcW w:w="0" w:type="auto"/>
            <w:vAlign w:val="center"/>
            <w:hideMark/>
          </w:tcPr>
          <w:p w14:paraId="5505ABC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MAE</w:t>
            </w:r>
          </w:p>
        </w:tc>
        <w:tc>
          <w:tcPr>
            <w:tcW w:w="0" w:type="auto"/>
            <w:vAlign w:val="center"/>
            <w:hideMark/>
          </w:tcPr>
          <w:p w14:paraId="559B0BF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0,03344</w:t>
            </w:r>
          </w:p>
        </w:tc>
        <w:tc>
          <w:tcPr>
            <w:tcW w:w="0" w:type="auto"/>
            <w:vAlign w:val="center"/>
            <w:hideMark/>
          </w:tcPr>
          <w:p w14:paraId="3827D2E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0,02116</w:t>
            </w:r>
          </w:p>
        </w:tc>
        <w:tc>
          <w:tcPr>
            <w:tcW w:w="0" w:type="auto"/>
            <w:vAlign w:val="center"/>
            <w:hideMark/>
          </w:tcPr>
          <w:p w14:paraId="6AD3F5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0,02544</w:t>
            </w:r>
          </w:p>
        </w:tc>
        <w:tc>
          <w:tcPr>
            <w:tcW w:w="0" w:type="auto"/>
            <w:vAlign w:val="center"/>
            <w:hideMark/>
          </w:tcPr>
          <w:p w14:paraId="607D8E0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0,02243</w:t>
            </w:r>
          </w:p>
        </w:tc>
      </w:tr>
      <w:tr w:rsidR="00637A97" w:rsidRPr="00062E93" w14:paraId="1FF3BEBC" w14:textId="77777777">
        <w:trPr>
          <w:tblCellSpacing w:w="15" w:type="dxa"/>
        </w:trPr>
        <w:tc>
          <w:tcPr>
            <w:tcW w:w="0" w:type="auto"/>
            <w:vAlign w:val="center"/>
            <w:hideMark/>
          </w:tcPr>
          <w:p w14:paraId="47DE25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 MAE</w:t>
            </w:r>
          </w:p>
        </w:tc>
        <w:tc>
          <w:tcPr>
            <w:tcW w:w="0" w:type="auto"/>
            <w:vAlign w:val="center"/>
            <w:hideMark/>
          </w:tcPr>
          <w:p w14:paraId="303F1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0,02341</w:t>
            </w:r>
          </w:p>
        </w:tc>
        <w:tc>
          <w:tcPr>
            <w:tcW w:w="0" w:type="auto"/>
            <w:vAlign w:val="center"/>
            <w:hideMark/>
          </w:tcPr>
          <w:p w14:paraId="007F7E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0,01910</w:t>
            </w:r>
          </w:p>
        </w:tc>
        <w:tc>
          <w:tcPr>
            <w:tcW w:w="0" w:type="auto"/>
            <w:vAlign w:val="center"/>
            <w:hideMark/>
          </w:tcPr>
          <w:p w14:paraId="36272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0,02345</w:t>
            </w:r>
          </w:p>
        </w:tc>
        <w:tc>
          <w:tcPr>
            <w:tcW w:w="0" w:type="auto"/>
            <w:vAlign w:val="center"/>
            <w:hideMark/>
          </w:tcPr>
          <w:p w14:paraId="16E6666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0,02175</w:t>
            </w:r>
          </w:p>
        </w:tc>
      </w:tr>
      <w:tr w:rsidR="00637A97" w:rsidRPr="00062E93" w14:paraId="65B6C2FF" w14:textId="77777777">
        <w:trPr>
          <w:tblCellSpacing w:w="15" w:type="dxa"/>
        </w:trPr>
        <w:tc>
          <w:tcPr>
            <w:tcW w:w="0" w:type="auto"/>
            <w:vAlign w:val="center"/>
            <w:hideMark/>
          </w:tcPr>
          <w:p w14:paraId="64E8FE0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RMSE</w:t>
            </w:r>
          </w:p>
        </w:tc>
        <w:tc>
          <w:tcPr>
            <w:tcW w:w="0" w:type="auto"/>
            <w:vAlign w:val="center"/>
            <w:hideMark/>
          </w:tcPr>
          <w:p w14:paraId="596704B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0,04429</w:t>
            </w:r>
          </w:p>
        </w:tc>
        <w:tc>
          <w:tcPr>
            <w:tcW w:w="0" w:type="auto"/>
            <w:vAlign w:val="center"/>
            <w:hideMark/>
          </w:tcPr>
          <w:p w14:paraId="602C27E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0,02965</w:t>
            </w:r>
          </w:p>
        </w:tc>
        <w:tc>
          <w:tcPr>
            <w:tcW w:w="0" w:type="auto"/>
            <w:vAlign w:val="center"/>
            <w:hideMark/>
          </w:tcPr>
          <w:p w14:paraId="1903EA2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0,03597</w:t>
            </w:r>
          </w:p>
        </w:tc>
        <w:tc>
          <w:tcPr>
            <w:tcW w:w="0" w:type="auto"/>
            <w:vAlign w:val="center"/>
            <w:hideMark/>
          </w:tcPr>
          <w:p w14:paraId="463B2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0,03231</w:t>
            </w:r>
          </w:p>
        </w:tc>
      </w:tr>
      <w:tr w:rsidR="00637A97" w:rsidRPr="00062E93" w14:paraId="7FED45C2" w14:textId="77777777">
        <w:trPr>
          <w:tblCellSpacing w:w="15" w:type="dxa"/>
        </w:trPr>
        <w:tc>
          <w:tcPr>
            <w:tcW w:w="0" w:type="auto"/>
            <w:vAlign w:val="center"/>
            <w:hideMark/>
          </w:tcPr>
          <w:p w14:paraId="2F638A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&lt; Naive</w:t>
            </w:r>
          </w:p>
        </w:tc>
        <w:tc>
          <w:tcPr>
            <w:tcW w:w="0" w:type="auto"/>
            <w:vAlign w:val="center"/>
            <w:hideMark/>
          </w:tcPr>
          <w:p w14:paraId="18C9FBB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0/22</w:t>
            </w:r>
          </w:p>
        </w:tc>
        <w:tc>
          <w:tcPr>
            <w:tcW w:w="0" w:type="auto"/>
            <w:vAlign w:val="center"/>
            <w:hideMark/>
          </w:tcPr>
          <w:p w14:paraId="17CB2C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6874E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2/31</w:t>
            </w:r>
          </w:p>
        </w:tc>
        <w:tc>
          <w:tcPr>
            <w:tcW w:w="0" w:type="auto"/>
            <w:vAlign w:val="center"/>
            <w:hideMark/>
          </w:tcPr>
          <w:p w14:paraId="66D1210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r w:rsidR="00637A97" w:rsidRPr="00062E93" w14:paraId="28AD3EFD" w14:textId="77777777">
        <w:trPr>
          <w:tblCellSpacing w:w="15" w:type="dxa"/>
        </w:trPr>
        <w:tc>
          <w:tcPr>
            <w:tcW w:w="0" w:type="auto"/>
            <w:vAlign w:val="center"/>
            <w:hideMark/>
          </w:tcPr>
          <w:p w14:paraId="4C9A2E7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&gt; Naive</w:t>
            </w:r>
          </w:p>
        </w:tc>
        <w:tc>
          <w:tcPr>
            <w:tcW w:w="0" w:type="auto"/>
            <w:vAlign w:val="center"/>
            <w:hideMark/>
          </w:tcPr>
          <w:p w14:paraId="51F589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22/22</w:t>
            </w:r>
          </w:p>
        </w:tc>
        <w:tc>
          <w:tcPr>
            <w:tcW w:w="0" w:type="auto"/>
            <w:vAlign w:val="center"/>
            <w:hideMark/>
          </w:tcPr>
          <w:p w14:paraId="53A2769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1AAD65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29/31</w:t>
            </w:r>
          </w:p>
        </w:tc>
        <w:tc>
          <w:tcPr>
            <w:tcW w:w="0" w:type="auto"/>
            <w:vAlign w:val="center"/>
            <w:hideMark/>
          </w:tcPr>
          <w:p w14:paraId="090BE71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bl>
    <w:p w14:paraId="1C7DD1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memperlihatkan bahwa mean MAE XGBoost lebih tinggi daripada baseline pada kedua dataset. Pada Binance, XGBoost memiliki mean MAE sebesar 0,03344, sedangkan baseline sebesar 0,02116. Tak ada satu pun window di mana XGBoost ber-MAE lebih rendah daripada baseline. Pada Coinbase, mean MAE XGBoost sebesar 0,02544 dibandingkan 0,02243 pada baseline, dan XGBoost cuma menghasilkan MAE lebih rendah pada 2 dari 31 window.</w:t>
      </w:r>
    </w:p>
    <w:p w14:paraId="21E4F4AB"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tidak dijadikan dasar guna menyatakan bahwa XGBoost adalah model yang buruk secara umum. Hasil tersebut sekadar memperlihatkan bahwa pada konfigurasi eksperimen penelitian ini, XGBoost tak memperlihatkan keunggulan error yang konsisten terhadap baseline zero-return.</w:t>
      </w:r>
    </w:p>
    <w:p w14:paraId="678AFAE4"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pun penting secara metodologis sebab tujuan penelitian bukan memeringkat model forecasting, melainkan menguji keterkaitan antara perubahan feature subset dan error OOS.</w:t>
      </w:r>
    </w:p>
    <w:p w14:paraId="66FE1C31" w14:textId="4C272E66"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Menurut literatur terbaru, hasil forecasting Bitcoin ternyata cukup sensitif terhadap desain eksperimen. </w:t>
      </w:r>
      <w:sdt>
        <w:sdtPr>
          <w:rPr>
            <w:rFonts w:ascii="Times New Roman" w:eastAsia="Times New Roman" w:hAnsi="Times New Roman"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C77C4" w:rsidRPr="00DC77C4">
            <w:rPr>
              <w:rFonts w:ascii="Times New Roman" w:eastAsia="Times New Roman" w:hAnsi="Times New Roman" w:cs="Times New Roman"/>
              <w:color w:val="000000"/>
            </w:rPr>
            <w:t>Bysik</w:t>
          </w:r>
          <w:proofErr w:type="spellEnd"/>
          <w:r w:rsidR="00DC77C4" w:rsidRPr="00DC77C4">
            <w:rPr>
              <w:rFonts w:ascii="Times New Roman" w:eastAsia="Times New Roman" w:hAnsi="Times New Roman" w:cs="Times New Roman"/>
              <w:color w:val="000000"/>
            </w:rPr>
            <w:t xml:space="preserve"> &amp; </w:t>
          </w:r>
          <w:proofErr w:type="spellStart"/>
          <w:r w:rsidR="00DC77C4" w:rsidRPr="00DC77C4">
            <w:rPr>
              <w:rFonts w:ascii="Times New Roman" w:eastAsia="Times New Roman" w:hAnsi="Times New Roman" w:cs="Times New Roman"/>
              <w:color w:val="000000"/>
            </w:rPr>
            <w:t>Ślepaczuk</w:t>
          </w:r>
          <w:proofErr w:type="spellEnd"/>
          <w:r w:rsidR="00DC77C4" w:rsidRPr="00DC77C4">
            <w:rPr>
              <w:rFonts w:ascii="Times New Roman" w:eastAsia="Times New Roman" w:hAnsi="Times New Roman" w:cs="Times New Roman"/>
              <w:color w:val="000000"/>
            </w:rPr>
            <w:t xml:space="preserve"> (2026)</w:t>
          </w:r>
        </w:sdtContent>
      </w:sdt>
      <w:r>
        <w:rPr>
          <w:rFonts w:ascii="Times New Roman" w:eastAsia="Times New Roman" w:hAnsi="Times New Roman" w:cs="Times New Roman"/>
          <w:kern w:val="0"/>
          <w:lang w:eastAsia="en-ID"/>
          <w14:ligatures w14:val="none"/>
        </w:rPr>
        <w:t xml:space="preserve">, contohnya, menjalankan walk-forward forecasting atas data BTC-USDT hourly dan memperlihatkan bahwa keluaran model bisa berbeda mengikuti konfigurasi model, feature set, dan mekanisme evaluasi. Kajian itu turut melaporkan bahwa bukti keunggulan statistik antarmodel tidak senantiasa kokoh. Lantaran data, horizon, serta tujuan penelitiannya berlainan, temuan tersebut tak dapat dibandingkan langsung dengan nilai error penelitian ini.</w:t>
      </w:r>
    </w:p>
    <w:p w14:paraId="3D8C6283" w14:textId="77777777" w:rsidR="00637A97" w:rsidRPr="00062E93" w:rsidRDefault="00637A97" w:rsidP="00DE7962">
      <w:pPr>
        <w:pStyle w:val="Heading2"/>
        <w:rPr>
          <w:rFonts w:eastAsia="Times New Roman"/>
          <w:lang w:eastAsia="en-ID"/>
        </w:rPr>
      </w:pPr>
      <w:r>
        <w:t xml:space="preserve">Analisis Stability terhadap Forecasting Error</w:t>
      </w:r>
    </w:p>
    <w:p w14:paraId="4DAC05D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Bagian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5B690988" w14:textId="5887ECBB"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temporal, stability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didefinisikan sebagai:</w:t>
      </w:r>
    </w:p>
    <w:p w14:paraId="679F8CFB" w14:textId="65E46028"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m:rPr>
                  <m:nor/>
                </m:rPr>
                <m:t>Jaccard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EF06C9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dipasangkan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forecasting pada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188212C1" w14:textId="6103B95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116376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analisis tak mengaitkan stability dan error pada window yang sama, melainkan menguji apakah kestabilan perubahan feature subset mampu berhubungan dengan error pada periode OOS berikutnya.</w:t>
      </w:r>
    </w:p>
    <w:p w14:paraId="5C573FB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Pasangan yang dipakai mencakup 21 observasi pada Binance dan 30 observasi pada Coinbase.</w:t>
      </w:r>
    </w:p>
    <w:p w14:paraId="1A34CB51" w14:textId="77777777" w:rsidR="00637A97" w:rsidRPr="00062E93" w:rsidRDefault="00637A97" w:rsidP="00DE7962">
      <w:pPr>
        <w:pStyle w:val="Heading3"/>
        <w:rPr>
          <w:rFonts w:eastAsia="Times New Roman"/>
          <w:lang w:eastAsia="en-ID"/>
        </w:rPr>
      </w:pPr>
      <w:r w:rsidRPr="00062E93">
        <w:rPr>
          <w:rFonts w:eastAsia="Times New Roman"/>
          <w:lang w:eastAsia="en-ID"/>
        </w:rPr>
        <w:t>Hasil pada Binance</w:t>
      </w:r>
    </w:p>
    <w:p w14:paraId="7668A8D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822CFDF" w14:textId="67252FF2"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2047</m:t>
              </m:r>
            </m:e>
          </m:box>
        </m:oMath>
      </m:oMathPara>
    </w:p>
    <w:p w14:paraId="5A8D70A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stationary bootstrap:</w:t>
      </w:r>
    </w:p>
    <w:p w14:paraId="7F27C447" w14:textId="3D73E43B"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3890</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1151]</m:t>
              </m:r>
            </m:e>
          </m:box>
        </m:oMath>
      </m:oMathPara>
    </w:p>
    <w:p w14:paraId="33A1E38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nol.</w:t>
      </w:r>
    </w:p>
    <w:p w14:paraId="64A2CF77"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Secara deskriptif, tanda negatif memperlihatkan bahwa di dalam sampel penelitian ada kecenderungan negatif antara Jaccard dan MAE sesudahnya. Namun besar keterkaitannya relatif kecil dan interval ketidakpastian mencakup nol, sehingga data belum menyuguhkan bukti yang cukup kuat guna menyatakan adanya hubungan negatif yang konsisten.</w:t>
      </w:r>
    </w:p>
    <w:p w14:paraId="54FDFA1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Per-window memberi ilustrasi yang lebih gamblang. Salah satu transisi ber-Jaccard terendah ialah:</w:t>
      </w:r>
    </w:p>
    <w:p w14:paraId="2E7154B3" w14:textId="7440ABA5"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J</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1111</m:t>
              </m:r>
            </m:e>
          </m:box>
        </m:oMath>
      </m:oMathPara>
    </w:p>
    <w:p w14:paraId="4CCB1DE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w:t>
      </w:r>
    </w:p>
    <w:p w14:paraId="2747470B" w14:textId="3D35C1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03531</m:t>
              </m:r>
            </m:e>
          </m:box>
        </m:oMath>
      </m:oMathPara>
    </w:p>
    <w:p w14:paraId="747D2AD6"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Namun transisi dengan Jaccard 0,1765 pun pernah diikuti MAE yang jauh lebih tinggi, yaitu:</w:t>
      </w:r>
    </w:p>
    <w:p w14:paraId="00E15CA4" w14:textId="12929AF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22233</m:t>
              </m:r>
            </m:e>
          </m:box>
        </m:oMath>
      </m:oMathPara>
    </w:p>
    <w:p w14:paraId="60ABADA8"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Sebaliknya, nilai Jaccard yang lebih tinggi pun tak selalu berujung pada error rendah. Contohnya, Jaccard sebesar 0,5385 bisa diikuti MAE sekitar 0,04585 pada satu periode, sementara pada periode lain nilai stability yang sama diikuti MAE yang jauh lebih rendah.</w:t>
      </w:r>
    </w:p>
    <w:p w14:paraId="3531FB1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Hal itu memperlihatkan bahwa nilai stability yang sama bisa menghasilkan tingkat error yang berbeda.</w:t>
      </w:r>
    </w:p>
    <w:p w14:paraId="2E35E87D" w14:textId="54E1ADAC"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perubahan feature subset saja belum memadai guna menjelaskan variasi forecasting error pada Binance.</w:t>
      </w:r>
    </w:p>
    <w:p w14:paraId="6524D5D4" w14:textId="77777777" w:rsidR="00637A97" w:rsidRPr="00062E93" w:rsidRDefault="00637A97" w:rsidP="00DE7962">
      <w:pPr>
        <w:pStyle w:val="Heading3"/>
        <w:rPr>
          <w:rFonts w:eastAsia="Times New Roman"/>
          <w:lang w:eastAsia="en-ID"/>
        </w:rPr>
      </w:pPr>
      <w:r w:rsidRPr="00062E93">
        <w:rPr>
          <w:rFonts w:eastAsia="Times New Roman"/>
          <w:lang w:eastAsia="en-ID"/>
        </w:rPr>
        <w:t>Hasil pada Coinbase</w:t>
      </w:r>
    </w:p>
    <w:p w14:paraId="512C1EB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Coinbase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4A390F3" w14:textId="1AF989BD"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31FC89C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w:t>
      </w:r>
    </w:p>
    <w:p w14:paraId="403E666B" w14:textId="4D6CDBEF"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0508</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5070]</m:t>
              </m:r>
            </m:e>
          </m:box>
        </m:oMath>
      </m:oMathPara>
    </w:p>
    <w:p w14:paraId="34EBE98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w:t>
      </w:r>
    </w:p>
    <w:p w14:paraId="596A543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Berlainan dari Binance, point estimate Coinbase bernilai positif. Artinya, arah estimasi hubungan pada kedua dataset tak serupa.</w:t>
      </w:r>
    </w:p>
    <w:p w14:paraId="5F2D344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Per-window turut memperlihatkan bahwa stability tinggi tak senantiasa diikuti error rendah. Contohnya, Jaccard sebesar 0,5385 muncul pada beberapa periode dengan MAE yang berbeda, termasuk sekitar 0,03413 dan sekitar 0,01205. Sebaliknya, Jaccard sebesar 0,1765 muncul pada periode dengan MAE sekitar 0,01683.</w:t>
      </w:r>
    </w:p>
    <w:p w14:paraId="483C49DC" w14:textId="76F0BEC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Coinbase pun tak memperlihatkan pola monoton bahwa makin stabil feature subset maka forecasting error makin kecil.</w:t>
      </w:r>
    </w:p>
    <w:p w14:paraId="4BEA5E7A" w14:textId="77777777" w:rsidR="00637A97" w:rsidRPr="00062E93" w:rsidRDefault="00637A97" w:rsidP="00DE7962">
      <w:pPr>
        <w:pStyle w:val="Heading2"/>
        <w:rPr>
          <w:rFonts w:eastAsia="Times New Roman"/>
          <w:lang w:eastAsia="en-ID"/>
        </w:rPr>
      </w:pPr>
      <w:r>
        <w:t xml:space="preserve">Pembahasan Hubungan Stability dan Forecasting Error</w:t>
      </w:r>
    </w:p>
    <w:p w14:paraId="79375B3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dua dataset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02"/>
        <w:gridCol w:w="1747"/>
        <w:gridCol w:w="795"/>
      </w:tblGrid>
      <w:tr w:rsidR="00637A97" w:rsidRPr="00062E93" w14:paraId="78DC4132" w14:textId="77777777">
        <w:trPr>
          <w:tblHeader/>
          <w:tblCellSpacing w:w="15" w:type="dxa"/>
        </w:trPr>
        <w:tc>
          <w:tcPr>
            <w:tcW w:w="0" w:type="auto"/>
            <w:vAlign w:val="center"/>
            <w:hideMark/>
          </w:tcPr>
          <w:p w14:paraId="5BB23DB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Dataset</w:t>
            </w:r>
          </w:p>
        </w:tc>
        <w:tc>
          <w:tcPr>
            <w:tcW w:w="0" w:type="auto"/>
            <w:vAlign w:val="center"/>
            <w:hideMark/>
          </w:tcPr>
          <w:p w14:paraId="5FF68A4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Spearman ρ</w:t>
            </w:r>
          </w:p>
        </w:tc>
        <w:tc>
          <w:tcPr>
            <w:tcW w:w="0" w:type="auto"/>
            <w:vAlign w:val="center"/>
            <w:hideMark/>
          </w:tcPr>
          <w:p w14:paraId="10243FE8"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95% CI</w:t>
            </w:r>
          </w:p>
        </w:tc>
        <w:tc>
          <w:tcPr>
            <w:tcW w:w="0" w:type="auto"/>
            <w:vAlign w:val="center"/>
            <w:hideMark/>
          </w:tcPr>
          <w:p w14:paraId="59B466E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Arah</w:t>
            </w:r>
          </w:p>
        </w:tc>
      </w:tr>
      <w:tr w:rsidR="00637A97" w:rsidRPr="00062E93" w14:paraId="1D6B2E29" w14:textId="77777777">
        <w:trPr>
          <w:tblCellSpacing w:w="15" w:type="dxa"/>
        </w:trPr>
        <w:tc>
          <w:tcPr>
            <w:tcW w:w="0" w:type="auto"/>
            <w:vAlign w:val="center"/>
            <w:hideMark/>
          </w:tcPr>
          <w:p w14:paraId="34BE0B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Binance</w:t>
            </w:r>
          </w:p>
        </w:tc>
        <w:tc>
          <w:tcPr>
            <w:tcW w:w="0" w:type="auto"/>
            <w:vAlign w:val="center"/>
            <w:hideMark/>
          </w:tcPr>
          <w:p w14:paraId="79CB52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-0,2047</w:t>
            </w:r>
          </w:p>
        </w:tc>
        <w:tc>
          <w:tcPr>
            <w:tcW w:w="0" w:type="auto"/>
            <w:vAlign w:val="center"/>
            <w:hideMark/>
          </w:tcPr>
          <w:p w14:paraId="08219E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[-0,3890; 0,1151]</w:t>
            </w:r>
          </w:p>
        </w:tc>
        <w:tc>
          <w:tcPr>
            <w:tcW w:w="0" w:type="auto"/>
            <w:vAlign w:val="center"/>
            <w:hideMark/>
          </w:tcPr>
          <w:p w14:paraId="0CD3337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Negatif</w:t>
            </w:r>
            <w:proofErr w:type="spellEnd"/>
          </w:p>
        </w:tc>
      </w:tr>
      <w:tr w:rsidR="00637A97" w:rsidRPr="00062E93" w14:paraId="4D3C930B" w14:textId="77777777">
        <w:trPr>
          <w:tblCellSpacing w:w="15" w:type="dxa"/>
        </w:trPr>
        <w:tc>
          <w:tcPr>
            <w:tcW w:w="0" w:type="auto"/>
            <w:vAlign w:val="center"/>
            <w:hideMark/>
          </w:tcPr>
          <w:p w14:paraId="33D6960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Coinbase</w:t>
            </w:r>
          </w:p>
        </w:tc>
        <w:tc>
          <w:tcPr>
            <w:tcW w:w="0" w:type="auto"/>
            <w:vAlign w:val="center"/>
            <w:hideMark/>
          </w:tcPr>
          <w:p w14:paraId="4A45D6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+0,2385</w:t>
            </w:r>
          </w:p>
        </w:tc>
        <w:tc>
          <w:tcPr>
            <w:tcW w:w="0" w:type="auto"/>
            <w:vAlign w:val="center"/>
            <w:hideMark/>
          </w:tcPr>
          <w:p w14:paraId="7455A9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[-0,0508; 0,5070]</w:t>
            </w:r>
          </w:p>
        </w:tc>
        <w:tc>
          <w:tcPr>
            <w:tcW w:w="0" w:type="auto"/>
            <w:vAlign w:val="center"/>
            <w:hideMark/>
          </w:tcPr>
          <w:p w14:paraId="154D30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Positif</w:t>
            </w:r>
            <w:proofErr w:type="spellEnd"/>
          </w:p>
        </w:tc>
      </w:tr>
    </w:tbl>
    <w:p w14:paraId="21A08310"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Binance diperoleh estimasi negatif, sementara pada Coinbase diperoleh estimasi positif. Sebab kedua confidence interval mencakup nol, penelitian ini belum memperoleh bukti yang memadai guna menyatakan adanya hubungan yang konsisten antara temporal feature-subset stability dan forecasting error.</w:t>
      </w:r>
    </w:p>
    <w:p w14:paraId="25D0B2C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ini penting sebab hasil penelitian memperlihatkan bahwa feature stability dan predictive performance tak selalu bergerak ke arah yang sama.</w:t>
      </w:r>
    </w:p>
    <w:p w14:paraId="5266B449" w14:textId="5B98F080"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memperoleh dukungan konseptual dari </w:t>
      </w:r>
      <w:sdt>
        <w:sdtPr>
          <w:rPr>
            <w:rFonts w:ascii="Times New Roman" w:eastAsia="Times New Roman" w:hAnsi="Times New Roman"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C77C4" w:rsidRPr="00DC77C4">
            <w:rPr>
              <w:rFonts w:ascii="Times New Roman" w:eastAsia="Times New Roman" w:hAnsi="Times New Roman" w:cs="Times New Roman"/>
              <w:color w:val="000000"/>
              <w:kern w:val="0"/>
              <w:lang w:eastAsia="en-ID"/>
              <w14:ligatures w14:val="none"/>
            </w:rPr>
            <w:t>Elmakias</w:t>
          </w:r>
          <w:proofErr w:type="spellEnd"/>
          <w:r w:rsidR="00DC77C4" w:rsidRPr="00DC77C4">
            <w:rPr>
              <w:rFonts w:ascii="Times New Roman" w:eastAsia="Times New Roman" w:hAnsi="Times New Roman" w:cs="Times New Roman"/>
              <w:color w:val="000000"/>
              <w:kern w:val="0"/>
              <w:lang w:eastAsia="en-ID"/>
              <w14:ligatures w14:val="none"/>
            </w:rPr>
            <w:t xml:space="preserve"> et al. (2026)</w:t>
          </w:r>
        </w:sdtContent>
      </w:sdt>
      <w:r>
        <w:rPr>
          <w:rFonts w:ascii="Times New Roman" w:eastAsia="Times New Roman" w:hAnsi="Times New Roman" w:cs="Times New Roman"/>
          <w:kern w:val="0"/>
          <w:lang w:eastAsia="en-ID"/>
          <w14:ligatures w14:val="none"/>
        </w:rPr>
        <w:t xml:space="preserve">. Kajian tersebut secara khusus mengulas feature stability selaku dimensi yang berbeda dari predictive performance dan memperlihatkan bahwa kestabilan subset fitur tak dapat dipandang sebagai pengganti langsung ukuran performa prediksi. Dengan kata lain, subset yang lebih stabil belum pasti otomatis menghasilkan performa prediksi yang lebih baik.</w:t>
      </w:r>
    </w:p>
    <w:p w14:paraId="491F3F5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ini memperlihatkan fenomena serupa dalam konteks temporal Bitcoin. Pada sejumlah periode, subset bisa berubah cukup besar tetapi error tak menjadi sangat tinggi. Pada periode lain, subset bisa relatif lebih stabil namun error tetap tinggi.</w:t>
      </w:r>
    </w:p>
    <w:p w14:paraId="6F9DC449" w14:textId="789D7C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memberi indikasi bahwa forecasting error dipengaruhi faktor yang lebih kompleks ketimbang sekadar tingkat overlap feature subset.</w:t>
      </w:r>
    </w:p>
    <w:p w14:paraId="1280216E"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Perbandingan</w:t>
      </w:r>
      <w:proofErr w:type="spellEnd"/>
      <w:r w:rsidRPr="00062E93">
        <w:rPr>
          <w:rFonts w:eastAsia="Times New Roman"/>
          <w:lang w:eastAsia="en-ID"/>
        </w:rPr>
        <w:t xml:space="preserve">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r w:rsidRPr="00062E93">
        <w:rPr>
          <w:rFonts w:eastAsia="Times New Roman"/>
          <w:lang w:eastAsia="en-ID"/>
        </w:rPr>
        <w:t xml:space="preserve"> </w:t>
      </w:r>
      <w:proofErr w:type="spellStart"/>
      <w:r w:rsidRPr="00062E93">
        <w:rPr>
          <w:rFonts w:eastAsia="Times New Roman"/>
          <w:lang w:eastAsia="en-ID"/>
        </w:rPr>
        <w:t>Terdahulu</w:t>
      </w:r>
      <w:proofErr w:type="spellEnd"/>
    </w:p>
    <w:p w14:paraId="588F24A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terdahulu</w:t>
      </w:r>
      <w:proofErr w:type="spellEnd"/>
      <w:r w:rsidRPr="00062E93">
        <w:rPr>
          <w:rFonts w:ascii="Times New Roman" w:eastAsia="Times New Roman" w:hAnsi="Times New Roman" w:cs="Times New Roman"/>
          <w:kern w:val="0"/>
          <w:lang w:eastAsia="en-ID"/>
          <w14:ligatures w14:val="none"/>
        </w:rPr>
        <w:t>.</w:t>
      </w:r>
    </w:p>
    <w:p w14:paraId="067DA3D0" w14:textId="5A815A4C" w:rsidR="00637A97" w:rsidRPr="00062E93" w:rsidRDefault="00000000"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223332106"/>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color w:val="000000"/>
          <w:kern w:val="0"/>
          <w:lang w:eastAsia="en-ID"/>
          <w14:ligatures w14:val="none"/>
        </w:rPr>
        <w:t xml:space="preserve"> memperlihatkan bahwa dinamika informasi yang berkaitan dengan return Bitcoin dapat berubah sepanjang waktu. Kajian itu memanfaatkan transfer entropy untuk menjalankan dynamic feature selection dan menemukan pergeseran pola information flow yang signifikan pada awal periode pandemi COVID-19. Temuan itu menopang gagasan bahwa karakteristik variabel yang relevan bagi Bitcoin tak harus tetap sepanjang periode pengamatan.</w:t>
      </w:r>
    </w:p>
    <w:p w14:paraId="1D021C2F"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sejalan pada aspek perubahan feature subset, tetapi memakai pendekatan berbeda. Perubahan ditelaah lewat rolling temporal windows dan subset Top-10 hasil XGBoost Gain, lalu perubahan antar-subset dihitung memakai Jaccard dan Kuncheva. Dengan begitu, penelitian ini menitikberatkan perhatian pada stabilitas subset fitur yang dihasilkan secara temporal.</w:t>
      </w:r>
    </w:p>
    <w:p w14:paraId="750004B2" w14:textId="101D278D" w:rsidR="00637A97" w:rsidRPr="00062E93" w:rsidRDefault="00000000"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color w:val="000000"/>
          <w:kern w:val="0"/>
          <w:lang w:eastAsia="en-ID"/>
          <w14:ligatures w14:val="none"/>
        </w:rPr>
        <w:t xml:space="preserve"> turut memperlihatkan bahwa feature selection memegang peran penting dalam forecasting cryptocurrency. Kajian itu mengevaluasi beragam teknik feature selection terhadap indikator teknikal pada sejumlah aset cryptocurrency dan melaporkan bahwa pengurangan jumlah fitur secara substansial bisa tetap mempertahankan atau bahkan meningkatkan performa model pada konfigurasi tertentu.</w:t>
      </w:r>
    </w:p>
    <w:p w14:paraId="1CC127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Akan tetapi, penelitian ini menyuguhkan perspektif yang berbeda. Fokusnya bukan menentukan metode feature selection mana yang bererror paling rendah, melainkan menguji apakah pergeseran subset antarperiode berhubungan dengan perubahan error OOS. Eksperimen memperlihatkan bahwa keterkaitan itu tak memperoleh dukungan yang konsisten pada kedua dataset.</w:t>
      </w:r>
    </w:p>
    <w:p w14:paraId="391F2A7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dua </w:t>
      </w:r>
      <w:proofErr w:type="spellStart"/>
      <w:r w:rsidRPr="00062E93">
        <w:rPr>
          <w:rFonts w:ascii="Times New Roman" w:eastAsia="Times New Roman" w:hAnsi="Times New Roman" w:cs="Times New Roman"/>
          <w:kern w:val="0"/>
          <w:lang w:eastAsia="en-ID"/>
          <w14:ligatures w14:val="none"/>
        </w:rPr>
        <w:t>pertanyaan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7BAE2EFD" w14:textId="1510C4E7" w:rsidR="00637A97" w:rsidRPr="00DE7962" w:rsidRDefault="00DE7962" w:rsidP="00062E93">
      <w:pPr>
        <w:spacing w:after="0"/>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feature selection meningkatkan forecasting performance?</m:t>
              </m:r>
            </m:e>
          </m:d>
          <m:r>
            <m:rPr>
              <m:lit/>
            </m:rPr>
            <w:rPr>
              <w:rFonts w:ascii="Cambria Math" w:eastAsia="Times New Roman" w:hAnsi="Cambria Math" w:cs="Times New Roman"/>
              <w:kern w:val="0"/>
              <w:lang w:eastAsia="en-ID"/>
              <w14:ligatures w14:val="none"/>
            </w:rPr>
            <m:t>]</m:t>
          </m:r>
        </m:oMath>
      </m:oMathPara>
    </w:p>
    <w:p w14:paraId="644D8C7B" w14:textId="0A502E35" w:rsidR="00637A97" w:rsidRPr="00DE7962" w:rsidRDefault="00DE7962" w:rsidP="00062E93">
      <w:pPr>
        <w:spacing w:before="100" w:beforeAutospacing="1" w:after="100" w:afterAutospacing="1"/>
        <w:jc w:val="both"/>
        <w:rPr>
          <w:rFonts w:ascii="Cambria Math" w:eastAsia="Times New Roman" w:hAnsi="Cambria Math" w:cs="Times New Roman"/>
          <w:kern w:val="0"/>
          <w:lang w:eastAsia="en-ID"/>
          <w:oMath/>
          <w14:ligatures w14:val="none"/>
        </w:rPr>
      </w:pPr>
      <m:oMathPara>
        <m:oMath>
          <m:r>
            <w:rPr>
              <w:rFonts w:ascii="Cambria Math" w:eastAsia="Times New Roman" w:hAnsi="Cambria Math" w:cs="Times New Roman"/>
              <w:kern w:val="0"/>
              <w:lang w:eastAsia="en-ID"/>
              <w14:ligatures w14:val="none"/>
            </w:rPr>
            <m:t>dan</m:t>
          </m:r>
        </m:oMath>
      </m:oMathPara>
    </w:p>
    <w:p w14:paraId="0E132C2B" w14:textId="028C3AB9" w:rsidR="00637A97" w:rsidRPr="00DE7962" w:rsidRDefault="00DE7962" w:rsidP="00062E93">
      <w:pPr>
        <w:spacing w:after="0"/>
        <w:jc w:val="both"/>
        <w:rPr>
          <w:rFonts w:ascii="Cambria Math" w:eastAsia="Times New Roman" w:hAnsi="Cambria Math" w:cs="Times New Roman"/>
          <w:kern w:val="0"/>
          <w:lang w:eastAsia="en-ID"/>
          <w:oMath/>
          <w14:ligatures w14:val="none"/>
        </w:rPr>
      </w:pPr>
      <w:r>
        <w:rPr>
          <w:rFonts w:ascii="Times New Roman" w:eastAsia="Times New Roman" w:hAnsi="Times New Roman" w:cs="Times New Roman"/>
        </w:rPr>
        <w:t>Apakah kestabilan feature subset berkaitan dengan forecasting error?</w:t>
      </w:r>
    </w:p>
    <w:p w14:paraId="437E96D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w:t>
      </w:r>
    </w:p>
    <w:p w14:paraId="6A6C7E74" w14:textId="2F04D18A"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ρ</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5F3C20A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arah estimasi association berlainan antar dataset. Kedua confidence interval tetap mencakup nol.</w:t>
      </w:r>
    </w:p>
    <w:p w14:paraId="792C973A" w14:textId="6530142A"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hubungan antara stability dan error tak memperlihatkan pola arah yang konsisten tatkala sumber data diganti. Hal itu menjadi alasan tambahan guna tidak menggeneralisasikan hasil penelitian selaku hubungan universal pada seluruh forecasting Bitcoin.</w:t>
      </w:r>
    </w:p>
    <w:p w14:paraId="3EB2806F" w14:textId="77777777" w:rsidR="00637A97" w:rsidRPr="00062E93" w:rsidRDefault="00637A97" w:rsidP="00DA7218">
      <w:pPr>
        <w:pStyle w:val="Heading2"/>
        <w:rPr>
          <w:rFonts w:eastAsia="Times New Roman"/>
          <w:lang w:eastAsia="en-ID"/>
        </w:rPr>
      </w:pPr>
      <w:r>
        <w:t xml:space="preserve">Pembahasan Hasil Berdasarkan Rumusan Masalah</w:t>
      </w:r>
    </w:p>
    <w:p w14:paraId="60F5FF9C" w14:textId="77777777" w:rsidR="00637A97" w:rsidRPr="00062E93" w:rsidRDefault="00637A97" w:rsidP="00DA7218">
      <w:pPr>
        <w:pStyle w:val="Heading3"/>
        <w:rPr>
          <w:rFonts w:eastAsia="Times New Roman"/>
          <w:lang w:eastAsia="en-ID"/>
        </w:rPr>
      </w:pPr>
      <w:r>
        <w:t xml:space="preserve">Rumusan Masalah 1</w:t>
      </w:r>
    </w:p>
    <w:p w14:paraId="585BE2F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penting</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setiap</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temporal pada </w:t>
      </w:r>
      <w:proofErr w:type="spellStart"/>
      <w:r w:rsidRPr="00062E93">
        <w:rPr>
          <w:rFonts w:ascii="Times New Roman" w:eastAsia="Times New Roman" w:hAnsi="Times New Roman" w:cs="Times New Roman"/>
          <w:b/>
          <w:bCs/>
          <w:kern w:val="0"/>
          <w:lang w:eastAsia="en-ID"/>
          <w14:ligatures w14:val="none"/>
        </w:rPr>
        <w:t>prediksi</w:t>
      </w:r>
      <w:proofErr w:type="spellEnd"/>
      <w:r w:rsidRPr="00062E93">
        <w:rPr>
          <w:rFonts w:ascii="Times New Roman" w:eastAsia="Times New Roman" w:hAnsi="Times New Roman" w:cs="Times New Roman"/>
          <w:b/>
          <w:bCs/>
          <w:kern w:val="0"/>
          <w:lang w:eastAsia="en-ID"/>
          <w14:ligatures w14:val="none"/>
        </w:rPr>
        <w:t xml:space="preserve"> Bitcoin?</w:t>
      </w:r>
    </w:p>
    <w:p w14:paraId="581F92D2" w14:textId="727204A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memperlihatkan bahwa subset Top-10 hasil XGBoost Gain bergeser dari satu temporal window ke temporal window berikutnya. Pergeseran itu tampak dari nilai Jaccard yang tidak konstan pada kedua dataset. Binance berentang 0,1111–0,6667, sedangkan Coinbase 0,1765–0,5385.</w:t>
      </w:r>
    </w:p>
    <w:p w14:paraId="4E5061B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fitur yang terpilih XGBoost tak dapat dianggap tetap sepanjang periode penelitian.</w:t>
      </w:r>
    </w:p>
    <w:p w14:paraId="7CC2C5F5" w14:textId="77777777" w:rsidR="00637A97" w:rsidRPr="00062E93" w:rsidRDefault="00637A97" w:rsidP="00DA7218">
      <w:pPr>
        <w:pStyle w:val="Heading3"/>
        <w:rPr>
          <w:rFonts w:eastAsia="Times New Roman"/>
          <w:lang w:eastAsia="en-ID"/>
        </w:rPr>
      </w:pPr>
      <w:r>
        <w:t xml:space="preserve">Rumusan Masalah 2</w:t>
      </w:r>
    </w:p>
    <w:p w14:paraId="5731459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antarperiode</w:t>
      </w:r>
      <w:proofErr w:type="spellEnd"/>
      <w:r w:rsidRPr="00062E93">
        <w:rPr>
          <w:rFonts w:ascii="Times New Roman" w:eastAsia="Times New Roman" w:hAnsi="Times New Roman" w:cs="Times New Roman"/>
          <w:b/>
          <w:bCs/>
          <w:kern w:val="0"/>
          <w:lang w:eastAsia="en-ID"/>
          <w14:ligatures w14:val="none"/>
        </w:rPr>
        <w:t>?</w:t>
      </w:r>
    </w:p>
    <w:p w14:paraId="18474F74" w14:textId="1D64DC7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Tingkat stability memperlihatkan variasi antarperiode. Mean Jaccard sebesar 0,3680 pada Binance dan 0,3898 pada Coinbase menandakan bahwa feature subset cukup sering bergeser antar-window. Di saat yang sama, adanya sejumlah fitur berfrekuensi pemilihan tinggi memperlihatkan bahwa sebagian fitur individual tetap muncul berulang kali.</w:t>
      </w:r>
    </w:p>
    <w:p w14:paraId="02BFE551"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hasil membedakan antara stabilitas fitur individual dan stabilitas keseluruhan subset. Sebuah fitur bisa sering dipilih, namun komposisi Top-10 secara menyeluruh tetap bergeser.</w:t>
      </w:r>
    </w:p>
    <w:p w14:paraId="16CD158B" w14:textId="77777777" w:rsidR="00637A97" w:rsidRPr="00062E93" w:rsidRDefault="00637A97" w:rsidP="00DA7218">
      <w:pPr>
        <w:pStyle w:val="Heading3"/>
        <w:rPr>
          <w:rFonts w:eastAsia="Times New Roman"/>
          <w:lang w:eastAsia="en-ID"/>
        </w:rPr>
      </w:pPr>
      <w:r>
        <w:t xml:space="preserve">Rumusan Masalah 3</w:t>
      </w:r>
    </w:p>
    <w:p w14:paraId="54C0230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Apakah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terdapat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forecasting error out-of-sample?</w:t>
      </w:r>
    </w:p>
    <w:p w14:paraId="6A0DAB59"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korelasi Spearman memperlihatkan ρ=-0,2047 pada Binance dan ρ=+0,2385 pada Coinbase. Kedua confidence interval mencakup nol.</w:t>
      </w:r>
    </w:p>
    <w:p w14:paraId="29735850"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belum ada bukti yang cukup kuat guna menyatakan adanya hubungan yang konsisten antara temporal feature-subset stability dan forecasting error OOS pada konfigurasi penelitian ini.</w:t>
      </w:r>
    </w:p>
    <w:p w14:paraId="7E33A914" w14:textId="66CD9356"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tak dapat dipakai guna menyatakan bahwa hubungan stability-error tak pernah ada. Kesimpulan cuma berlaku pada data, feature universe, metode feature selection, konfigurasi temporal windows, dan model forecasting yang dipakai dalam eksperimen.</w:t>
      </w:r>
    </w:p>
    <w:p w14:paraId="1EEA6033"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Hipotesis</w:t>
      </w:r>
      <w:proofErr w:type="spellEnd"/>
    </w:p>
    <w:p w14:paraId="207948C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w:t>
      </w:r>
    </w:p>
    <w:p w14:paraId="67EA33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 xml:space="preserve">H1: Ada hubungan antara temporal feature-subset stability dan forecasting error pada periode out-of-sample Bitcoin.</w:t>
      </w:r>
    </w:p>
    <w:p w14:paraId="1EB5EA2B"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tak memberi dukungan empiris yang cukup terhadap hipotesis tersebut pada kedua dataset.</w:t>
      </w:r>
    </w:p>
    <w:p w14:paraId="43E5490A"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korelasi Spearman bernilai negatif, yakni -0,2047, dengan confidence interval [-0,3890; 0,1151]. Pada Coinbase, korelasinya bernilai positif, yakni 0,2385, dengan confidence interval [-0,0508; 0,5070]. Lantaran kedua confidence interval mencakup nol dan arah estimasinya berlainan, tak ditemukan association yang konsisten antar dataset.</w:t>
      </w:r>
    </w:p>
    <w:p w14:paraId="4E2FE12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status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dinyatakan</w:t>
      </w:r>
      <w:proofErr w:type="spellEnd"/>
      <w:r w:rsidRPr="00062E93">
        <w:rPr>
          <w:rFonts w:ascii="Times New Roman" w:eastAsia="Times New Roman" w:hAnsi="Times New Roman" w:cs="Times New Roman"/>
          <w:kern w:val="0"/>
          <w:lang w:eastAsia="en-ID"/>
          <w14:ligatures w14:val="none"/>
        </w:rPr>
        <w:t>:</w:t>
      </w:r>
    </w:p>
    <w:p w14:paraId="1DDE14F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dukungan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empiris</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w:t>
      </w:r>
    </w:p>
    <w:p w14:paraId="43616343" w14:textId="0A25856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Pernyataan itu tak berarti bahwa hubungan stability-error terbukti tidak ada secara universal, melainkan memperlihatkan bahwa bukti yang diperoleh dari sampel eksperimen belum memadai guna mendukung hipotesis.</w:t>
      </w:r>
    </w:p>
    <w:p w14:paraId="0A29E7C5" w14:textId="77777777" w:rsidR="00637A97" w:rsidRPr="00062E93" w:rsidRDefault="00637A97" w:rsidP="00DA7218">
      <w:pPr>
        <w:pStyle w:val="Heading2"/>
        <w:rPr>
          <w:rFonts w:eastAsia="Times New Roman"/>
          <w:lang w:eastAsia="en-ID"/>
        </w:rPr>
      </w:pPr>
      <w:r w:rsidRPr="00062E93">
        <w:rPr>
          <w:rFonts w:eastAsia="Times New Roman"/>
          <w:lang w:eastAsia="en-ID"/>
        </w:rPr>
        <w:lastRenderedPageBreak/>
        <w:t xml:space="preserve"/>
      </w:r>
      <w:proofErr w:type="spellStart"/>
      <w:r w:rsidRPr="00062E93">
        <w:rPr>
          <w:rFonts w:eastAsia="Times New Roman"/>
          <w:lang w:eastAsia="en-ID"/>
        </w:rPr>
        <w:t>Keterbatasan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p>
    <w:p w14:paraId="04AD2FA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diperhatikan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w:t>
      </w:r>
    </w:p>
    <w:p w14:paraId="030A17A0" w14:textId="16D5BDAA"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Jumlah pasangan untuk analisis association relatif terbatas, yakni 21 pasangan pada Binance dan 30 pasangan pada Coinbase. Karena itu, estimasi korelasi menyimpan ketidakpastian yang cukup besar dan confidence interval-nya masih cukup lebar.</w:t>
      </w:r>
    </w:p>
    <w:p w14:paraId="35391590" w14:textId="176D8CE1"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Penelitian memakai feature universe 30 fitur dengan ukuran subset tetap K=10. Karena itu, hasil stability cuma menggambarkan konfigurasi feature universe dan ukuran subset tersebut, bukan karakteristik universal dari semua kemungkinan feature selection.</w:t>
      </w:r>
    </w:p>
    <w:p w14:paraId="69FD173E" w14:textId="50932CD3"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importance berasal dari XGBoost Gain. Sebab sejumlah fitur dapat saling berkorelasi, perubahan ranking importance tak selalu menandakan perubahan fundamental pada informasi prediktif yang tersedia.</w:t>
      </w:r>
    </w:p>
    <w:p w14:paraId="2D71A5E1" w14:textId="74694937"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memakai satu target, yakni next-period log return, pada data harian. Oleh karena itu, hasil tidak otomatis dapat digeneralisasikan ke horizon lain, frekuensi intraday, target harga langsung, maupun target volatilitas.</w:t>
      </w:r>
    </w:p>
    <w:p w14:paraId="7BF561FB" w14:textId="33243F79"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association bersifat observasional, sehingga tak boleh ditafsirkan sebagai hubungan kausal. Nilai Jaccard yang berubah tidak membuktikan bahwa perubahan itu menyebabkan error forecasting naik atau turun.</w:t>
      </w:r>
    </w:p>
    <w:p w14:paraId="59C568B6" w14:textId="475F520C"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Pengukuran stability pun relevan dengan penelitian </w:t>
      </w:r>
      <w:sdt>
        <w:sdtPr>
          <w:rPr>
            <w:rFonts w:ascii="Times New Roman" w:hAnsi="Times New Roman" w:cs="Times New Roman"/>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ukuran stability klasik menyimpan keterbatasan tatkala menghadapi dinamika data dan distribusi yang berubah.</w:t>
      </w:r>
    </w:p>
    <w:p w14:paraId="054F0029" w14:textId="77777777" w:rsidR="00637A97" w:rsidRPr="00062E93" w:rsidRDefault="00637A97" w:rsidP="00DA7218">
      <w:pPr>
        <w:pStyle w:val="Heading2"/>
        <w:rPr>
          <w:rFonts w:eastAsia="Times New Roman"/>
          <w:lang w:eastAsia="en-ID"/>
        </w:rPr>
      </w:pPr>
      <w:r>
        <w:t xml:space="preserve">Ringkasan Temuan Utama</w:t>
      </w:r>
    </w:p>
    <w:p w14:paraId="42C5E9E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w:t>
      </w:r>
    </w:p>
    <w:p w14:paraId="3DAB27EC"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Pertama, feature subset XGBoost berubah antar temporal window. Hal itu tampak dari variasi nilai Jaccard pada Binance dan Coinbase.</w:t>
      </w:r>
    </w:p>
    <w:p w14:paraId="6A275CE0" w14:textId="190AF01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Kedua, sejumlah fitur memperlihatkan persistence individual, dengan bb_percent_b_20 sebagai fitur yang paling kerap dipilih pada kedua dataset. Namun persistence itu tak berarti keseluruhan Top-10 subset selalu sama.</w:t>
      </w:r>
    </w:p>
    <w:p w14:paraId="0322FCE8"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Ketiga, forecasting error tak memperlihatkan keunggulan XGBoost yang konsisten terhadap baseline zero-return. Mean MAE XGBoost lebih tinggi dibanding baseline pada kedua dataset.</w:t>
      </w:r>
    </w:p>
    <w:p w14:paraId="704D0999" w14:textId="7FBC606B"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Keempat, yang menjadi temuan utama penelitian, bukti yang cukup kuat ihwal hubungan konsisten antara feature-subset stability dan forecasting error OOS belum ditemukan. Binance memberi ρ=-0,2047, sedangkan Coinbase memberi ρ=+0,2385, dan kedua confidence interval mencakup nol.</w:t>
      </w:r>
    </w:p>
    <w:p w14:paraId="567631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memperlihatkan bahwa perubahan feature subset ialah fenomena nyata dalam eksperimen, tetapi tingkat perubahan tersebut tak memperlihatkan hubungan yang konsisten dengan forecasting error pada periode out-of-sample.</w:t>
      </w:r>
    </w:p>
    <w:p w14:paraId="6839A65F" w14:textId="2342D304" w:rsidR="00637A97" w:rsidRPr="00062E93" w:rsidRDefault="00637A97" w:rsidP="00DA7218">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itu sejalan dengan pandangan dalam literatur feature-selection stability bahwa stability dan predictive performance ialah dua dimensi berbeda yang perlu dievaluasi secara terpisah.</w:t>
      </w:r>
    </w:p>
    <w:p w14:paraId="29B28279" w14:textId="77777777" w:rsidR="00DA7218" w:rsidRDefault="00DA7218">
      <w:pPr>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06B07331" w14:textId="4EE45C37" w:rsidR="00637A97" w:rsidRPr="00062E93" w:rsidRDefault="00637A97" w:rsidP="00DA7218">
      <w:pPr>
        <w:pStyle w:val="Heading1"/>
        <w:rPr>
          <w:rFonts w:eastAsia="Times New Roman"/>
          <w:lang w:eastAsia="en-ID"/>
        </w:rPr>
      </w:pPr>
      <w:r w:rsidRPr="00062E93">
        <w:rPr>
          <w:rFonts w:eastAsia="Times New Roman"/>
          <w:lang w:eastAsia="en-ID"/>
        </w:rPr>
        <w:lastRenderedPageBreak/>
        <w:t xml:space="preserve">Daftar </w:t>
      </w:r>
      <w:proofErr w:type="spellStart"/>
      <w:r w:rsidRPr="00062E93">
        <w:rPr>
          <w:rFonts w:eastAsia="Times New Roman"/>
          <w:lang w:eastAsia="en-ID"/>
        </w:rPr>
        <w:t>Pustaka</w:t>
      </w:r>
      <w:proofErr w:type="spellEnd"/>
    </w:p>
    <w:sdt>
      <w:sdtPr>
        <w:rPr>
          <w:rFonts w:ascii="Times New Roman" w:eastAsia="Times New Roman" w:hAnsi="Times New Roman" w:cs="Times New Roman"/>
          <w:color w:val="000000"/>
          <w:kern w:val="0"/>
          <w:lang w:eastAsia="en-ID"/>
          <w14:ligatures w14:val="none"/>
        </w:rPr>
        <w:tag w:val="MENDELEY_BIBLIOGRAPHY"/>
        <w:id w:val="-940381183"/>
        <w:placeholder>
          <w:docPart w:val="DefaultPlaceholder_-1854013440"/>
        </w:placeholder>
      </w:sdtPr>
      <w:sdtContent>
        <w:p w14:paraId="4218E3ED" w14:textId="77777777" w:rsidR="00DA7218" w:rsidRPr="00DA7218" w:rsidRDefault="00DA7218">
          <w:pPr>
            <w:autoSpaceDE w:val="0"/>
            <w:autoSpaceDN w:val="0"/>
            <w:ind w:hanging="480"/>
            <w:divId w:val="623124055"/>
            <w:rPr>
              <w:rFonts w:ascii="Times New Roman" w:eastAsia="Times New Roman" w:hAnsi="Times New Roman" w:cs="Times New Roman"/>
              <w:color w:val="000000"/>
              <w:kern w:val="0"/>
              <w14:ligatures w14:val="none"/>
            </w:rPr>
          </w:pPr>
          <w:r w:rsidRPr="00DA7218">
            <w:rPr>
              <w:rFonts w:ascii="Times New Roman" w:eastAsia="Times New Roman" w:hAnsi="Times New Roman" w:cs="Times New Roman"/>
              <w:color w:val="000000"/>
            </w:rPr>
            <w:t xml:space="preserve">Barak S, P. N. (2023). </w:t>
          </w:r>
          <w:r w:rsidRPr="00DA7218">
            <w:rPr>
              <w:rFonts w:ascii="Times New Roman" w:eastAsia="Times New Roman" w:hAnsi="Times New Roman" w:cs="Times New Roman"/>
              <w:i/>
              <w:iCs/>
              <w:color w:val="000000"/>
            </w:rPr>
            <w:t>Transfer-entropy-based dynamic feature selection for evaluating Bitcoin price drivers</w:t>
          </w:r>
          <w:r w:rsidRPr="00DA7218">
            <w:rPr>
              <w:rFonts w:ascii="Times New Roman" w:eastAsia="Times New Roman" w:hAnsi="Times New Roman" w:cs="Times New Roman"/>
              <w:color w:val="000000"/>
            </w:rPr>
            <w:t>. https://doi.org/https://doi.org/10.1002/fut.22453</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Bysik</w:t>
          </w:r>
          <w:proofErr w:type="spellEnd"/>
          <w:r w:rsidRPr="00DA7218">
            <w:rPr>
              <w:rFonts w:ascii="Times New Roman" w:eastAsia="Times New Roman" w:hAnsi="Times New Roman" w:cs="Times New Roman"/>
              <w:color w:val="000000"/>
            </w:rPr>
            <w:t xml:space="preserve">, A., &amp; </w:t>
          </w:r>
          <w:proofErr w:type="spellStart"/>
          <w:r w:rsidRPr="00DA7218">
            <w:rPr>
              <w:rFonts w:ascii="Times New Roman" w:eastAsia="Times New Roman" w:hAnsi="Times New Roman" w:cs="Times New Roman"/>
              <w:color w:val="000000"/>
            </w:rPr>
            <w:t>Ślepaczuk</w:t>
          </w:r>
          <w:proofErr w:type="spellEnd"/>
          <w:r w:rsidRPr="00DA7218">
            <w:rPr>
              <w:rFonts w:ascii="Times New Roman" w:eastAsia="Times New Roman" w:hAnsi="Times New Roman" w:cs="Times New Roman"/>
              <w:color w:val="000000"/>
            </w:rPr>
            <w:t xml:space="preserve">, R. (2026). </w:t>
          </w:r>
          <w:r w:rsidRPr="00DA7218">
            <w:rPr>
              <w:rFonts w:ascii="Times New Roman" w:eastAsia="Times New Roman" w:hAnsi="Times New Roman" w:cs="Times New Roman"/>
              <w:i/>
              <w:iCs/>
              <w:color w:val="000000"/>
            </w:rPr>
            <w:t xml:space="preserve">Machine Learning-Based Bitcoin Trading Under Transaction Costs: Evidence </w:t>
          </w:r>
          <w:proofErr w:type="gramStart"/>
          <w:r w:rsidRPr="00DA7218">
            <w:rPr>
              <w:rFonts w:ascii="Times New Roman" w:eastAsia="Times New Roman" w:hAnsi="Times New Roman" w:cs="Times New Roman"/>
              <w:i/>
              <w:iCs/>
              <w:color w:val="000000"/>
            </w:rPr>
            <w:t>From</w:t>
          </w:r>
          <w:proofErr w:type="gramEnd"/>
          <w:r w:rsidRPr="00DA7218">
            <w:rPr>
              <w:rFonts w:ascii="Times New Roman" w:eastAsia="Times New Roman" w:hAnsi="Times New Roman" w:cs="Times New Roman"/>
              <w:i/>
              <w:iCs/>
              <w:color w:val="000000"/>
            </w:rPr>
            <w:t xml:space="preserve"> Walk-Forward Forecasting</w:t>
          </w:r>
          <w:r w:rsidRPr="00DA7218">
            <w:rPr>
              <w:rFonts w:ascii="Times New Roman" w:eastAsia="Times New Roman" w:hAnsi="Times New Roman" w:cs="Times New Roman"/>
              <w:color w:val="000000"/>
            </w:rPr>
            <w:t>. http://arxiv.org/abs/2606.00060</w:t>
          </w:r>
        </w:p>
        <w:p w14:paraId="4967673E" w14:textId="77777777" w:rsidR="00DA7218" w:rsidRPr="00DA7218" w:rsidRDefault="00DA7218">
          <w:pPr>
            <w:autoSpaceDE w:val="0"/>
            <w:autoSpaceDN w:val="0"/>
            <w:ind w:hanging="480"/>
            <w:divId w:val="634602956"/>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Elmakias</w:t>
          </w:r>
          <w:proofErr w:type="spellEnd"/>
          <w:r w:rsidRPr="00DA7218">
            <w:rPr>
              <w:rFonts w:ascii="Times New Roman" w:eastAsia="Times New Roman" w:hAnsi="Times New Roman" w:cs="Times New Roman"/>
              <w:color w:val="000000"/>
            </w:rPr>
            <w:t xml:space="preserve">, I., Kolsky, D., &amp; </w:t>
          </w:r>
          <w:proofErr w:type="spellStart"/>
          <w:r w:rsidRPr="00DA7218">
            <w:rPr>
              <w:rFonts w:ascii="Times New Roman" w:eastAsia="Times New Roman" w:hAnsi="Times New Roman" w:cs="Times New Roman"/>
              <w:color w:val="000000"/>
            </w:rPr>
            <w:t>Vilenchik</w:t>
          </w:r>
          <w:proofErr w:type="spellEnd"/>
          <w:r w:rsidRPr="00DA7218">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DA7218">
            <w:rPr>
              <w:rFonts w:ascii="Times New Roman" w:eastAsia="Times New Roman" w:hAnsi="Times New Roman" w:cs="Times New Roman"/>
              <w:i/>
              <w:iCs/>
              <w:color w:val="000000"/>
            </w:rPr>
            <w:t>Mathematics</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14</w:t>
          </w:r>
          <w:r w:rsidRPr="00DA7218">
            <w:rPr>
              <w:rFonts w:ascii="Times New Roman" w:eastAsia="Times New Roman" w:hAnsi="Times New Roman" w:cs="Times New Roman"/>
              <w:color w:val="000000"/>
            </w:rPr>
            <w:t>(13). https://doi.org/10.3390/math14132372</w:t>
          </w:r>
        </w:p>
        <w:p w14:paraId="1EF08B9E" w14:textId="77777777" w:rsidR="00DA7218" w:rsidRPr="00DA7218" w:rsidRDefault="00DA7218">
          <w:pPr>
            <w:autoSpaceDE w:val="0"/>
            <w:autoSpaceDN w:val="0"/>
            <w:ind w:hanging="480"/>
            <w:divId w:val="2003921512"/>
            <w:rPr>
              <w:rFonts w:ascii="Times New Roman" w:eastAsia="Times New Roman" w:hAnsi="Times New Roman" w:cs="Times New Roman"/>
              <w:color w:val="000000"/>
            </w:rPr>
          </w:pPr>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T., &amp; Rosenfeld, A. (2024). A new definition for feature selection stability analysis. </w:t>
          </w:r>
          <w:r w:rsidRPr="00DA7218">
            <w:rPr>
              <w:rFonts w:ascii="Times New Roman" w:eastAsia="Times New Roman" w:hAnsi="Times New Roman" w:cs="Times New Roman"/>
              <w:i/>
              <w:iCs/>
              <w:color w:val="000000"/>
            </w:rPr>
            <w:t>Annals of Mathematics and Artificial Intelligence</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92</w:t>
          </w:r>
          <w:r w:rsidRPr="00DA7218">
            <w:rPr>
              <w:rFonts w:ascii="Times New Roman" w:eastAsia="Times New Roman" w:hAnsi="Times New Roman" w:cs="Times New Roman"/>
              <w:color w:val="000000"/>
            </w:rPr>
            <w:t>(3), 753–770. https://doi.org/10.1007/s10472-024-09936-8</w:t>
          </w:r>
        </w:p>
        <w:p w14:paraId="0D28FAED" w14:textId="77777777" w:rsidR="00DA7218" w:rsidRPr="00DA7218" w:rsidRDefault="00DA7218">
          <w:pPr>
            <w:autoSpaceDE w:val="0"/>
            <w:autoSpaceDN w:val="0"/>
            <w:ind w:hanging="480"/>
            <w:divId w:val="1992564787"/>
            <w:rPr>
              <w:rFonts w:ascii="Times New Roman" w:eastAsia="Times New Roman" w:hAnsi="Times New Roman" w:cs="Times New Roman"/>
              <w:color w:val="000000"/>
            </w:rPr>
          </w:pPr>
          <w:r w:rsidRPr="00DA7218">
            <w:rPr>
              <w:rFonts w:ascii="Times New Roman" w:eastAsia="Times New Roman" w:hAnsi="Times New Roman" w:cs="Times New Roman"/>
              <w:color w:val="000000"/>
            </w:rPr>
            <w:t xml:space="preserve">Nogueira, S., </w:t>
          </w:r>
          <w:proofErr w:type="spellStart"/>
          <w:r w:rsidRPr="00DA7218">
            <w:rPr>
              <w:rFonts w:ascii="Times New Roman" w:eastAsia="Times New Roman" w:hAnsi="Times New Roman" w:cs="Times New Roman"/>
              <w:color w:val="000000"/>
            </w:rPr>
            <w:t>Sechidis</w:t>
          </w:r>
          <w:proofErr w:type="spellEnd"/>
          <w:r w:rsidRPr="00DA7218">
            <w:rPr>
              <w:rFonts w:ascii="Times New Roman" w:eastAsia="Times New Roman" w:hAnsi="Times New Roman" w:cs="Times New Roman"/>
              <w:color w:val="000000"/>
            </w:rPr>
            <w:t xml:space="preserve">, K., &amp; Brown, G. (2018). On the Stability of Feature Selection Algorithms. In </w:t>
          </w:r>
          <w:r w:rsidRPr="00DA7218">
            <w:rPr>
              <w:rFonts w:ascii="Times New Roman" w:eastAsia="Times New Roman" w:hAnsi="Times New Roman" w:cs="Times New Roman"/>
              <w:i/>
              <w:iCs/>
              <w:color w:val="000000"/>
            </w:rPr>
            <w:t>Journal of Machine Learning Research</w:t>
          </w:r>
          <w:r w:rsidRPr="00DA7218">
            <w:rPr>
              <w:rFonts w:ascii="Times New Roman" w:eastAsia="Times New Roman" w:hAnsi="Times New Roman" w:cs="Times New Roman"/>
              <w:color w:val="000000"/>
            </w:rPr>
            <w:t xml:space="preserve"> (Vol. 18). http://jmlr.org/papers/v18/17-514.html.</w:t>
          </w:r>
        </w:p>
        <w:p w14:paraId="782F175B" w14:textId="77777777" w:rsidR="00DA7218" w:rsidRPr="00DA7218" w:rsidRDefault="00DA7218">
          <w:pPr>
            <w:autoSpaceDE w:val="0"/>
            <w:autoSpaceDN w:val="0"/>
            <w:ind w:hanging="480"/>
            <w:divId w:val="1397699044"/>
            <w:rPr>
              <w:rFonts w:ascii="Times New Roman" w:eastAsia="Times New Roman" w:hAnsi="Times New Roman" w:cs="Times New Roman"/>
              <w:color w:val="000000"/>
            </w:rPr>
          </w:pPr>
          <w:r w:rsidRPr="00DA7218">
            <w:rPr>
              <w:rFonts w:ascii="Times New Roman" w:eastAsia="Times New Roman" w:hAnsi="Times New Roman" w:cs="Times New Roman"/>
              <w:color w:val="000000"/>
            </w:rPr>
            <w:t xml:space="preserve">Youssefi, A. El, </w:t>
          </w:r>
          <w:proofErr w:type="spellStart"/>
          <w:r w:rsidRPr="00DA7218">
            <w:rPr>
              <w:rFonts w:ascii="Times New Roman" w:eastAsia="Times New Roman" w:hAnsi="Times New Roman" w:cs="Times New Roman"/>
              <w:color w:val="000000"/>
            </w:rPr>
            <w:t>Hessane</w:t>
          </w:r>
          <w:proofErr w:type="spellEnd"/>
          <w:r w:rsidRPr="00DA7218">
            <w:rPr>
              <w:rFonts w:ascii="Times New Roman" w:eastAsia="Times New Roman" w:hAnsi="Times New Roman" w:cs="Times New Roman"/>
              <w:color w:val="000000"/>
            </w:rPr>
            <w:t xml:space="preserve">, A., Zeroual, I., &amp; </w:t>
          </w:r>
          <w:proofErr w:type="spellStart"/>
          <w:r w:rsidRPr="00DA7218">
            <w:rPr>
              <w:rFonts w:ascii="Times New Roman" w:eastAsia="Times New Roman" w:hAnsi="Times New Roman" w:cs="Times New Roman"/>
              <w:color w:val="000000"/>
            </w:rPr>
            <w:t>Farhaoui</w:t>
          </w:r>
          <w:proofErr w:type="spellEnd"/>
          <w:r w:rsidRPr="00DA7218">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DA7218">
            <w:rPr>
              <w:rFonts w:ascii="Times New Roman" w:eastAsia="Times New Roman" w:hAnsi="Times New Roman" w:cs="Times New Roman"/>
              <w:i/>
              <w:iCs/>
              <w:color w:val="000000"/>
            </w:rPr>
            <w:t>Computers, Materials and Continua</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83</w:t>
          </w:r>
          <w:r w:rsidRPr="00DA7218">
            <w:rPr>
              <w:rFonts w:ascii="Times New Roman" w:eastAsia="Times New Roman" w:hAnsi="Times New Roman" w:cs="Times New Roman"/>
              <w:color w:val="000000"/>
            </w:rPr>
            <w:t>(2), 3411–3433. https://doi.org/10.32604/cmc.2025.063218</w:t>
          </w:r>
        </w:p>
        <w:p w14:paraId="69703645" w14:textId="41A00647" w:rsidR="000F72AF" w:rsidRPr="00DA7218" w:rsidRDefault="00DA7218"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color w:val="000000"/>
            </w:rPr>
            <w:t> </w:t>
          </w:r>
        </w:p>
      </w:sdtContent>
    </w:sdt>
    <w:sectPr w:rsidR="000F72AF" w:rsidRPr="00DA7218">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053232673">
    <w:abstractNumId w:val="0"/>
  </w:num>
  <w:num w:numId="2" w16cid:durableId="1904759182">
    <w:abstractNumId w:val="1"/>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397358"/>
    <w:rsid w:val="00637A97"/>
    <w:rsid w:val="009134A1"/>
    <w:rsid w:val="009F1E36"/>
    <w:rsid w:val="00A01901"/>
    <w:rsid w:val="00DA7218"/>
    <w:rsid w:val="00DC77C4"/>
    <w:rsid w:val="00DE7962"/>
    <w:rsid w:val="00EB2133"/>
    <w:rsid w:val="00FC64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0194"/>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pPr>
      <w:spacing w:line="480" w:lineRule="auto"/>
    </w:pPr>
    <w:name w:val="Normal"/>
    <w:qFormat/>
  </w:style>
  <w:style w:type="paragraph" w:styleId="Heading1">
    <w:name w:val="heading 1"/>
    <w:basedOn w:val="Normal"/>
    <w:next w:val="Normal"/>
    <w:link w:val="Heading1Char"/>
    <w:autoRedefine/>
    <w:uiPriority w:val="9"/>
    <w:qFormat/>
    <w:rsid w:val="00062E93"/>
    <w:pPr>
      <w:keepNext/>
      <w:keepLines/>
      <w:numPr>
        <w:ilvl w:val="0"/>
        <w:numId w:val="950"/>
      </w:numPr>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numPr>
        <w:ilvl w:val="1"/>
        <w:numId w:val="950"/>
      </w:numPr>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numPr>
        <w:ilvl w:val="2"/>
        <w:numId w:val="950"/>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062E93"/>
    <w:pPr>
      <w:keepNext/>
      <w:keepLines/>
      <w:numPr>
        <w:ilvl w:val="3"/>
        <w:numId w:val="950"/>
      </w:numPr>
      <w:spacing w:before="80" w:after="4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062E9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37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97"/>
    <w:rPr>
      <w:rFonts w:eastAsiaTheme="majorEastAsia" w:cstheme="majorBidi"/>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i/>
      <w:iCs/>
      <w:color w:val="404040" w:themeColor="text1" w:themeTint="BF"/>
    </w:rPr>
  </w:style>
  <w:style w:type="character" w:customStyle="1" w:styleId="QuoteChar">
    <w:name w:val="Quote Char"/>
    <w:basedOn w:val="DefaultParagraphFont"/>
    <w:link w:val="Quote"/>
    <w:uiPriority w:val="29"/>
    <w:rsid w:val="00637A97"/>
    <w:rPr>
      <w:i/>
      <w:iCs/>
      <w:color w:val="404040" w:themeColor="text1" w:themeTint="BF"/>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i/>
      <w:iCs/>
      <w:color w:val="0F4761" w:themeColor="accent1" w:themeShade="BF"/>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97"/>
    <w:rPr>
      <w:i/>
      <w:iCs/>
      <w:color w:val="0F4761" w:themeColor="accent1" w:themeShade="BF"/>
    </w:rPr>
  </w:style>
  <w:style w:type="character" w:styleId="IntenseReference">
    <w:name w:val="Intense Reference"/>
    <w:basedOn w:val="DefaultParagraphFont"/>
    <w:uiPriority w:val="32"/>
    <w:qFormat/>
    <w:rsid w:val="00637A97"/>
    <w:rPr>
      <w:b/>
      <w:bCs/>
      <w:smallCaps/>
      <w:color w:val="0F4761" w:themeColor="accent1" w:themeShade="BF"/>
      <w:spacing w:val="5"/>
    </w:rPr>
  </w:style>
  <w:style w:type="character" w:styleId="Hyperlink">
    <w:name w:val="Hyperlink"/>
    <w:basedOn w:val="DefaultParagraphFont"/>
    <w:uiPriority w:val="99"/>
    <w:unhideWhenUsed/>
    <w:rsid w:val="00637A97"/>
    <w:rPr>
      <w:color w:val="467886" w:themeColor="hyperlink"/>
      <w:u w:val="single"/>
    </w:rPr>
  </w:style>
  <w:style w:type="character" w:styleId="UnresolvedMention">
    <w:name w:val="Unresolved Mention"/>
    <w:basedOn w:val="DefaultParagraphFont"/>
    <w:uiPriority w:val="99"/>
    <w:semiHidden/>
    <w:unhideWhenUsed/>
    <w:rsid w:val="00637A97"/>
    <w:rPr>
      <w:color w:val="605E5C"/>
      <w:shd w:val="clear" w:color="auto" w:fill="E1DFDD"/>
    </w:rPr>
  </w:style>
  <w:style w:type="character" w:styleId="PlaceholderText">
    <w:name w:val="Placeholder Text"/>
    <w:basedOn w:val="DefaultParagraphFont"/>
    <w:uiPriority w:val="99"/>
    <w:semiHidden/>
    <w:rsid w:val="00062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68773F"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0761B0"/>
    <w:rsid w:val="005161F2"/>
    <w:rsid w:val="0068773F"/>
    <w:rsid w:val="007419F6"/>
    <w:rsid w:val="007D1503"/>
    <w:rsid w:val="009F1E36"/>
    <w:rsid w:val="00EB21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787472"/>
    <we:property name="MENDELEY_CITATIONS" value="[{&quot;citationID&quot;:&quot;MENDELEY_CITATION_4b2b0d5f-714e-4e57-9a99-1362a816828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c8063dd3-cc99-4554-a0cd-18ade19f636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5292-0310-4EE5-B263-4ABEA7C4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2026-09-29T18:23:00Z</dcterms:created>
  <dcterms:modified xsi:type="dcterms:W3CDTF">2026-10-05T00:05:00Z</dcterms:modified>
</cp:coreProperties>
</file>