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2880"/>
        <w:gridCol w:w="1590"/>
        <w:gridCol w:w="1313"/>
        <w:gridCol w:w="1421"/>
      </w:tblGrid>
      <w:tr w:rsidR="00624A49" w:rsidRPr="00624A49" w:rsidTr="00624A49">
        <w:trPr>
          <w:tblHeader/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bookmarkStart w:id="0" w:name="_GoBack" w:colFirst="5" w:colLast="5"/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Structural Element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Minimum Reinforcement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Maximum Reinforcement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Key IS Code Reference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Important Detailing Notes</w:t>
            </w:r>
          </w:p>
        </w:tc>
      </w:tr>
      <w:bookmarkEnd w:id="0"/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Beams (Tension Steel)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frac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{A_s}{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bd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} = 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frac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{0.85}{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f_y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}$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(~0.17% for Fe 500)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4.0%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 ($b 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cdot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D$)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456:2000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Clause 26.5.1.1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Max limit prevents steel congestion so concrete can flow smoothly around bars.</w:t>
            </w:r>
          </w:p>
        </w:tc>
      </w:tr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Beams (Compression)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No theoretical minimum </w:t>
            </w:r>
            <w:r w:rsidRPr="00624A4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(use 2 anchor bars)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4.0%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 ($b 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cdot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D$)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456:2000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Clause 26.5.1.2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Total steel (Tension + Compression) should not practically exceed 8%.</w:t>
            </w:r>
          </w:p>
        </w:tc>
      </w:tr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Beams (Seismic / Ductile)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frac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{0.24\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sqrt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{f_{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ck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}}}{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f_y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}$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(~0.24% for M25/Fe500)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2.5%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 ($b 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cdot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D$)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13920:2016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Clause 6.2.1 &amp; 6.2.2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lower maximum limit (2.5%) ensures the beam fails in a ductile manner under heavy cyclic loads.</w:t>
            </w:r>
          </w:p>
        </w:tc>
      </w:tr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Columns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0.8%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 ($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A_g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6.0%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 xml:space="preserve"> of gross area (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A_g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$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)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 xml:space="preserve">(Practically restricted to </w:t>
            </w:r>
            <w:r w:rsidRPr="00624A4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4.0%</w:t>
            </w:r>
            <w:r w:rsidRPr="00624A4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456:2000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Clause 26.5.3.1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The 4% practical limit applies at zones where longitudinal bars are lapped.</w:t>
            </w:r>
          </w:p>
        </w:tc>
      </w:tr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Slabs (HYSD bars)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0.12%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 ($b 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cdot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D$)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Same as beams (</w:t>
            </w: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4.0%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 though rarely governed by it.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456:2000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Clause 26.5.2.1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Applicable for Fe 415 and Fe 500. </w:t>
            </w:r>
            <w:r w:rsidRPr="00624A49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(Increases to 0.15% if using Mild Steel)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</w:t>
            </w:r>
          </w:p>
        </w:tc>
      </w:tr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Footings (Isolated/Combined)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0.12%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 ($b \</w:t>
            </w:r>
            <w:proofErr w:type="spellStart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cdot</w:t>
            </w:r>
            <w:proofErr w:type="spellEnd"/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D$)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Tied to beam/slab flexural criteria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456:2000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Clause 34.5.2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Refers back to the slab clause requirements for thick foundations.</w:t>
            </w:r>
          </w:p>
        </w:tc>
      </w:tr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Shear Walls (Vertical)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0.25%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4.0%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13920:2016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lastRenderedPageBreak/>
              <w:t>Clause 10.1.6 &amp; 10.1.9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 xml:space="preserve">Minimum drops to 0.15% for thin wall configurations under light axial 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loads in IS 456.</w:t>
            </w:r>
          </w:p>
        </w:tc>
      </w:tr>
      <w:tr w:rsidR="00624A49" w:rsidRPr="00624A49" w:rsidTr="00624A49">
        <w:trPr>
          <w:tblCellSpacing w:w="15" w:type="dxa"/>
        </w:trPr>
        <w:tc>
          <w:tcPr>
            <w:tcW w:w="201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lastRenderedPageBreak/>
              <w:t>Shear Walls (Horizontal)</w:t>
            </w:r>
          </w:p>
        </w:tc>
        <w:tc>
          <w:tcPr>
            <w:tcW w:w="285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0.25%</w:t>
            </w: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of gross area</w:t>
            </w:r>
          </w:p>
        </w:tc>
        <w:tc>
          <w:tcPr>
            <w:tcW w:w="156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N/A</w:t>
            </w:r>
          </w:p>
        </w:tc>
        <w:tc>
          <w:tcPr>
            <w:tcW w:w="1283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IS 13920:2016</w:t>
            </w:r>
          </w:p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br/>
            </w:r>
          </w:p>
          <w:p w:rsidR="00624A49" w:rsidRPr="00624A49" w:rsidRDefault="00624A49" w:rsidP="00624A4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  <w:t>Clause 10.1.7</w:t>
            </w:r>
          </w:p>
        </w:tc>
        <w:tc>
          <w:tcPr>
            <w:tcW w:w="1376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24A49" w:rsidRPr="00624A49" w:rsidRDefault="00624A49" w:rsidP="00624A4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624A49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Distributed uniformly across the wall height to combat diagonal shear cracking.</w:t>
            </w:r>
          </w:p>
        </w:tc>
      </w:tr>
    </w:tbl>
    <w:p w:rsidR="006B25BA" w:rsidRDefault="006B25BA"/>
    <w:sectPr w:rsidR="006B2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04F"/>
    <w:rsid w:val="0054304F"/>
    <w:rsid w:val="00624A49"/>
    <w:rsid w:val="006B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8194B0-5B55-47D0-8640-BADDC342F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624A4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24A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624A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85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2026-06-28T11:05:00Z</dcterms:created>
  <dcterms:modified xsi:type="dcterms:W3CDTF">2026-06-28T11:08:00Z</dcterms:modified>
</cp:coreProperties>
</file>