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09481" w14:textId="0E5B866F" w:rsidR="007A1838" w:rsidRPr="001660F2" w:rsidRDefault="007A1838" w:rsidP="007A1838">
      <w:pPr>
        <w:pStyle w:val="NormalWeb"/>
        <w:numPr>
          <w:ilvl w:val="0"/>
          <w:numId w:val="2"/>
        </w:numPr>
        <w:rPr>
          <w:rFonts w:asciiTheme="minorBidi" w:hAnsiTheme="minorBidi" w:cstheme="minorBidi"/>
          <w:sz w:val="32"/>
          <w:szCs w:val="32"/>
        </w:rPr>
      </w:pPr>
      <w:r w:rsidRPr="001660F2">
        <w:rPr>
          <w:rFonts w:asciiTheme="minorBidi" w:hAnsiTheme="minorBidi" w:cstheme="minorBidi"/>
          <w:b/>
          <w:bCs/>
          <w:sz w:val="32"/>
          <w:szCs w:val="32"/>
        </w:rPr>
        <w:t>National Football League (NFL) – Monte Carlo Simulation &amp; Player Performance Analytics Engine</w:t>
      </w:r>
    </w:p>
    <w:p w14:paraId="2B6DD2A2" w14:textId="77777777" w:rsidR="007A1838" w:rsidRPr="007A1838" w:rsidRDefault="007A1838" w:rsidP="007A1838">
      <w:pPr>
        <w:pStyle w:val="NormalWeb"/>
        <w:rPr>
          <w:rFonts w:asciiTheme="minorBidi" w:hAnsiTheme="minorBidi" w:cstheme="minorBidi"/>
        </w:rPr>
      </w:pPr>
      <w:r w:rsidRPr="007A1838">
        <w:rPr>
          <w:rFonts w:asciiTheme="minorBidi" w:hAnsiTheme="minorBidi" w:cstheme="minorBidi"/>
        </w:rPr>
        <w:t>An enterprise-grade quantitative analytics framework engineered to model player performance volatility, compute high-dimensional statistical correlations, and generate probabilistic game-day performance distributions across the NFL.</w:t>
      </w:r>
    </w:p>
    <w:p w14:paraId="2F366C6B" w14:textId="77777777" w:rsidR="007A1838" w:rsidRPr="007A1838" w:rsidRDefault="007A1838" w:rsidP="007A1838">
      <w:pPr>
        <w:pStyle w:val="NormalWeb"/>
        <w:rPr>
          <w:rFonts w:asciiTheme="minorBidi" w:hAnsiTheme="minorBidi" w:cstheme="minorBidi"/>
        </w:rPr>
      </w:pPr>
      <w:r w:rsidRPr="007A1838">
        <w:rPr>
          <w:rFonts w:asciiTheme="minorBidi" w:hAnsiTheme="minorBidi" w:cstheme="minorBidi"/>
          <w:b/>
          <w:bCs/>
        </w:rPr>
        <w:t>Executive Overview</w:t>
      </w:r>
      <w:r w:rsidRPr="007A1838">
        <w:rPr>
          <w:rFonts w:asciiTheme="minorBidi" w:hAnsiTheme="minorBidi" w:cstheme="minorBidi"/>
        </w:rPr>
        <w:t xml:space="preserve"> Standard projection models evaluate athletes in isolation, failing to capture the interconnected variance inherent in professional football. To solve this, a high-throughput </w:t>
      </w:r>
      <w:r w:rsidRPr="007A1838">
        <w:rPr>
          <w:rFonts w:asciiTheme="minorBidi" w:hAnsiTheme="minorBidi" w:cstheme="minorBidi"/>
          <w:b/>
          <w:bCs/>
        </w:rPr>
        <w:t>Monte Carlo simulation framework</w:t>
      </w:r>
      <w:r w:rsidRPr="007A1838">
        <w:rPr>
          <w:rFonts w:asciiTheme="minorBidi" w:hAnsiTheme="minorBidi" w:cstheme="minorBidi"/>
        </w:rPr>
        <w:t xml:space="preserve"> was architected to simulate tens of thousands of game-state trajectories. By integrating multi-variable historical datasets and cross-player correlation matrices, the platform transforms uncertain game conditions into quantifiable probability distributions and actionable risk profiles.</w:t>
      </w:r>
    </w:p>
    <w:p w14:paraId="55EA0280" w14:textId="77777777" w:rsidR="007A1838" w:rsidRPr="007A1838" w:rsidRDefault="007A1838" w:rsidP="007A1838">
      <w:pPr>
        <w:pStyle w:val="NormalWeb"/>
        <w:rPr>
          <w:rFonts w:asciiTheme="minorBidi" w:hAnsiTheme="minorBidi" w:cstheme="minorBidi"/>
        </w:rPr>
      </w:pPr>
      <w:r w:rsidRPr="007A1838">
        <w:rPr>
          <w:rFonts w:asciiTheme="minorBidi" w:hAnsiTheme="minorBidi" w:cstheme="minorBidi"/>
          <w:b/>
          <w:bCs/>
        </w:rPr>
        <w:t>Core Engineering &amp; Methodology</w:t>
      </w:r>
    </w:p>
    <w:p w14:paraId="0D6EBE7C" w14:textId="77777777" w:rsidR="007A1838" w:rsidRPr="007A1838" w:rsidRDefault="007A1838" w:rsidP="007A1838">
      <w:pPr>
        <w:pStyle w:val="NormalWeb"/>
        <w:numPr>
          <w:ilvl w:val="0"/>
          <w:numId w:val="1"/>
        </w:numPr>
        <w:rPr>
          <w:rFonts w:asciiTheme="minorBidi" w:hAnsiTheme="minorBidi" w:cstheme="minorBidi"/>
        </w:rPr>
      </w:pPr>
      <w:r w:rsidRPr="007A1838">
        <w:rPr>
          <w:rFonts w:asciiTheme="minorBidi" w:hAnsiTheme="minorBidi" w:cstheme="minorBidi"/>
          <w:b/>
          <w:bCs/>
        </w:rPr>
        <w:t>Correlated Multivariate Modeling:</w:t>
      </w:r>
      <w:r w:rsidRPr="007A1838">
        <w:rPr>
          <w:rFonts w:asciiTheme="minorBidi" w:hAnsiTheme="minorBidi" w:cstheme="minorBidi"/>
        </w:rPr>
        <w:t xml:space="preserve"> Formulated covariance and correlation engines to account for intra-team dependencies (e.g., QB-WR yardage coupling) and opponent defensive suppression, preventing skewed baseline estimates.</w:t>
      </w:r>
    </w:p>
    <w:p w14:paraId="6C8E4BE6" w14:textId="77777777" w:rsidR="007A1838" w:rsidRPr="007A1838" w:rsidRDefault="007A1838" w:rsidP="007A1838">
      <w:pPr>
        <w:pStyle w:val="NormalWeb"/>
        <w:numPr>
          <w:ilvl w:val="0"/>
          <w:numId w:val="1"/>
        </w:numPr>
        <w:rPr>
          <w:rFonts w:asciiTheme="minorBidi" w:hAnsiTheme="minorBidi" w:cstheme="minorBidi"/>
        </w:rPr>
      </w:pPr>
      <w:r w:rsidRPr="007A1838">
        <w:rPr>
          <w:rFonts w:asciiTheme="minorBidi" w:hAnsiTheme="minorBidi" w:cstheme="minorBidi"/>
          <w:b/>
          <w:bCs/>
        </w:rPr>
        <w:t>Stochastic Simulation Architecture:</w:t>
      </w:r>
      <w:r w:rsidRPr="007A1838">
        <w:rPr>
          <w:rFonts w:asciiTheme="minorBidi" w:hAnsiTheme="minorBidi" w:cstheme="minorBidi"/>
        </w:rPr>
        <w:t xml:space="preserve"> Deployed Monte Carlo algorithms executing 10,000+ iterations per matchup to map full-range upside, floor risk, and outcome tail-probabilities across key performance indicators.</w:t>
      </w:r>
    </w:p>
    <w:p w14:paraId="2A02A0E1" w14:textId="77777777" w:rsidR="007A1838" w:rsidRPr="007A1838" w:rsidRDefault="007A1838" w:rsidP="007A1838">
      <w:pPr>
        <w:pStyle w:val="NormalWeb"/>
        <w:numPr>
          <w:ilvl w:val="0"/>
          <w:numId w:val="1"/>
        </w:numPr>
        <w:rPr>
          <w:rFonts w:asciiTheme="minorBidi" w:hAnsiTheme="minorBidi" w:cstheme="minorBidi"/>
        </w:rPr>
      </w:pPr>
      <w:r w:rsidRPr="007A1838">
        <w:rPr>
          <w:rFonts w:asciiTheme="minorBidi" w:hAnsiTheme="minorBidi" w:cstheme="minorBidi"/>
          <w:b/>
          <w:bCs/>
        </w:rPr>
        <w:t>Proprietary Scaling &amp; Normalization Engine:</w:t>
      </w:r>
      <w:r w:rsidRPr="007A1838">
        <w:rPr>
          <w:rFonts w:asciiTheme="minorBidi" w:hAnsiTheme="minorBidi" w:cstheme="minorBidi"/>
        </w:rPr>
        <w:t xml:space="preserve"> Developed a unified scoring algorithm that normalizes heterogeneous position metrics onto a standardized scale, enabling cross-position performance parity analysis.</w:t>
      </w:r>
    </w:p>
    <w:p w14:paraId="41E2A7FD" w14:textId="77777777" w:rsidR="007A1838" w:rsidRDefault="007A1838" w:rsidP="007A1838">
      <w:pPr>
        <w:pStyle w:val="NormalWeb"/>
        <w:numPr>
          <w:ilvl w:val="0"/>
          <w:numId w:val="1"/>
        </w:numPr>
        <w:rPr>
          <w:rFonts w:asciiTheme="minorBidi" w:hAnsiTheme="minorBidi" w:cstheme="minorBidi"/>
        </w:rPr>
      </w:pPr>
      <w:r w:rsidRPr="007A1838">
        <w:rPr>
          <w:rFonts w:asciiTheme="minorBidi" w:hAnsiTheme="minorBidi" w:cstheme="minorBidi"/>
          <w:b/>
          <w:bCs/>
        </w:rPr>
        <w:t>Dynamic Scenario &amp; Risk Profiling:</w:t>
      </w:r>
      <w:r w:rsidRPr="007A1838">
        <w:rPr>
          <w:rFonts w:asciiTheme="minorBidi" w:hAnsiTheme="minorBidi" w:cstheme="minorBidi"/>
        </w:rPr>
        <w:t xml:space="preserve"> Quantified outcome dispersion to provide decision-makers with confidence intervals, median expected value, and volatility indexes rather than static, single-point estimates.</w:t>
      </w:r>
    </w:p>
    <w:p w14:paraId="25BE0C93" w14:textId="32D4E26A" w:rsidR="007A1838" w:rsidRPr="007A1838" w:rsidRDefault="007A1838" w:rsidP="007A1838">
      <w:pPr>
        <w:pStyle w:val="NormalWeb"/>
        <w:rPr>
          <w:rFonts w:asciiTheme="minorBidi" w:hAnsiTheme="minorBidi" w:cstheme="minorBidi"/>
        </w:rPr>
      </w:pPr>
      <w:r w:rsidRPr="007A1838">
        <w:rPr>
          <w:rFonts w:asciiTheme="minorBidi" w:hAnsiTheme="minorBidi" w:cstheme="minorBidi"/>
          <w:b/>
          <w:bCs/>
        </w:rPr>
        <w:t>Business &amp; Decision Impact</w:t>
      </w:r>
      <w:r w:rsidRPr="007A1838">
        <w:rPr>
          <w:rFonts w:asciiTheme="minorBidi" w:hAnsiTheme="minorBidi" w:cstheme="minorBidi"/>
        </w:rPr>
        <w:t xml:space="preserve"> Replaced flat, error-prone projection spreadsheets with a mathematically rigorous decision-intelligence system. The platform delivers institutional-grade probabilistic forecasts, enabling analysts and executives to evaluate downside risk, target high-upside variance, and execute data-driven game planning.</w:t>
      </w:r>
    </w:p>
    <w:p w14:paraId="3B4E8AA8" w14:textId="057D3B66" w:rsidR="00785AC5" w:rsidRDefault="00785AC5">
      <w:pPr>
        <w:rPr>
          <w:rFonts w:asciiTheme="majorBidi" w:hAnsiTheme="majorBidi" w:cstheme="majorBidi"/>
        </w:rPr>
      </w:pPr>
    </w:p>
    <w:p w14:paraId="390A80A0" w14:textId="77777777" w:rsidR="007A1838" w:rsidRDefault="007A1838">
      <w:pPr>
        <w:rPr>
          <w:rFonts w:asciiTheme="majorBidi" w:hAnsiTheme="majorBidi" w:cstheme="majorBidi"/>
        </w:rPr>
      </w:pPr>
    </w:p>
    <w:p w14:paraId="58A326C7" w14:textId="77777777" w:rsidR="007A1838" w:rsidRDefault="007A1838">
      <w:pPr>
        <w:rPr>
          <w:rFonts w:asciiTheme="majorBidi" w:hAnsiTheme="majorBidi" w:cstheme="majorBidi"/>
        </w:rPr>
      </w:pPr>
    </w:p>
    <w:p w14:paraId="34247D51" w14:textId="77777777" w:rsidR="007A1838" w:rsidRDefault="007A1838">
      <w:pPr>
        <w:rPr>
          <w:rFonts w:asciiTheme="majorBidi" w:hAnsiTheme="majorBidi" w:cstheme="majorBidi"/>
        </w:rPr>
      </w:pPr>
    </w:p>
    <w:p w14:paraId="4D040C3C" w14:textId="77777777" w:rsidR="007A1838" w:rsidRDefault="007A1838">
      <w:pPr>
        <w:rPr>
          <w:rFonts w:asciiTheme="majorBidi" w:hAnsiTheme="majorBidi" w:cstheme="majorBidi"/>
        </w:rPr>
      </w:pPr>
    </w:p>
    <w:p w14:paraId="1C382129" w14:textId="77777777" w:rsidR="007A1838" w:rsidRDefault="007A1838">
      <w:pPr>
        <w:rPr>
          <w:rFonts w:asciiTheme="majorBidi" w:hAnsiTheme="majorBidi" w:cstheme="majorBidi"/>
        </w:rPr>
      </w:pPr>
    </w:p>
    <w:p w14:paraId="77358F5E" w14:textId="77777777" w:rsidR="007A1838" w:rsidRDefault="007A1838">
      <w:pPr>
        <w:rPr>
          <w:rFonts w:asciiTheme="majorBidi" w:hAnsiTheme="majorBidi" w:cstheme="majorBidi"/>
        </w:rPr>
      </w:pPr>
    </w:p>
    <w:p w14:paraId="1E1E8524" w14:textId="1C815C85" w:rsidR="007A1838" w:rsidRPr="001660F2" w:rsidRDefault="007A1838" w:rsidP="007A1838">
      <w:pPr>
        <w:pStyle w:val="ListParagraph"/>
        <w:numPr>
          <w:ilvl w:val="0"/>
          <w:numId w:val="2"/>
        </w:numPr>
        <w:spacing w:after="0" w:line="240" w:lineRule="auto"/>
        <w:rPr>
          <w:rFonts w:ascii="Arial" w:eastAsia="Times New Roman" w:hAnsi="Arial" w:cs="Arial"/>
          <w:color w:val="1F1F1F"/>
          <w:kern w:val="0"/>
          <w:sz w:val="32"/>
          <w:szCs w:val="32"/>
          <w14:ligatures w14:val="none"/>
        </w:rPr>
      </w:pPr>
      <w:r w:rsidRPr="001660F2">
        <w:rPr>
          <w:rFonts w:ascii="Arial" w:eastAsia="Times New Roman" w:hAnsi="Arial" w:cs="Arial"/>
          <w:b/>
          <w:bCs/>
          <w:color w:val="1F1F1F"/>
          <w:kern w:val="0"/>
          <w:sz w:val="32"/>
          <w:szCs w:val="32"/>
          <w:bdr w:val="none" w:sz="0" w:space="0" w:color="auto" w:frame="1"/>
          <w14:ligatures w14:val="none"/>
        </w:rPr>
        <w:lastRenderedPageBreak/>
        <w:t>The Coca-Cola Company – Predictive Demand Forecasting &amp; Supply Chain Optimization Engine</w:t>
      </w:r>
    </w:p>
    <w:p w14:paraId="13E66EA7" w14:textId="77777777" w:rsidR="007A1838" w:rsidRPr="007A1838" w:rsidRDefault="007A1838" w:rsidP="007A1838">
      <w:pPr>
        <w:spacing w:after="0" w:line="240" w:lineRule="auto"/>
        <w:rPr>
          <w:rFonts w:ascii="Arial" w:eastAsia="Times New Roman" w:hAnsi="Arial" w:cs="Arial"/>
          <w:color w:val="1F1F1F"/>
          <w:kern w:val="0"/>
          <w14:ligatures w14:val="none"/>
        </w:rPr>
      </w:pPr>
    </w:p>
    <w:p w14:paraId="0A2FB578"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color w:val="1F1F1F"/>
          <w:kern w:val="0"/>
          <w14:ligatures w14:val="none"/>
        </w:rPr>
        <w:t>An enterprise decision-intelligence platform engineered to optimize multi-echelon inventory, model price elasticity, and deliver high-precision, regional demand forecasting across complex bottling and distribution networks.</w:t>
      </w:r>
    </w:p>
    <w:p w14:paraId="635163EE" w14:textId="77777777" w:rsidR="007A1838" w:rsidRPr="007A1838" w:rsidRDefault="007A1838" w:rsidP="007A1838">
      <w:pPr>
        <w:spacing w:after="0" w:line="240" w:lineRule="auto"/>
        <w:rPr>
          <w:rFonts w:ascii="Arial" w:eastAsia="Times New Roman" w:hAnsi="Arial" w:cs="Arial"/>
          <w:color w:val="1F1F1F"/>
          <w:kern w:val="0"/>
          <w14:ligatures w14:val="none"/>
        </w:rPr>
      </w:pPr>
    </w:p>
    <w:p w14:paraId="44738929"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Executive Overview</w:t>
      </w:r>
    </w:p>
    <w:p w14:paraId="1F61D2B9"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color w:val="1F1F1F"/>
          <w:kern w:val="0"/>
          <w14:ligatures w14:val="none"/>
        </w:rPr>
        <w:t xml:space="preserve">Global beverage supply chains face extreme operational variance driven by regional seasonality, promotional spikes, macroeconomic shifts, and raw material lead-time fluctuations. To eliminate costly stockouts and reduce finished-goods holding costs, a scalable </w:t>
      </w:r>
      <w:r w:rsidRPr="007A1838">
        <w:rPr>
          <w:rFonts w:ascii="Arial" w:eastAsia="Times New Roman" w:hAnsi="Arial" w:cs="Arial"/>
          <w:b/>
          <w:bCs/>
          <w:color w:val="1F1F1F"/>
          <w:kern w:val="0"/>
          <w:bdr w:val="none" w:sz="0" w:space="0" w:color="auto" w:frame="1"/>
          <w14:ligatures w14:val="none"/>
        </w:rPr>
        <w:t>Predictive Demand &amp; Supply Chain Optimization Framework</w:t>
      </w:r>
      <w:r w:rsidRPr="007A1838">
        <w:rPr>
          <w:rFonts w:ascii="Arial" w:eastAsia="Times New Roman" w:hAnsi="Arial" w:cs="Arial"/>
          <w:color w:val="1F1F1F"/>
          <w:kern w:val="0"/>
          <w14:ligatures w14:val="none"/>
        </w:rPr>
        <w:t xml:space="preserve"> was developed. By consolidating disparate ERP datasets, point-of-sale (POS) data, and external market signals, the platform automates demand sensing and translates multi-tier constraints into deterministic replenishment schedules.</w:t>
      </w:r>
    </w:p>
    <w:p w14:paraId="06DDBB1B" w14:textId="77777777" w:rsidR="007A1838" w:rsidRPr="007A1838" w:rsidRDefault="007A1838" w:rsidP="007A1838">
      <w:pPr>
        <w:spacing w:after="0" w:line="240" w:lineRule="auto"/>
        <w:rPr>
          <w:rFonts w:ascii="Arial" w:eastAsia="Times New Roman" w:hAnsi="Arial" w:cs="Arial"/>
          <w:color w:val="1F1F1F"/>
          <w:kern w:val="0"/>
          <w14:ligatures w14:val="none"/>
        </w:rPr>
      </w:pPr>
    </w:p>
    <w:p w14:paraId="035FC19F"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Core Engineering &amp; Methodology</w:t>
      </w:r>
    </w:p>
    <w:p w14:paraId="0B9396D4"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color w:val="1F1F1F"/>
          <w:kern w:val="0"/>
          <w14:ligatures w14:val="none"/>
        </w:rPr>
        <w:br/>
      </w:r>
    </w:p>
    <w:p w14:paraId="380E00FB" w14:textId="77777777" w:rsidR="007A1838" w:rsidRPr="007A1838" w:rsidRDefault="007A1838" w:rsidP="007A1838">
      <w:pPr>
        <w:numPr>
          <w:ilvl w:val="0"/>
          <w:numId w:val="3"/>
        </w:num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Hierarchical Time-Series Forecasting:</w:t>
      </w:r>
      <w:r w:rsidRPr="007A1838">
        <w:rPr>
          <w:rFonts w:ascii="Arial" w:eastAsia="Times New Roman" w:hAnsi="Arial" w:cs="Arial"/>
          <w:color w:val="1F1F1F"/>
          <w:kern w:val="0"/>
          <w14:ligatures w14:val="none"/>
        </w:rPr>
        <w:t xml:space="preserve"> Built multi-level time-series algorithms reconciling top-down national demand targets with bottom-up SKU and bottling-plant forecasts, maintaining mathematical consistency across every operational tier.</w:t>
      </w:r>
    </w:p>
    <w:p w14:paraId="0C487F58" w14:textId="77777777" w:rsidR="007A1838" w:rsidRPr="007A1838" w:rsidRDefault="007A1838" w:rsidP="007A1838">
      <w:pPr>
        <w:spacing w:after="0" w:line="240" w:lineRule="auto"/>
        <w:ind w:left="720"/>
        <w:rPr>
          <w:rFonts w:ascii="Arial" w:eastAsia="Times New Roman" w:hAnsi="Arial" w:cs="Arial"/>
          <w:color w:val="1F1F1F"/>
          <w:kern w:val="0"/>
          <w14:ligatures w14:val="none"/>
        </w:rPr>
      </w:pPr>
    </w:p>
    <w:p w14:paraId="544A047F" w14:textId="77777777" w:rsidR="007A1838" w:rsidRPr="007A1838" w:rsidRDefault="007A1838" w:rsidP="007A1838">
      <w:pPr>
        <w:numPr>
          <w:ilvl w:val="0"/>
          <w:numId w:val="3"/>
        </w:num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Causal Feature Engineering &amp; Demand Sensing:</w:t>
      </w:r>
      <w:r w:rsidRPr="007A1838">
        <w:rPr>
          <w:rFonts w:ascii="Arial" w:eastAsia="Times New Roman" w:hAnsi="Arial" w:cs="Arial"/>
          <w:color w:val="1F1F1F"/>
          <w:kern w:val="0"/>
          <w14:ligatures w14:val="none"/>
        </w:rPr>
        <w:t xml:space="preserve"> Integrated exogenous factors—including localized weather patterns, retail promotional calendars, regional demographic trends, and distributor lead times—to capture non-linear demand shifts.</w:t>
      </w:r>
    </w:p>
    <w:p w14:paraId="369B5873" w14:textId="77777777" w:rsidR="007A1838" w:rsidRPr="007A1838" w:rsidRDefault="007A1838" w:rsidP="007A1838">
      <w:pPr>
        <w:spacing w:after="0" w:line="240" w:lineRule="auto"/>
        <w:ind w:left="720"/>
        <w:rPr>
          <w:rFonts w:ascii="Arial" w:eastAsia="Times New Roman" w:hAnsi="Arial" w:cs="Arial"/>
          <w:color w:val="1F1F1F"/>
          <w:kern w:val="0"/>
          <w14:ligatures w14:val="none"/>
        </w:rPr>
      </w:pPr>
    </w:p>
    <w:p w14:paraId="009D053B" w14:textId="77777777" w:rsidR="007A1838" w:rsidRPr="007A1838" w:rsidRDefault="007A1838" w:rsidP="007A1838">
      <w:pPr>
        <w:numPr>
          <w:ilvl w:val="0"/>
          <w:numId w:val="3"/>
        </w:num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Safety Stock &amp; Inventory Optimization:</w:t>
      </w:r>
      <w:r w:rsidRPr="007A1838">
        <w:rPr>
          <w:rFonts w:ascii="Arial" w:eastAsia="Times New Roman" w:hAnsi="Arial" w:cs="Arial"/>
          <w:color w:val="1F1F1F"/>
          <w:kern w:val="0"/>
          <w14:ligatures w14:val="none"/>
        </w:rPr>
        <w:t xml:space="preserve"> Modeled service-level curves against supply lead-time volatility to calculate dynamic buffer stock levels, avoiding working-capital lockup while maintaining a 98%+ on-shelf availability target.</w:t>
      </w:r>
    </w:p>
    <w:p w14:paraId="22DE468F" w14:textId="77777777" w:rsidR="007A1838" w:rsidRPr="007A1838" w:rsidRDefault="007A1838" w:rsidP="007A1838">
      <w:pPr>
        <w:spacing w:after="0" w:line="240" w:lineRule="auto"/>
        <w:ind w:left="720"/>
        <w:rPr>
          <w:rFonts w:ascii="Arial" w:eastAsia="Times New Roman" w:hAnsi="Arial" w:cs="Arial"/>
          <w:color w:val="1F1F1F"/>
          <w:kern w:val="0"/>
          <w14:ligatures w14:val="none"/>
        </w:rPr>
      </w:pPr>
    </w:p>
    <w:p w14:paraId="4445902D" w14:textId="77777777" w:rsidR="007A1838" w:rsidRPr="007A1838" w:rsidRDefault="007A1838" w:rsidP="007A1838">
      <w:pPr>
        <w:numPr>
          <w:ilvl w:val="0"/>
          <w:numId w:val="3"/>
        </w:num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Scenario Planning &amp; What-If Simulation:</w:t>
      </w:r>
      <w:r w:rsidRPr="007A1838">
        <w:rPr>
          <w:rFonts w:ascii="Arial" w:eastAsia="Times New Roman" w:hAnsi="Arial" w:cs="Arial"/>
          <w:color w:val="1F1F1F"/>
          <w:kern w:val="0"/>
          <w14:ligatures w14:val="none"/>
        </w:rPr>
        <w:t xml:space="preserve"> Architected a simulation module allowing supply chain executives to model stress scenarios, such as sudden supplier disruptions, transportation bottleneck shifts, and raw ingredient price shocks.</w:t>
      </w:r>
    </w:p>
    <w:p w14:paraId="3BB8E47A" w14:textId="77777777" w:rsidR="007A1838" w:rsidRPr="007A1838" w:rsidRDefault="007A1838" w:rsidP="007A1838">
      <w:pPr>
        <w:spacing w:after="0" w:line="240" w:lineRule="auto"/>
        <w:ind w:left="720"/>
        <w:rPr>
          <w:rFonts w:ascii="Arial" w:eastAsia="Times New Roman" w:hAnsi="Arial" w:cs="Arial"/>
          <w:color w:val="1F1F1F"/>
          <w:kern w:val="0"/>
          <w14:ligatures w14:val="none"/>
        </w:rPr>
      </w:pPr>
    </w:p>
    <w:p w14:paraId="3F220179"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Frameworks, Tech Stack &amp; Architecture</w:t>
      </w:r>
    </w:p>
    <w:p w14:paraId="169F610B"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color w:val="1F1F1F"/>
          <w:kern w:val="0"/>
          <w14:ligatures w14:val="none"/>
        </w:rPr>
        <w:t xml:space="preserve">The end-to-end data pipeline was constructed using </w:t>
      </w:r>
      <w:r w:rsidRPr="007A1838">
        <w:rPr>
          <w:rFonts w:ascii="Arial" w:eastAsia="Times New Roman" w:hAnsi="Arial" w:cs="Arial"/>
          <w:b/>
          <w:bCs/>
          <w:color w:val="1F1F1F"/>
          <w:kern w:val="0"/>
          <w:bdr w:val="none" w:sz="0" w:space="0" w:color="auto" w:frame="1"/>
          <w14:ligatures w14:val="none"/>
        </w:rPr>
        <w:t>Python (Pandas, Polars, and NumPy)</w:t>
      </w:r>
      <w:r w:rsidRPr="007A1838">
        <w:rPr>
          <w:rFonts w:ascii="Arial" w:eastAsia="Times New Roman" w:hAnsi="Arial" w:cs="Arial"/>
          <w:color w:val="1F1F1F"/>
          <w:kern w:val="0"/>
          <w14:ligatures w14:val="none"/>
        </w:rPr>
        <w:t xml:space="preserve"> for high-throughput data manipulation and automated data-cleaning workflows across millions of daily transactional records. Advanced time-series forecasting and regression modeling were implemented using </w:t>
      </w:r>
      <w:r w:rsidRPr="007A1838">
        <w:rPr>
          <w:rFonts w:ascii="Arial" w:eastAsia="Times New Roman" w:hAnsi="Arial" w:cs="Arial"/>
          <w:b/>
          <w:bCs/>
          <w:color w:val="1F1F1F"/>
          <w:kern w:val="0"/>
          <w:bdr w:val="none" w:sz="0" w:space="0" w:color="auto" w:frame="1"/>
          <w14:ligatures w14:val="none"/>
        </w:rPr>
        <w:t>Prophet, LightGBM, and Statsmodels</w:t>
      </w:r>
      <w:r w:rsidRPr="007A1838">
        <w:rPr>
          <w:rFonts w:ascii="Arial" w:eastAsia="Times New Roman" w:hAnsi="Arial" w:cs="Arial"/>
          <w:color w:val="1F1F1F"/>
          <w:kern w:val="0"/>
          <w14:ligatures w14:val="none"/>
        </w:rPr>
        <w:t xml:space="preserve">, paired with </w:t>
      </w:r>
      <w:r w:rsidRPr="007A1838">
        <w:rPr>
          <w:rFonts w:ascii="Arial" w:eastAsia="Times New Roman" w:hAnsi="Arial" w:cs="Arial"/>
          <w:b/>
          <w:bCs/>
          <w:color w:val="1F1F1F"/>
          <w:kern w:val="0"/>
          <w:bdr w:val="none" w:sz="0" w:space="0" w:color="auto" w:frame="1"/>
          <w14:ligatures w14:val="none"/>
        </w:rPr>
        <w:t>Scikit-Learn</w:t>
      </w:r>
      <w:r w:rsidRPr="007A1838">
        <w:rPr>
          <w:rFonts w:ascii="Arial" w:eastAsia="Times New Roman" w:hAnsi="Arial" w:cs="Arial"/>
          <w:color w:val="1F1F1F"/>
          <w:kern w:val="0"/>
          <w14:ligatures w14:val="none"/>
        </w:rPr>
        <w:t xml:space="preserve"> for feature transformation and cross-validation pipelines.</w:t>
      </w:r>
    </w:p>
    <w:p w14:paraId="7B5A8D8D" w14:textId="77777777" w:rsidR="007A1838" w:rsidRPr="007A1838" w:rsidRDefault="007A1838" w:rsidP="007A1838">
      <w:pPr>
        <w:spacing w:after="0" w:line="240" w:lineRule="auto"/>
        <w:rPr>
          <w:rFonts w:ascii="Arial" w:eastAsia="Times New Roman" w:hAnsi="Arial" w:cs="Arial"/>
          <w:color w:val="1F1F1F"/>
          <w:kern w:val="0"/>
          <w14:ligatures w14:val="none"/>
        </w:rPr>
      </w:pPr>
    </w:p>
    <w:p w14:paraId="5BF56104"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color w:val="1F1F1F"/>
          <w:kern w:val="0"/>
          <w14:ligatures w14:val="none"/>
        </w:rPr>
        <w:t xml:space="preserve">To solve constrained supply allocation and route-to-market distribution challenges, mathematical optimization was driven by linear and mixed-integer linear </w:t>
      </w:r>
      <w:r w:rsidRPr="007A1838">
        <w:rPr>
          <w:rFonts w:ascii="Arial" w:eastAsia="Times New Roman" w:hAnsi="Arial" w:cs="Arial"/>
          <w:color w:val="1F1F1F"/>
          <w:kern w:val="0"/>
          <w14:ligatures w14:val="none"/>
        </w:rPr>
        <w:lastRenderedPageBreak/>
        <w:t xml:space="preserve">programming (MILP) using </w:t>
      </w:r>
      <w:r w:rsidRPr="007A1838">
        <w:rPr>
          <w:rFonts w:ascii="Arial" w:eastAsia="Times New Roman" w:hAnsi="Arial" w:cs="Arial"/>
          <w:b/>
          <w:bCs/>
          <w:color w:val="1F1F1F"/>
          <w:kern w:val="0"/>
          <w:bdr w:val="none" w:sz="0" w:space="0" w:color="auto" w:frame="1"/>
          <w14:ligatures w14:val="none"/>
        </w:rPr>
        <w:t>SciPy Optimize and PuLP</w:t>
      </w:r>
      <w:r w:rsidRPr="007A1838">
        <w:rPr>
          <w:rFonts w:ascii="Arial" w:eastAsia="Times New Roman" w:hAnsi="Arial" w:cs="Arial"/>
          <w:color w:val="1F1F1F"/>
          <w:kern w:val="0"/>
          <w14:ligatures w14:val="none"/>
        </w:rPr>
        <w:t xml:space="preserve">. Data ingestion, warehouse orchestration, and transformation were managed through </w:t>
      </w:r>
      <w:r w:rsidRPr="007A1838">
        <w:rPr>
          <w:rFonts w:ascii="Arial" w:eastAsia="Times New Roman" w:hAnsi="Arial" w:cs="Arial"/>
          <w:b/>
          <w:bCs/>
          <w:color w:val="1F1F1F"/>
          <w:kern w:val="0"/>
          <w:bdr w:val="none" w:sz="0" w:space="0" w:color="auto" w:frame="1"/>
          <w14:ligatures w14:val="none"/>
        </w:rPr>
        <w:t>SQL and scalable ETL pipelines</w:t>
      </w:r>
      <w:r w:rsidRPr="007A1838">
        <w:rPr>
          <w:rFonts w:ascii="Arial" w:eastAsia="Times New Roman" w:hAnsi="Arial" w:cs="Arial"/>
          <w:color w:val="1F1F1F"/>
          <w:kern w:val="0"/>
          <w14:ligatures w14:val="none"/>
        </w:rPr>
        <w:t>, with final analytical outputs and dynamic scenario simulators deployed via interactive enterprise executive dashboards.</w:t>
      </w:r>
    </w:p>
    <w:p w14:paraId="6F97CDF6" w14:textId="77777777" w:rsidR="007A1838" w:rsidRPr="007A1838" w:rsidRDefault="007A1838" w:rsidP="007A1838">
      <w:pPr>
        <w:spacing w:after="0" w:line="240" w:lineRule="auto"/>
        <w:rPr>
          <w:rFonts w:ascii="Arial" w:eastAsia="Times New Roman" w:hAnsi="Arial" w:cs="Arial"/>
          <w:color w:val="1F1F1F"/>
          <w:kern w:val="0"/>
          <w14:ligatures w14:val="none"/>
        </w:rPr>
      </w:pPr>
    </w:p>
    <w:p w14:paraId="4A7F1C62" w14:textId="77777777" w:rsidR="007A1838" w:rsidRPr="007A1838" w:rsidRDefault="007A1838" w:rsidP="007A1838">
      <w:pPr>
        <w:spacing w:after="0" w:line="240" w:lineRule="auto"/>
        <w:ind w:left="720"/>
        <w:rPr>
          <w:rFonts w:ascii="Arial" w:eastAsia="Times New Roman" w:hAnsi="Arial" w:cs="Arial"/>
          <w:color w:val="1F1F1F"/>
          <w:kern w:val="0"/>
          <w14:ligatures w14:val="none"/>
        </w:rPr>
      </w:pPr>
    </w:p>
    <w:p w14:paraId="0970BE49"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b/>
          <w:bCs/>
          <w:color w:val="1F1F1F"/>
          <w:kern w:val="0"/>
          <w:bdr w:val="none" w:sz="0" w:space="0" w:color="auto" w:frame="1"/>
          <w14:ligatures w14:val="none"/>
        </w:rPr>
        <w:t>Business &amp; Decision Impact</w:t>
      </w:r>
    </w:p>
    <w:p w14:paraId="4540B276" w14:textId="77777777" w:rsidR="007A1838" w:rsidRPr="007A1838" w:rsidRDefault="007A1838" w:rsidP="007A1838">
      <w:pPr>
        <w:spacing w:after="0" w:line="240" w:lineRule="auto"/>
        <w:rPr>
          <w:rFonts w:ascii="Arial" w:eastAsia="Times New Roman" w:hAnsi="Arial" w:cs="Arial"/>
          <w:color w:val="1F1F1F"/>
          <w:kern w:val="0"/>
          <w14:ligatures w14:val="none"/>
        </w:rPr>
      </w:pPr>
      <w:r w:rsidRPr="007A1838">
        <w:rPr>
          <w:rFonts w:ascii="Arial" w:eastAsia="Times New Roman" w:hAnsi="Arial" w:cs="Arial"/>
          <w:color w:val="1F1F1F"/>
          <w:kern w:val="0"/>
          <w14:ligatures w14:val="none"/>
        </w:rPr>
        <w:t>Replaced fragmented legacy spreadsheets with a unified, data-driven planning system. The solution drove measurable reductions in forecast error variance, curtailed localized stockouts during peak summer and holiday promotion periods, and unlocked significant working capital savings by optimizing warehouse holding thresholds.</w:t>
      </w:r>
    </w:p>
    <w:p w14:paraId="774CEBCA" w14:textId="77777777" w:rsidR="007A1838" w:rsidRDefault="007A1838">
      <w:pPr>
        <w:rPr>
          <w:rFonts w:asciiTheme="majorBidi" w:hAnsiTheme="majorBidi" w:cstheme="majorBidi"/>
        </w:rPr>
      </w:pPr>
    </w:p>
    <w:p w14:paraId="4B51B069" w14:textId="77777777" w:rsidR="007A1838" w:rsidRDefault="007A1838">
      <w:pPr>
        <w:rPr>
          <w:rFonts w:asciiTheme="majorBidi" w:hAnsiTheme="majorBidi" w:cstheme="majorBidi"/>
        </w:rPr>
      </w:pPr>
    </w:p>
    <w:p w14:paraId="6801135F" w14:textId="1FD840FB" w:rsidR="001660F2" w:rsidRPr="001660F2" w:rsidRDefault="001660F2" w:rsidP="001660F2">
      <w:pPr>
        <w:pStyle w:val="ListParagraph"/>
        <w:numPr>
          <w:ilvl w:val="0"/>
          <w:numId w:val="2"/>
        </w:numPr>
        <w:spacing w:after="0" w:line="240" w:lineRule="auto"/>
        <w:rPr>
          <w:rFonts w:ascii="Arial" w:eastAsia="Times New Roman" w:hAnsi="Arial" w:cs="Arial"/>
          <w:color w:val="1F1F1F"/>
          <w:kern w:val="0"/>
          <w:sz w:val="32"/>
          <w:szCs w:val="32"/>
          <w14:ligatures w14:val="none"/>
        </w:rPr>
      </w:pPr>
      <w:r w:rsidRPr="001660F2">
        <w:rPr>
          <w:rFonts w:ascii="Arial" w:eastAsia="Times New Roman" w:hAnsi="Arial" w:cs="Arial"/>
          <w:b/>
          <w:bCs/>
          <w:color w:val="1F1F1F"/>
          <w:kern w:val="0"/>
          <w:sz w:val="32"/>
          <w:szCs w:val="32"/>
          <w:bdr w:val="none" w:sz="0" w:space="0" w:color="auto" w:frame="1"/>
          <w14:ligatures w14:val="none"/>
        </w:rPr>
        <w:t>Mezan Beverages (Cola Next) – Route-to-Market &amp; FMCG Supply Chain Optimization Engine</w:t>
      </w:r>
      <w:r w:rsidRPr="001660F2">
        <w:rPr>
          <w:rFonts w:ascii="Arial" w:eastAsia="Times New Roman" w:hAnsi="Arial" w:cs="Arial"/>
          <w:color w:val="1F1F1F"/>
          <w:kern w:val="0"/>
          <w:sz w:val="32"/>
          <w:szCs w:val="32"/>
          <w14:ligatures w14:val="none"/>
        </w:rPr>
        <w:t xml:space="preserve"> </w:t>
      </w:r>
    </w:p>
    <w:p w14:paraId="0C510D2A"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1C72BC15"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bdr w:val="none" w:sz="0" w:space="0" w:color="auto" w:frame="1"/>
          <w14:ligatures w14:val="none"/>
        </w:rPr>
        <w:t>An enterprise-grade supply chain analytics and distribution intelligence platform engineered to optimize high-velocity FMCG bottling operations, streamline distributor route-to-market (RTM) networks, and enhance regional demand sensing across Pakistan's fast-growing domestic beverage market.</w:t>
      </w:r>
      <w:r w:rsidRPr="001660F2">
        <w:rPr>
          <w:rFonts w:ascii="Arial" w:eastAsia="Times New Roman" w:hAnsi="Arial" w:cs="Arial"/>
          <w:color w:val="1F1F1F"/>
          <w:kern w:val="0"/>
          <w14:ligatures w14:val="none"/>
        </w:rPr>
        <w:t xml:space="preserve"> </w:t>
      </w:r>
    </w:p>
    <w:p w14:paraId="78A63177"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1AC49925"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Executive Overview</w:t>
      </w:r>
    </w:p>
    <w:p w14:paraId="0333DE1D"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bdr w:val="none" w:sz="0" w:space="0" w:color="auto" w:frame="1"/>
          <w14:ligatures w14:val="none"/>
        </w:rPr>
        <w:t xml:space="preserve">As one of Pakistan's prominent domestic beverage producers—spearheaded by flagship brands like </w:t>
      </w:r>
      <w:r w:rsidRPr="001660F2">
        <w:rPr>
          <w:rFonts w:ascii="Arial" w:eastAsia="Times New Roman" w:hAnsi="Arial" w:cs="Arial"/>
          <w:b/>
          <w:bCs/>
          <w:color w:val="1F1F1F"/>
          <w:kern w:val="0"/>
          <w:bdr w:val="none" w:sz="0" w:space="0" w:color="auto" w:frame="1"/>
          <w14:ligatures w14:val="none"/>
        </w:rPr>
        <w:t>Cola Next, Fizup Next, and Storm</w:t>
      </w:r>
      <w:r w:rsidRPr="001660F2">
        <w:rPr>
          <w:rFonts w:ascii="Arial" w:eastAsia="Times New Roman" w:hAnsi="Arial" w:cs="Arial"/>
          <w:color w:val="1F1F1F"/>
          <w:kern w:val="0"/>
          <w:bdr w:val="none" w:sz="0" w:space="0" w:color="auto" w:frame="1"/>
          <w14:ligatures w14:val="none"/>
        </w:rPr>
        <w:t>—scaling national operations requires managing extreme demand volatility, regional logistics friction, and high-frequency retail replenishment.</w:t>
      </w:r>
      <w:r w:rsidRPr="001660F2">
        <w:rPr>
          <w:rFonts w:ascii="Arial" w:eastAsia="Times New Roman" w:hAnsi="Arial" w:cs="Arial"/>
          <w:color w:val="1F1F1F"/>
          <w:kern w:val="0"/>
          <w14:ligatures w14:val="none"/>
        </w:rPr>
        <w:t xml:space="preserve"> To transition from reactive dispatching to high-efficiency distribution planning, an integrated </w:t>
      </w:r>
      <w:r w:rsidRPr="001660F2">
        <w:rPr>
          <w:rFonts w:ascii="Arial" w:eastAsia="Times New Roman" w:hAnsi="Arial" w:cs="Arial"/>
          <w:b/>
          <w:bCs/>
          <w:color w:val="1F1F1F"/>
          <w:kern w:val="0"/>
          <w:bdr w:val="none" w:sz="0" w:space="0" w:color="auto" w:frame="1"/>
          <w14:ligatures w14:val="none"/>
        </w:rPr>
        <w:t>Demand Forecasting &amp; Route-to-Market Optimization Framework</w:t>
      </w:r>
      <w:r w:rsidRPr="001660F2">
        <w:rPr>
          <w:rFonts w:ascii="Arial" w:eastAsia="Times New Roman" w:hAnsi="Arial" w:cs="Arial"/>
          <w:color w:val="1F1F1F"/>
          <w:kern w:val="0"/>
          <w14:ligatures w14:val="none"/>
        </w:rPr>
        <w:t xml:space="preserve"> was architected. </w:t>
      </w:r>
      <w:r w:rsidRPr="001660F2">
        <w:rPr>
          <w:rFonts w:ascii="Arial" w:eastAsia="Times New Roman" w:hAnsi="Arial" w:cs="Arial"/>
          <w:color w:val="1F1F1F"/>
          <w:kern w:val="0"/>
          <w:bdr w:val="none" w:sz="0" w:space="0" w:color="auto" w:frame="1"/>
          <w14:ligatures w14:val="none"/>
        </w:rPr>
        <w:t>By harmonizing distributor sales logs, secondary order data, and regional bottling constraints, the solution delivers accurate production scheduling and minimizes trade stockouts across tier-1 cities and rural distribution corridors.</w:t>
      </w:r>
      <w:r w:rsidRPr="001660F2">
        <w:rPr>
          <w:rFonts w:ascii="Arial" w:eastAsia="Times New Roman" w:hAnsi="Arial" w:cs="Arial"/>
          <w:color w:val="1F1F1F"/>
          <w:kern w:val="0"/>
          <w14:ligatures w14:val="none"/>
        </w:rPr>
        <w:t xml:space="preserve"> </w:t>
      </w:r>
    </w:p>
    <w:p w14:paraId="77DC9E74"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65B7B084"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Core Engineering &amp; Methodology</w:t>
      </w:r>
    </w:p>
    <w:p w14:paraId="52FBA9C5"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br/>
      </w:r>
    </w:p>
    <w:p w14:paraId="1BACC109" w14:textId="77777777" w:rsidR="001660F2" w:rsidRPr="001660F2" w:rsidRDefault="001660F2" w:rsidP="001660F2">
      <w:pPr>
        <w:numPr>
          <w:ilvl w:val="0"/>
          <w:numId w:val="5"/>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High-Resolution Secondary Demand Forecasting:</w:t>
      </w:r>
      <w:r w:rsidRPr="001660F2">
        <w:rPr>
          <w:rFonts w:ascii="Arial" w:eastAsia="Times New Roman" w:hAnsi="Arial" w:cs="Arial"/>
          <w:color w:val="1F1F1F"/>
          <w:kern w:val="0"/>
          <w14:ligatures w14:val="none"/>
        </w:rPr>
        <w:t xml:space="preserve"> </w:t>
      </w:r>
      <w:r w:rsidRPr="001660F2">
        <w:rPr>
          <w:rFonts w:ascii="Arial" w:eastAsia="Times New Roman" w:hAnsi="Arial" w:cs="Arial"/>
          <w:color w:val="1F1F1F"/>
          <w:kern w:val="0"/>
          <w:bdr w:val="none" w:sz="0" w:space="0" w:color="auto" w:frame="1"/>
          <w14:ligatures w14:val="none"/>
        </w:rPr>
        <w:t>Built multi-tier regression and time-series pipelines incorporating distributor order history, regional temperature shifts, festival demand spikes (e.g., Ramadan, Eid, wedding seasons), and promotional uplift.</w:t>
      </w:r>
      <w:r w:rsidRPr="001660F2">
        <w:rPr>
          <w:rFonts w:ascii="Arial" w:eastAsia="Times New Roman" w:hAnsi="Arial" w:cs="Arial"/>
          <w:color w:val="1F1F1F"/>
          <w:kern w:val="0"/>
          <w14:ligatures w14:val="none"/>
        </w:rPr>
        <w:t xml:space="preserve"> </w:t>
      </w:r>
    </w:p>
    <w:p w14:paraId="4D764146"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4CB2ED73" w14:textId="77777777" w:rsidR="001660F2" w:rsidRPr="001660F2" w:rsidRDefault="001660F2" w:rsidP="001660F2">
      <w:pPr>
        <w:numPr>
          <w:ilvl w:val="0"/>
          <w:numId w:val="5"/>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Distributor Route &amp; Fleet Allocation:</w:t>
      </w:r>
      <w:r w:rsidRPr="001660F2">
        <w:rPr>
          <w:rFonts w:ascii="Arial" w:eastAsia="Times New Roman" w:hAnsi="Arial" w:cs="Arial"/>
          <w:color w:val="1F1F1F"/>
          <w:kern w:val="0"/>
          <w14:ligatures w14:val="none"/>
        </w:rPr>
        <w:t xml:space="preserve"> Formulated vehicle routing and load-optimization models to maximize truck utilization across plant-to-depot and depot-to-distributor transit, significantly lowering per-crate freight costs.</w:t>
      </w:r>
    </w:p>
    <w:p w14:paraId="074C3883"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1220A401" w14:textId="77777777" w:rsidR="001660F2" w:rsidRPr="001660F2" w:rsidRDefault="001660F2" w:rsidP="001660F2">
      <w:pPr>
        <w:numPr>
          <w:ilvl w:val="0"/>
          <w:numId w:val="5"/>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Returnable Glass Bottle (RGB) &amp; PET Cycle Tracking:</w:t>
      </w:r>
      <w:r w:rsidRPr="001660F2">
        <w:rPr>
          <w:rFonts w:ascii="Arial" w:eastAsia="Times New Roman" w:hAnsi="Arial" w:cs="Arial"/>
          <w:color w:val="1F1F1F"/>
          <w:kern w:val="0"/>
          <w14:ligatures w14:val="none"/>
        </w:rPr>
        <w:t xml:space="preserve"> Modeled reverse logistics loops and dynamic buffer thresholds for returnable glass packaging </w:t>
      </w:r>
      <w:r w:rsidRPr="001660F2">
        <w:rPr>
          <w:rFonts w:ascii="Arial" w:eastAsia="Times New Roman" w:hAnsi="Arial" w:cs="Arial"/>
          <w:color w:val="1F1F1F"/>
          <w:kern w:val="0"/>
          <w14:ligatures w14:val="none"/>
        </w:rPr>
        <w:lastRenderedPageBreak/>
        <w:t>and raw preforms, preventing bottling line stoppages during peak summer surge periods.</w:t>
      </w:r>
    </w:p>
    <w:p w14:paraId="09406680"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06A8EF74" w14:textId="77777777" w:rsidR="001660F2" w:rsidRPr="001660F2" w:rsidRDefault="001660F2" w:rsidP="001660F2">
      <w:pPr>
        <w:numPr>
          <w:ilvl w:val="0"/>
          <w:numId w:val="5"/>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Trade Inventory Balancing &amp; Stockout Prevention:</w:t>
      </w:r>
      <w:r w:rsidRPr="001660F2">
        <w:rPr>
          <w:rFonts w:ascii="Arial" w:eastAsia="Times New Roman" w:hAnsi="Arial" w:cs="Arial"/>
          <w:color w:val="1F1F1F"/>
          <w:kern w:val="0"/>
          <w14:ligatures w14:val="none"/>
        </w:rPr>
        <w:t xml:space="preserve"> Designed automated buffer stock calculation models across regional transit hubs to maintain high distributor service levels while curbing localized inventory holding costs.</w:t>
      </w:r>
    </w:p>
    <w:p w14:paraId="19F6FC66"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333DA4EE"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Frameworks, Tech Stack &amp; Architecture</w:t>
      </w:r>
    </w:p>
    <w:p w14:paraId="5EED0A10"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 xml:space="preserve">Data ingestion pipelines and transaction harmonization across diverse ERP and distributor management systems (DMS) were engineered using </w:t>
      </w:r>
      <w:r w:rsidRPr="001660F2">
        <w:rPr>
          <w:rFonts w:ascii="Arial" w:eastAsia="Times New Roman" w:hAnsi="Arial" w:cs="Arial"/>
          <w:b/>
          <w:bCs/>
          <w:color w:val="1F1F1F"/>
          <w:kern w:val="0"/>
          <w:bdr w:val="none" w:sz="0" w:space="0" w:color="auto" w:frame="1"/>
          <w14:ligatures w14:val="none"/>
        </w:rPr>
        <w:t>Python (Polars, Pandas, and NumPy)</w:t>
      </w:r>
      <w:r w:rsidRPr="001660F2">
        <w:rPr>
          <w:rFonts w:ascii="Arial" w:eastAsia="Times New Roman" w:hAnsi="Arial" w:cs="Arial"/>
          <w:color w:val="1F1F1F"/>
          <w:kern w:val="0"/>
          <w14:ligatures w14:val="none"/>
        </w:rPr>
        <w:t xml:space="preserve">. Advanced time-series demand forecasting and promotional lift modeling were implemented utilizing </w:t>
      </w:r>
      <w:r w:rsidRPr="001660F2">
        <w:rPr>
          <w:rFonts w:ascii="Arial" w:eastAsia="Times New Roman" w:hAnsi="Arial" w:cs="Arial"/>
          <w:b/>
          <w:bCs/>
          <w:color w:val="1F1F1F"/>
          <w:kern w:val="0"/>
          <w:bdr w:val="none" w:sz="0" w:space="0" w:color="auto" w:frame="1"/>
          <w14:ligatures w14:val="none"/>
        </w:rPr>
        <w:t>LightGBM, XGBoost, and Statsmodels</w:t>
      </w:r>
      <w:r w:rsidRPr="001660F2">
        <w:rPr>
          <w:rFonts w:ascii="Arial" w:eastAsia="Times New Roman" w:hAnsi="Arial" w:cs="Arial"/>
          <w:color w:val="1F1F1F"/>
          <w:kern w:val="0"/>
          <w14:ligatures w14:val="none"/>
        </w:rPr>
        <w:t xml:space="preserve">, paired with </w:t>
      </w:r>
      <w:r w:rsidRPr="001660F2">
        <w:rPr>
          <w:rFonts w:ascii="Arial" w:eastAsia="Times New Roman" w:hAnsi="Arial" w:cs="Arial"/>
          <w:b/>
          <w:bCs/>
          <w:color w:val="1F1F1F"/>
          <w:kern w:val="0"/>
          <w:bdr w:val="none" w:sz="0" w:space="0" w:color="auto" w:frame="1"/>
          <w14:ligatures w14:val="none"/>
        </w:rPr>
        <w:t>Scikit-Learn</w:t>
      </w:r>
      <w:r w:rsidRPr="001660F2">
        <w:rPr>
          <w:rFonts w:ascii="Arial" w:eastAsia="Times New Roman" w:hAnsi="Arial" w:cs="Arial"/>
          <w:color w:val="1F1F1F"/>
          <w:kern w:val="0"/>
          <w14:ligatures w14:val="none"/>
        </w:rPr>
        <w:t xml:space="preserve"> for feature transformation and cross-validation pipelines.</w:t>
      </w:r>
    </w:p>
    <w:p w14:paraId="46A7EC37"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331DE31B"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 xml:space="preserve">Supply chain allocation and fleet routing optimization were solved via linear and mixed-integer programming using </w:t>
      </w:r>
      <w:r w:rsidRPr="001660F2">
        <w:rPr>
          <w:rFonts w:ascii="Arial" w:eastAsia="Times New Roman" w:hAnsi="Arial" w:cs="Arial"/>
          <w:b/>
          <w:bCs/>
          <w:color w:val="1F1F1F"/>
          <w:kern w:val="0"/>
          <w:bdr w:val="none" w:sz="0" w:space="0" w:color="auto" w:frame="1"/>
          <w14:ligatures w14:val="none"/>
        </w:rPr>
        <w:t>SciPy Optimize and PuLP</w:t>
      </w:r>
      <w:r w:rsidRPr="001660F2">
        <w:rPr>
          <w:rFonts w:ascii="Arial" w:eastAsia="Times New Roman" w:hAnsi="Arial" w:cs="Arial"/>
          <w:color w:val="1F1F1F"/>
          <w:kern w:val="0"/>
          <w14:ligatures w14:val="none"/>
        </w:rPr>
        <w:t xml:space="preserve">. Data warehousing, daily ETL batch orchestration, and distribution KPI aggregation were structured on </w:t>
      </w:r>
      <w:r w:rsidRPr="001660F2">
        <w:rPr>
          <w:rFonts w:ascii="Arial" w:eastAsia="Times New Roman" w:hAnsi="Arial" w:cs="Arial"/>
          <w:b/>
          <w:bCs/>
          <w:color w:val="1F1F1F"/>
          <w:kern w:val="0"/>
          <w:bdr w:val="none" w:sz="0" w:space="0" w:color="auto" w:frame="1"/>
          <w14:ligatures w14:val="none"/>
        </w:rPr>
        <w:t>SQL databases</w:t>
      </w:r>
      <w:r w:rsidRPr="001660F2">
        <w:rPr>
          <w:rFonts w:ascii="Arial" w:eastAsia="Times New Roman" w:hAnsi="Arial" w:cs="Arial"/>
          <w:color w:val="1F1F1F"/>
          <w:kern w:val="0"/>
          <w14:ligatures w14:val="none"/>
        </w:rPr>
        <w:t>, powering unified distributor scoreboards and interactive decision interfaces for supply chain leadership.</w:t>
      </w:r>
    </w:p>
    <w:p w14:paraId="1C9E5695"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016C4875"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Key Technical Capabilities</w:t>
      </w:r>
    </w:p>
    <w:p w14:paraId="32245811"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br/>
      </w:r>
    </w:p>
    <w:p w14:paraId="37535A6C"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Distributor-Level Demand Sensing:</w:t>
      </w:r>
      <w:r w:rsidRPr="001660F2">
        <w:rPr>
          <w:rFonts w:ascii="Arial" w:eastAsia="Times New Roman" w:hAnsi="Arial" w:cs="Arial"/>
          <w:color w:val="1F1F1F"/>
          <w:kern w:val="0"/>
          <w14:ligatures w14:val="none"/>
        </w:rPr>
        <w:t xml:space="preserve"> </w:t>
      </w:r>
      <w:r w:rsidRPr="001660F2">
        <w:rPr>
          <w:rFonts w:ascii="Arial" w:eastAsia="Times New Roman" w:hAnsi="Arial" w:cs="Arial"/>
          <w:color w:val="1F1F1F"/>
          <w:kern w:val="0"/>
          <w:bdr w:val="none" w:sz="0" w:space="0" w:color="auto" w:frame="1"/>
          <w14:ligatures w14:val="none"/>
        </w:rPr>
        <w:t>Granular weekly and monthly volume projections across carbonated soft drinks, fruit-based beverages, and energy drinks.</w:t>
      </w:r>
      <w:r w:rsidRPr="001660F2">
        <w:rPr>
          <w:rFonts w:ascii="Arial" w:eastAsia="Times New Roman" w:hAnsi="Arial" w:cs="Arial"/>
          <w:color w:val="1F1F1F"/>
          <w:kern w:val="0"/>
          <w14:ligatures w14:val="none"/>
        </w:rPr>
        <w:t xml:space="preserve"> </w:t>
      </w:r>
    </w:p>
    <w:p w14:paraId="13C0A2D6"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6033B35F"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Bottling Line &amp; SKU Production Scheduling:</w:t>
      </w:r>
      <w:r w:rsidRPr="001660F2">
        <w:rPr>
          <w:rFonts w:ascii="Arial" w:eastAsia="Times New Roman" w:hAnsi="Arial" w:cs="Arial"/>
          <w:color w:val="1F1F1F"/>
          <w:kern w:val="0"/>
          <w14:ligatures w14:val="none"/>
        </w:rPr>
        <w:t xml:space="preserve"> Deterministic batch sizing and changeover minimization aligned with real-time distributor pull.</w:t>
      </w:r>
    </w:p>
    <w:p w14:paraId="3A75363A"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3DAE2C6E"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Logistics &amp; Fleet Load Optimization:</w:t>
      </w:r>
      <w:r w:rsidRPr="001660F2">
        <w:rPr>
          <w:rFonts w:ascii="Arial" w:eastAsia="Times New Roman" w:hAnsi="Arial" w:cs="Arial"/>
          <w:color w:val="1F1F1F"/>
          <w:kern w:val="0"/>
          <w14:ligatures w14:val="none"/>
        </w:rPr>
        <w:t xml:space="preserve"> Automated payload balancing ensuring optimal weight and cubic volume utilization across long-haul transport.</w:t>
      </w:r>
    </w:p>
    <w:p w14:paraId="5DEB5E3D"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298B21AE"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Reverse Logistics Modeling:</w:t>
      </w:r>
      <w:r w:rsidRPr="001660F2">
        <w:rPr>
          <w:rFonts w:ascii="Arial" w:eastAsia="Times New Roman" w:hAnsi="Arial" w:cs="Arial"/>
          <w:color w:val="1F1F1F"/>
          <w:kern w:val="0"/>
          <w14:ligatures w14:val="none"/>
        </w:rPr>
        <w:t xml:space="preserve"> Predictive tracking for empty crate and bottle returns to support continuous production cycles.</w:t>
      </w:r>
    </w:p>
    <w:p w14:paraId="5997C9AE"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2F20FE44" w14:textId="55D2BD6F"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Trade Promotion ROI Tracking:</w:t>
      </w:r>
      <w:r w:rsidRPr="001660F2">
        <w:rPr>
          <w:rFonts w:ascii="Arial" w:eastAsia="Times New Roman" w:hAnsi="Arial" w:cs="Arial"/>
          <w:color w:val="1F1F1F"/>
          <w:kern w:val="0"/>
          <w14:ligatures w14:val="none"/>
        </w:rPr>
        <w:t xml:space="preserve"> Quantitative isolation of baseline organic velocity versus marketing-driven surge volume.</w:t>
      </w:r>
    </w:p>
    <w:p w14:paraId="1FC73951"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38EE9E42"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Business &amp; Decision Impact</w:t>
      </w:r>
    </w:p>
    <w:p w14:paraId="353A2EE8"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Transformed distribution logistics into an agile, data-driven supply chain network. The platform curtailed localized out-of-stock events during peak seasonal periods, boosted vehicle fleet capacity utilization, and provided commercial leadership with a mathematically sound foundation for regional market expansion.</w:t>
      </w:r>
    </w:p>
    <w:p w14:paraId="761BF6D3" w14:textId="77777777" w:rsidR="007A1838" w:rsidRDefault="007A1838">
      <w:pPr>
        <w:rPr>
          <w:rFonts w:asciiTheme="minorBidi" w:hAnsiTheme="minorBidi"/>
        </w:rPr>
      </w:pPr>
    </w:p>
    <w:p w14:paraId="2E51A4C5" w14:textId="77777777" w:rsidR="001660F2" w:rsidRDefault="001660F2">
      <w:pPr>
        <w:rPr>
          <w:rFonts w:asciiTheme="minorBidi" w:hAnsiTheme="minorBidi"/>
        </w:rPr>
      </w:pPr>
    </w:p>
    <w:p w14:paraId="40B7F1C2" w14:textId="77777777" w:rsidR="001660F2" w:rsidRDefault="001660F2">
      <w:pPr>
        <w:rPr>
          <w:rFonts w:asciiTheme="minorBidi" w:hAnsiTheme="minorBidi"/>
        </w:rPr>
      </w:pPr>
    </w:p>
    <w:p w14:paraId="2083B547" w14:textId="77777777" w:rsidR="001660F2" w:rsidRDefault="001660F2">
      <w:pPr>
        <w:rPr>
          <w:rFonts w:asciiTheme="minorBidi" w:hAnsiTheme="minorBidi"/>
        </w:rPr>
      </w:pPr>
    </w:p>
    <w:p w14:paraId="3CA25FF8" w14:textId="7CC32730" w:rsidR="001660F2" w:rsidRPr="001660F2" w:rsidRDefault="001660F2" w:rsidP="001660F2">
      <w:pPr>
        <w:pStyle w:val="ListParagraph"/>
        <w:numPr>
          <w:ilvl w:val="0"/>
          <w:numId w:val="2"/>
        </w:numPr>
        <w:spacing w:after="0" w:line="240" w:lineRule="auto"/>
        <w:rPr>
          <w:rFonts w:ascii="Arial" w:eastAsia="Times New Roman" w:hAnsi="Arial" w:cs="Arial"/>
          <w:color w:val="1F1F1F"/>
          <w:kern w:val="0"/>
          <w:sz w:val="32"/>
          <w:szCs w:val="32"/>
          <w14:ligatures w14:val="none"/>
        </w:rPr>
      </w:pPr>
      <w:r w:rsidRPr="001660F2">
        <w:rPr>
          <w:rFonts w:ascii="Arial" w:eastAsia="Times New Roman" w:hAnsi="Arial" w:cs="Arial"/>
          <w:b/>
          <w:bCs/>
          <w:color w:val="1F1F1F"/>
          <w:kern w:val="0"/>
          <w:sz w:val="32"/>
          <w:szCs w:val="32"/>
          <w:bdr w:val="none" w:sz="0" w:space="0" w:color="auto" w:frame="1"/>
          <w14:ligatures w14:val="none"/>
        </w:rPr>
        <w:lastRenderedPageBreak/>
        <w:t>Bayer Pharmaceuticals – Stochastic Scenario Simulation &amp; Clinical Decision Modeling Engine</w:t>
      </w:r>
    </w:p>
    <w:p w14:paraId="3C488C07" w14:textId="77777777" w:rsidR="001660F2" w:rsidRPr="001660F2" w:rsidRDefault="001660F2" w:rsidP="001660F2">
      <w:pPr>
        <w:spacing w:after="0" w:line="240" w:lineRule="auto"/>
        <w:rPr>
          <w:rFonts w:ascii="Arial" w:eastAsia="Times New Roman" w:hAnsi="Arial" w:cs="Arial"/>
          <w:color w:val="1F1F1F"/>
          <w:kern w:val="0"/>
          <w:sz w:val="32"/>
          <w:szCs w:val="32"/>
          <w14:ligatures w14:val="none"/>
        </w:rPr>
      </w:pPr>
    </w:p>
    <w:p w14:paraId="4630C7B4"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An enterprise-grade quantitative simulation framework engineered to model multi-pathway clinical trial trajectories, quantify operational and therapeutic uncertainty, and execute thousands of "what-if" scenario stress tests across complex drug development pipelines.</w:t>
      </w:r>
    </w:p>
    <w:p w14:paraId="586A1217"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7844E40E"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Executive Overview</w:t>
      </w:r>
    </w:p>
    <w:p w14:paraId="05EDD5EA"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 xml:space="preserve">Late-stage pharmaceutical research and clinical development operate under severe operational and biological volatility. Unforeseen patient dropout rates, non-linear safety signals, supply chain disruptions in investigational medicinal products (IMP), and protocol amendments can result in multimillion-dollar budget overruns or multi-year trial delays. To provide clinical leadership with proactive risk intelligence, an advanced </w:t>
      </w:r>
      <w:r w:rsidRPr="001660F2">
        <w:rPr>
          <w:rFonts w:ascii="Arial" w:eastAsia="Times New Roman" w:hAnsi="Arial" w:cs="Arial"/>
          <w:b/>
          <w:bCs/>
          <w:color w:val="1F1F1F"/>
          <w:kern w:val="0"/>
          <w:bdr w:val="none" w:sz="0" w:space="0" w:color="auto" w:frame="1"/>
          <w14:ligatures w14:val="none"/>
        </w:rPr>
        <w:t>Stochastic Scenario Simulation &amp; Decision Engine</w:t>
      </w:r>
      <w:r w:rsidRPr="001660F2">
        <w:rPr>
          <w:rFonts w:ascii="Arial" w:eastAsia="Times New Roman" w:hAnsi="Arial" w:cs="Arial"/>
          <w:color w:val="1F1F1F"/>
          <w:kern w:val="0"/>
          <w14:ligatures w14:val="none"/>
        </w:rPr>
        <w:t xml:space="preserve"> was architected. Leveraging high-throughput Monte Carlo algorithms and parametric statistical models, the system simulates thousands of parallel trial iterations to evaluate protocol feasibility, enrollment velocity, and risk boundaries prior to site activation.</w:t>
      </w:r>
    </w:p>
    <w:p w14:paraId="103429FC"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3C3B4FF6"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Core Engineering &amp; Methodology</w:t>
      </w:r>
    </w:p>
    <w:p w14:paraId="4A7758AC"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br/>
      </w:r>
    </w:p>
    <w:p w14:paraId="5F91A330" w14:textId="77777777" w:rsidR="001660F2" w:rsidRPr="001660F2" w:rsidRDefault="001660F2" w:rsidP="001660F2">
      <w:pPr>
        <w:numPr>
          <w:ilvl w:val="0"/>
          <w:numId w:val="7"/>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Monte Carlo Trial Trajectory Simulation:</w:t>
      </w:r>
      <w:r w:rsidRPr="001660F2">
        <w:rPr>
          <w:rFonts w:ascii="Arial" w:eastAsia="Times New Roman" w:hAnsi="Arial" w:cs="Arial"/>
          <w:color w:val="1F1F1F"/>
          <w:kern w:val="0"/>
          <w14:ligatures w14:val="none"/>
        </w:rPr>
        <w:t xml:space="preserve"> Designed a stochastic simulation framework executing 10,000+ iterations per trial protocol to project patient enrollment curves, dropout distributions, and interim endpoint milestones under fluctuating site recruitment velocities.</w:t>
      </w:r>
    </w:p>
    <w:p w14:paraId="712E4712"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17696731" w14:textId="77777777" w:rsidR="001660F2" w:rsidRPr="001660F2" w:rsidRDefault="001660F2" w:rsidP="001660F2">
      <w:pPr>
        <w:numPr>
          <w:ilvl w:val="0"/>
          <w:numId w:val="7"/>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Adverse Event &amp; Safety Signal Threshold Testing:</w:t>
      </w:r>
      <w:r w:rsidRPr="001660F2">
        <w:rPr>
          <w:rFonts w:ascii="Arial" w:eastAsia="Times New Roman" w:hAnsi="Arial" w:cs="Arial"/>
          <w:color w:val="1F1F1F"/>
          <w:kern w:val="0"/>
          <w14:ligatures w14:val="none"/>
        </w:rPr>
        <w:t xml:space="preserve"> Simulated synthetic patient cohorts to stress-test statistical detection thresholds for rare adverse events, establishing clear probabilistic safety triggers across escalating dosing cohorts.</w:t>
      </w:r>
    </w:p>
    <w:p w14:paraId="41A87AC6"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777ACBB4" w14:textId="77777777" w:rsidR="001660F2" w:rsidRPr="001660F2" w:rsidRDefault="001660F2" w:rsidP="001660F2">
      <w:pPr>
        <w:numPr>
          <w:ilvl w:val="0"/>
          <w:numId w:val="7"/>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Dynamic Protocol Amendment &amp; What-If Stress Testing:</w:t>
      </w:r>
      <w:r w:rsidRPr="001660F2">
        <w:rPr>
          <w:rFonts w:ascii="Arial" w:eastAsia="Times New Roman" w:hAnsi="Arial" w:cs="Arial"/>
          <w:color w:val="1F1F1F"/>
          <w:kern w:val="0"/>
          <w14:ligatures w14:val="none"/>
        </w:rPr>
        <w:t xml:space="preserve"> Built scenario-modeling modules enabling clinical directors to test operational variables—such as shifting inclusion/exclusion criteria, adding secondary trial sites, or adjusting randomization ratios—and observe downstream statistical power and cost impacts in real time.</w:t>
      </w:r>
    </w:p>
    <w:p w14:paraId="3CE5A70F"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5146CF3A" w14:textId="77777777" w:rsidR="001660F2" w:rsidRPr="001660F2" w:rsidRDefault="001660F2" w:rsidP="001660F2">
      <w:pPr>
        <w:numPr>
          <w:ilvl w:val="0"/>
          <w:numId w:val="7"/>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Supply Chain &amp; IMP Demand Simulation:</w:t>
      </w:r>
      <w:r w:rsidRPr="001660F2">
        <w:rPr>
          <w:rFonts w:ascii="Arial" w:eastAsia="Times New Roman" w:hAnsi="Arial" w:cs="Arial"/>
          <w:color w:val="1F1F1F"/>
          <w:kern w:val="0"/>
          <w14:ligatures w14:val="none"/>
        </w:rPr>
        <w:t xml:space="preserve"> Modeled global investigational drug inventory flows against variable patient recruitment rates, minimizing clinical site stockouts and drug expiration waste across multi-country trial networks.</w:t>
      </w:r>
    </w:p>
    <w:p w14:paraId="2488C9AD"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2EADB103"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Frameworks, Tech Stack &amp; Architecture</w:t>
      </w:r>
    </w:p>
    <w:p w14:paraId="586C9EA6"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 xml:space="preserve">The core simulation algorithms and multi-threaded computational workflows were developed in </w:t>
      </w:r>
      <w:r w:rsidRPr="001660F2">
        <w:rPr>
          <w:rFonts w:ascii="Arial" w:eastAsia="Times New Roman" w:hAnsi="Arial" w:cs="Arial"/>
          <w:b/>
          <w:bCs/>
          <w:color w:val="1F1F1F"/>
          <w:kern w:val="0"/>
          <w:bdr w:val="none" w:sz="0" w:space="0" w:color="auto" w:frame="1"/>
          <w14:ligatures w14:val="none"/>
        </w:rPr>
        <w:t>Python (NumPy, SciPy, and SimPy)</w:t>
      </w:r>
      <w:r w:rsidRPr="001660F2">
        <w:rPr>
          <w:rFonts w:ascii="Arial" w:eastAsia="Times New Roman" w:hAnsi="Arial" w:cs="Arial"/>
          <w:color w:val="1F1F1F"/>
          <w:kern w:val="0"/>
          <w14:ligatures w14:val="none"/>
        </w:rPr>
        <w:t xml:space="preserve"> alongside </w:t>
      </w:r>
      <w:r w:rsidRPr="001660F2">
        <w:rPr>
          <w:rFonts w:ascii="Arial" w:eastAsia="Times New Roman" w:hAnsi="Arial" w:cs="Arial"/>
          <w:b/>
          <w:bCs/>
          <w:color w:val="1F1F1F"/>
          <w:kern w:val="0"/>
          <w:bdr w:val="none" w:sz="0" w:space="0" w:color="auto" w:frame="1"/>
          <w14:ligatures w14:val="none"/>
        </w:rPr>
        <w:t>R (SimCorr, trialOpt, and brms)</w:t>
      </w:r>
      <w:r w:rsidRPr="001660F2">
        <w:rPr>
          <w:rFonts w:ascii="Arial" w:eastAsia="Times New Roman" w:hAnsi="Arial" w:cs="Arial"/>
          <w:color w:val="1F1F1F"/>
          <w:kern w:val="0"/>
          <w14:ligatures w14:val="none"/>
        </w:rPr>
        <w:t xml:space="preserve"> for high-speed statistical sampling and discrete-event modeling. Advanced data manipulation and cohort parameter generation were managed using </w:t>
      </w:r>
      <w:r w:rsidRPr="001660F2">
        <w:rPr>
          <w:rFonts w:ascii="Arial" w:eastAsia="Times New Roman" w:hAnsi="Arial" w:cs="Arial"/>
          <w:b/>
          <w:bCs/>
          <w:color w:val="1F1F1F"/>
          <w:kern w:val="0"/>
          <w:bdr w:val="none" w:sz="0" w:space="0" w:color="auto" w:frame="1"/>
          <w14:ligatures w14:val="none"/>
        </w:rPr>
        <w:lastRenderedPageBreak/>
        <w:t>Pandas and Polars</w:t>
      </w:r>
      <w:r w:rsidRPr="001660F2">
        <w:rPr>
          <w:rFonts w:ascii="Arial" w:eastAsia="Times New Roman" w:hAnsi="Arial" w:cs="Arial"/>
          <w:color w:val="1F1F1F"/>
          <w:kern w:val="0"/>
          <w14:ligatures w14:val="none"/>
        </w:rPr>
        <w:t xml:space="preserve">, with biostatistical and survival simulation routines built on </w:t>
      </w:r>
      <w:r w:rsidRPr="001660F2">
        <w:rPr>
          <w:rFonts w:ascii="Arial" w:eastAsia="Times New Roman" w:hAnsi="Arial" w:cs="Arial"/>
          <w:b/>
          <w:bCs/>
          <w:color w:val="1F1F1F"/>
          <w:kern w:val="0"/>
          <w:bdr w:val="none" w:sz="0" w:space="0" w:color="auto" w:frame="1"/>
          <w14:ligatures w14:val="none"/>
        </w:rPr>
        <w:t>Lifelines and Scikit-Survival</w:t>
      </w:r>
      <w:r w:rsidRPr="001660F2">
        <w:rPr>
          <w:rFonts w:ascii="Arial" w:eastAsia="Times New Roman" w:hAnsi="Arial" w:cs="Arial"/>
          <w:color w:val="1F1F1F"/>
          <w:kern w:val="0"/>
          <w14:ligatures w14:val="none"/>
        </w:rPr>
        <w:t>.</w:t>
      </w:r>
    </w:p>
    <w:p w14:paraId="5A0F28FC"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12A42DDB"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 xml:space="preserve">Mathematical parameter constraints and resource optimization were executed using </w:t>
      </w:r>
      <w:r w:rsidRPr="001660F2">
        <w:rPr>
          <w:rFonts w:ascii="Arial" w:eastAsia="Times New Roman" w:hAnsi="Arial" w:cs="Arial"/>
          <w:b/>
          <w:bCs/>
          <w:color w:val="1F1F1F"/>
          <w:kern w:val="0"/>
          <w:bdr w:val="none" w:sz="0" w:space="0" w:color="auto" w:frame="1"/>
          <w14:ligatures w14:val="none"/>
        </w:rPr>
        <w:t>SciPy Optimize and PuLP</w:t>
      </w:r>
      <w:r w:rsidRPr="001660F2">
        <w:rPr>
          <w:rFonts w:ascii="Arial" w:eastAsia="Times New Roman" w:hAnsi="Arial" w:cs="Arial"/>
          <w:color w:val="1F1F1F"/>
          <w:kern w:val="0"/>
          <w14:ligatures w14:val="none"/>
        </w:rPr>
        <w:t xml:space="preserve">. Data ingestion from historical trial repositories and clinical metadata was handled via </w:t>
      </w:r>
      <w:r w:rsidRPr="001660F2">
        <w:rPr>
          <w:rFonts w:ascii="Arial" w:eastAsia="Times New Roman" w:hAnsi="Arial" w:cs="Arial"/>
          <w:b/>
          <w:bCs/>
          <w:color w:val="1F1F1F"/>
          <w:kern w:val="0"/>
          <w:bdr w:val="none" w:sz="0" w:space="0" w:color="auto" w:frame="1"/>
          <w14:ligatures w14:val="none"/>
        </w:rPr>
        <w:t>SQL-driven ETL pipelines</w:t>
      </w:r>
      <w:r w:rsidRPr="001660F2">
        <w:rPr>
          <w:rFonts w:ascii="Arial" w:eastAsia="Times New Roman" w:hAnsi="Arial" w:cs="Arial"/>
          <w:color w:val="1F1F1F"/>
          <w:kern w:val="0"/>
          <w14:ligatures w14:val="none"/>
        </w:rPr>
        <w:t xml:space="preserve"> adhering to CDISC standards. The simulation outputs, sensitivity heatmaps, and probability density distributions were deployed into an interactive scenario dashboard for executive and medical review boards.</w:t>
      </w:r>
    </w:p>
    <w:p w14:paraId="3F7FEA06" w14:textId="77777777" w:rsidR="001660F2" w:rsidRPr="001660F2" w:rsidRDefault="001660F2" w:rsidP="001660F2">
      <w:pPr>
        <w:spacing w:after="0" w:line="240" w:lineRule="auto"/>
        <w:rPr>
          <w:rFonts w:ascii="Arial" w:eastAsia="Times New Roman" w:hAnsi="Arial" w:cs="Arial"/>
          <w:color w:val="1F1F1F"/>
          <w:kern w:val="0"/>
          <w14:ligatures w14:val="none"/>
        </w:rPr>
      </w:pPr>
    </w:p>
    <w:p w14:paraId="2941BC40"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Key Technical Capabilities</w:t>
      </w:r>
    </w:p>
    <w:p w14:paraId="59DFB572"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br/>
      </w:r>
    </w:p>
    <w:p w14:paraId="7640BA37" w14:textId="77777777" w:rsidR="001660F2" w:rsidRPr="001660F2" w:rsidRDefault="001660F2" w:rsidP="001660F2">
      <w:pPr>
        <w:numPr>
          <w:ilvl w:val="0"/>
          <w:numId w:val="8"/>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High-Throughput Monte Carlo Simulation:</w:t>
      </w:r>
      <w:r w:rsidRPr="001660F2">
        <w:rPr>
          <w:rFonts w:ascii="Arial" w:eastAsia="Times New Roman" w:hAnsi="Arial" w:cs="Arial"/>
          <w:color w:val="1F1F1F"/>
          <w:kern w:val="0"/>
          <w14:ligatures w14:val="none"/>
        </w:rPr>
        <w:t xml:space="preserve"> Multi-variable trajectory modeling under variable clinical and operational constraints.</w:t>
      </w:r>
    </w:p>
    <w:p w14:paraId="2C34CE16"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00D2F072" w14:textId="77777777" w:rsidR="001660F2" w:rsidRPr="001660F2" w:rsidRDefault="001660F2" w:rsidP="001660F2">
      <w:pPr>
        <w:numPr>
          <w:ilvl w:val="0"/>
          <w:numId w:val="8"/>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Discrete-Event Simulation (DES):</w:t>
      </w:r>
      <w:r w:rsidRPr="001660F2">
        <w:rPr>
          <w:rFonts w:ascii="Arial" w:eastAsia="Times New Roman" w:hAnsi="Arial" w:cs="Arial"/>
          <w:color w:val="1F1F1F"/>
          <w:kern w:val="0"/>
          <w14:ligatures w14:val="none"/>
        </w:rPr>
        <w:t xml:space="preserve"> Granular tracking of site-level patient flow, screening visits, treatment cycles, and follow-up milestones.</w:t>
      </w:r>
    </w:p>
    <w:p w14:paraId="375EFFB6"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5284A8BB" w14:textId="77777777" w:rsidR="001660F2" w:rsidRPr="001660F2" w:rsidRDefault="001660F2" w:rsidP="001660F2">
      <w:pPr>
        <w:numPr>
          <w:ilvl w:val="0"/>
          <w:numId w:val="8"/>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Statistical Power &amp; Sample Size Re-estimation:</w:t>
      </w:r>
      <w:r w:rsidRPr="001660F2">
        <w:rPr>
          <w:rFonts w:ascii="Arial" w:eastAsia="Times New Roman" w:hAnsi="Arial" w:cs="Arial"/>
          <w:color w:val="1F1F1F"/>
          <w:kern w:val="0"/>
          <w14:ligatures w14:val="none"/>
        </w:rPr>
        <w:t xml:space="preserve"> Dynamic modeling of protocol power curves across varying effect sizes and attrition rates.</w:t>
      </w:r>
    </w:p>
    <w:p w14:paraId="4649FB67"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1F3E86B8" w14:textId="77777777" w:rsidR="001660F2" w:rsidRPr="001660F2" w:rsidRDefault="001660F2" w:rsidP="001660F2">
      <w:pPr>
        <w:numPr>
          <w:ilvl w:val="0"/>
          <w:numId w:val="8"/>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Risk Dispersion &amp; Tail-Probability Analysis:</w:t>
      </w:r>
      <w:r w:rsidRPr="001660F2">
        <w:rPr>
          <w:rFonts w:ascii="Arial" w:eastAsia="Times New Roman" w:hAnsi="Arial" w:cs="Arial"/>
          <w:color w:val="1F1F1F"/>
          <w:kern w:val="0"/>
          <w14:ligatures w14:val="none"/>
        </w:rPr>
        <w:t xml:space="preserve"> Quantitative mapping of downside schedule slip, cost volatility, and trial failure probabilities.</w:t>
      </w:r>
    </w:p>
    <w:p w14:paraId="3CC314B0"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22FD8798" w14:textId="77777777" w:rsidR="001660F2" w:rsidRPr="001660F2" w:rsidRDefault="001660F2" w:rsidP="001660F2">
      <w:pPr>
        <w:numPr>
          <w:ilvl w:val="0"/>
          <w:numId w:val="8"/>
        </w:num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Synthetic Cohort Generation:</w:t>
      </w:r>
      <w:r w:rsidRPr="001660F2">
        <w:rPr>
          <w:rFonts w:ascii="Arial" w:eastAsia="Times New Roman" w:hAnsi="Arial" w:cs="Arial"/>
          <w:color w:val="1F1F1F"/>
          <w:kern w:val="0"/>
          <w14:ligatures w14:val="none"/>
        </w:rPr>
        <w:t xml:space="preserve"> Parametric sampling to model rare disease populations and evaluate protocol feasibility where historical patient data is limited.</w:t>
      </w:r>
    </w:p>
    <w:p w14:paraId="73479C05" w14:textId="77777777" w:rsidR="001660F2" w:rsidRPr="001660F2" w:rsidRDefault="001660F2" w:rsidP="001660F2">
      <w:pPr>
        <w:spacing w:after="0" w:line="240" w:lineRule="auto"/>
        <w:ind w:left="720"/>
        <w:rPr>
          <w:rFonts w:ascii="Arial" w:eastAsia="Times New Roman" w:hAnsi="Arial" w:cs="Arial"/>
          <w:color w:val="1F1F1F"/>
          <w:kern w:val="0"/>
          <w14:ligatures w14:val="none"/>
        </w:rPr>
      </w:pPr>
    </w:p>
    <w:p w14:paraId="1D3968CD"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b/>
          <w:bCs/>
          <w:color w:val="1F1F1F"/>
          <w:kern w:val="0"/>
          <w:bdr w:val="none" w:sz="0" w:space="0" w:color="auto" w:frame="1"/>
          <w14:ligatures w14:val="none"/>
        </w:rPr>
        <w:t>Business &amp; Decision Impact</w:t>
      </w:r>
    </w:p>
    <w:p w14:paraId="3E76330D" w14:textId="77777777" w:rsidR="001660F2" w:rsidRPr="001660F2" w:rsidRDefault="001660F2" w:rsidP="001660F2">
      <w:pPr>
        <w:spacing w:after="0" w:line="240" w:lineRule="auto"/>
        <w:rPr>
          <w:rFonts w:ascii="Arial" w:eastAsia="Times New Roman" w:hAnsi="Arial" w:cs="Arial"/>
          <w:color w:val="1F1F1F"/>
          <w:kern w:val="0"/>
          <w14:ligatures w14:val="none"/>
        </w:rPr>
      </w:pPr>
      <w:r w:rsidRPr="001660F2">
        <w:rPr>
          <w:rFonts w:ascii="Arial" w:eastAsia="Times New Roman" w:hAnsi="Arial" w:cs="Arial"/>
          <w:color w:val="1F1F1F"/>
          <w:kern w:val="0"/>
          <w14:ligatures w14:val="none"/>
        </w:rPr>
        <w:t>Replaced static, single-point trial planning spreadsheets with a probabilistic decision-intelligence platform. The system empowered clinical development teams to de-risk trial protocols before execution, optimize site allocation, reduce investigational drug waste, and safeguard development timelines against critical operational bottlenecks.</w:t>
      </w:r>
    </w:p>
    <w:p w14:paraId="3C8532B3" w14:textId="77777777" w:rsidR="001660F2" w:rsidRPr="001660F2" w:rsidRDefault="001660F2">
      <w:pPr>
        <w:rPr>
          <w:rFonts w:asciiTheme="minorBidi" w:hAnsiTheme="minorBidi"/>
        </w:rPr>
      </w:pPr>
    </w:p>
    <w:sectPr w:rsidR="001660F2" w:rsidRPr="001660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08A0"/>
    <w:multiLevelType w:val="multilevel"/>
    <w:tmpl w:val="124A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102B"/>
    <w:multiLevelType w:val="multilevel"/>
    <w:tmpl w:val="086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838ED"/>
    <w:multiLevelType w:val="multilevel"/>
    <w:tmpl w:val="51D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87192"/>
    <w:multiLevelType w:val="multilevel"/>
    <w:tmpl w:val="707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979EA"/>
    <w:multiLevelType w:val="multilevel"/>
    <w:tmpl w:val="B9E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71939"/>
    <w:multiLevelType w:val="hybridMultilevel"/>
    <w:tmpl w:val="CEC6F738"/>
    <w:lvl w:ilvl="0" w:tplc="6D6AD4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E0CD5"/>
    <w:multiLevelType w:val="multilevel"/>
    <w:tmpl w:val="FE9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12D0F"/>
    <w:multiLevelType w:val="multilevel"/>
    <w:tmpl w:val="B5C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98376">
    <w:abstractNumId w:val="4"/>
  </w:num>
  <w:num w:numId="2" w16cid:durableId="2026973561">
    <w:abstractNumId w:val="5"/>
  </w:num>
  <w:num w:numId="3" w16cid:durableId="268002627">
    <w:abstractNumId w:val="0"/>
  </w:num>
  <w:num w:numId="4" w16cid:durableId="1749960763">
    <w:abstractNumId w:val="2"/>
  </w:num>
  <w:num w:numId="5" w16cid:durableId="1687555662">
    <w:abstractNumId w:val="3"/>
  </w:num>
  <w:num w:numId="6" w16cid:durableId="269892757">
    <w:abstractNumId w:val="7"/>
  </w:num>
  <w:num w:numId="7" w16cid:durableId="299582219">
    <w:abstractNumId w:val="1"/>
  </w:num>
  <w:num w:numId="8" w16cid:durableId="158626197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C5"/>
    <w:rsid w:val="001660F2"/>
    <w:rsid w:val="006635FF"/>
    <w:rsid w:val="00785AC5"/>
    <w:rsid w:val="007A183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786EC20"/>
  <w15:chartTrackingRefBased/>
  <w15:docId w15:val="{5AAF5767-2629-834C-A98A-0EF741C46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AC5"/>
    <w:rPr>
      <w:rFonts w:eastAsiaTheme="majorEastAsia" w:cstheme="majorBidi"/>
      <w:color w:val="272727" w:themeColor="text1" w:themeTint="D8"/>
    </w:rPr>
  </w:style>
  <w:style w:type="paragraph" w:styleId="Title">
    <w:name w:val="Title"/>
    <w:basedOn w:val="Normal"/>
    <w:next w:val="Normal"/>
    <w:link w:val="TitleChar"/>
    <w:uiPriority w:val="10"/>
    <w:qFormat/>
    <w:rsid w:val="00785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AC5"/>
    <w:pPr>
      <w:spacing w:before="160"/>
      <w:jc w:val="center"/>
    </w:pPr>
    <w:rPr>
      <w:i/>
      <w:iCs/>
      <w:color w:val="404040" w:themeColor="text1" w:themeTint="BF"/>
    </w:rPr>
  </w:style>
  <w:style w:type="character" w:customStyle="1" w:styleId="QuoteChar">
    <w:name w:val="Quote Char"/>
    <w:basedOn w:val="DefaultParagraphFont"/>
    <w:link w:val="Quote"/>
    <w:uiPriority w:val="29"/>
    <w:rsid w:val="00785AC5"/>
    <w:rPr>
      <w:i/>
      <w:iCs/>
      <w:color w:val="404040" w:themeColor="text1" w:themeTint="BF"/>
    </w:rPr>
  </w:style>
  <w:style w:type="paragraph" w:styleId="ListParagraph">
    <w:name w:val="List Paragraph"/>
    <w:basedOn w:val="Normal"/>
    <w:uiPriority w:val="34"/>
    <w:qFormat/>
    <w:rsid w:val="00785AC5"/>
    <w:pPr>
      <w:ind w:left="720"/>
      <w:contextualSpacing/>
    </w:pPr>
  </w:style>
  <w:style w:type="character" w:styleId="IntenseEmphasis">
    <w:name w:val="Intense Emphasis"/>
    <w:basedOn w:val="DefaultParagraphFont"/>
    <w:uiPriority w:val="21"/>
    <w:qFormat/>
    <w:rsid w:val="00785AC5"/>
    <w:rPr>
      <w:i/>
      <w:iCs/>
      <w:color w:val="0F4761" w:themeColor="accent1" w:themeShade="BF"/>
    </w:rPr>
  </w:style>
  <w:style w:type="paragraph" w:styleId="IntenseQuote">
    <w:name w:val="Intense Quote"/>
    <w:basedOn w:val="Normal"/>
    <w:next w:val="Normal"/>
    <w:link w:val="IntenseQuoteChar"/>
    <w:uiPriority w:val="30"/>
    <w:qFormat/>
    <w:rsid w:val="00785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AC5"/>
    <w:rPr>
      <w:i/>
      <w:iCs/>
      <w:color w:val="0F4761" w:themeColor="accent1" w:themeShade="BF"/>
    </w:rPr>
  </w:style>
  <w:style w:type="character" w:styleId="IntenseReference">
    <w:name w:val="Intense Reference"/>
    <w:basedOn w:val="DefaultParagraphFont"/>
    <w:uiPriority w:val="32"/>
    <w:qFormat/>
    <w:rsid w:val="00785AC5"/>
    <w:rPr>
      <w:b/>
      <w:bCs/>
      <w:smallCaps/>
      <w:color w:val="0F4761" w:themeColor="accent1" w:themeShade="BF"/>
      <w:spacing w:val="5"/>
    </w:rPr>
  </w:style>
  <w:style w:type="paragraph" w:styleId="NormalWeb">
    <w:name w:val="Normal (Web)"/>
    <w:basedOn w:val="Normal"/>
    <w:uiPriority w:val="99"/>
    <w:semiHidden/>
    <w:unhideWhenUsed/>
    <w:rsid w:val="007A18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0">
    <w:name w:val="citation-140"/>
    <w:basedOn w:val="DefaultParagraphFont"/>
    <w:rsid w:val="001660F2"/>
  </w:style>
  <w:style w:type="character" w:customStyle="1" w:styleId="citation-139">
    <w:name w:val="citation-139"/>
    <w:basedOn w:val="DefaultParagraphFont"/>
    <w:rsid w:val="001660F2"/>
  </w:style>
  <w:style w:type="character" w:customStyle="1" w:styleId="citation-138">
    <w:name w:val="citation-138"/>
    <w:basedOn w:val="DefaultParagraphFont"/>
    <w:rsid w:val="001660F2"/>
  </w:style>
  <w:style w:type="character" w:customStyle="1" w:styleId="citation-137">
    <w:name w:val="citation-137"/>
    <w:basedOn w:val="DefaultParagraphFont"/>
    <w:rsid w:val="001660F2"/>
  </w:style>
  <w:style w:type="character" w:customStyle="1" w:styleId="citation-136">
    <w:name w:val="citation-136"/>
    <w:basedOn w:val="DefaultParagraphFont"/>
    <w:rsid w:val="001660F2"/>
  </w:style>
  <w:style w:type="character" w:customStyle="1" w:styleId="citation-135">
    <w:name w:val="citation-135"/>
    <w:basedOn w:val="DefaultParagraphFont"/>
    <w:rsid w:val="00166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Jamshed</dc:creator>
  <cp:keywords/>
  <dc:description/>
  <cp:lastModifiedBy>Zainab Jamshed</cp:lastModifiedBy>
  <cp:revision>2</cp:revision>
  <dcterms:created xsi:type="dcterms:W3CDTF">2026-08-25T13:20:00Z</dcterms:created>
  <dcterms:modified xsi:type="dcterms:W3CDTF">2026-08-25T13:35:00Z</dcterms:modified>
</cp:coreProperties>
</file>