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Hotel Cancellation &amp; Revenue Optimization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Executive Summary Report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Dataset Period: July 2015 – August 2017  |  Prepared: May 2026</w:t>
      </w: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Performance Indicators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$29,600,597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$5,404,113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Revenue Loss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27.76%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Avg Cancellation Rate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hotel portfolio generated $29.6M in total revenue across the analysis period. However, a significant $5.4M was lost due to cancellations — representing 18.2% of potential total revenue. With an average cancellation rate of 27.76%, nearly 1 in 3 bookings do not convert to a completed stay.</w:t>
      </w: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Cancellation Trends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Cancellation volumes show strong seasonality and year-over-year growth. 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cancellations occur in February and March, correlating with high booking volumes for summer travel.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2017 saw a dramatic spike with 1,317 cancellations recorded in February alone — nearly double the 2016 figure of 810.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Summer months (June–August) show relatively lower cancellation volumes despite high revenue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months of January and September consistently show near-zero cancellations, suggesting seasonal booking patterns.</w:t>
      </w: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Lead Time vs. Cancellation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strong positive correlation exists between booking lead time and cancellation likelihood. The longer in advance a booking is made, the higher the probability of cancellation: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Range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91–180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MODERATE-HIGH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181–400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400+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Bookings made more than 180 days in advance carry a cancellation rate nearly 2.5x higher than last-minute bookings. This data strongly supports tiered deposit policies based on lead time.</w:t>
      </w: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Deposit Type &amp; Hotel Segment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Cancellation by Deposit Type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deposit type analysis reveals a critical and counter-intuitive insight: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Deposit Type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Deposit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12,078 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98.9%  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1,388 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Refundable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100.0%  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bookings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Non-Refundable deposits have a 98.9% cancellation rate — nearly universal cancellation. This suggests guests booking Non-Refundable rates are likely doing so speculatively or are being denied refunds despite cancelling. This policy is not functioning as intended and requires urgent review.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Cancellation by Hotel Type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City Hotels (40.9% cancellation rate) significantly outperform Resort Hotels (25.4%) in cancellations. City hotels account for 66.9% of all bookings (9,008 vs 4,460) yet carry a much higher cancellation burden, indicating urban travelers are more likely to change plans.</w:t>
      </w: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Strategic Recommendations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Implement Lead-Time Based Deposit Policy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that bookings made 180+ days in advance cancel at 58.9%, the hotel should require a partial non-refundable deposit (e.g., 20–30% of total stay value) for all bookings made more than 90 days in advance. This creates a financial disincentive to cancel while remaining competitive.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Revise booking engine deposit rules; segment by lead time brackets (0–30, 31–90, 91–180, 180+ days). Roll out to City Hotels first where cancellation risk is highest.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Review &amp; Reform the Non-Refundable Deposit Policy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Non-Refundable deposit category records a 98.9% cancellation rate, meaning almost no guest who books under this policy actually stays. This policy is likely deterring genuine bookings while failing to retain revenue. Consider replacing it with a 'Partially Refundable' tier that refunds 50% if cancelled 30+ days out.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Conduct a guest survey on Non-Refundable cancellation reasons. Pilot a revised 'Flex-Saver' deposit model and measure conversion impact over 3 months.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843C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4"/>
                <w:szCs w:val="24"/>
              </w:rPr>
              <w:t xml:space="preserve">Deploy Targeted Re-engagement Campaigns for City Hotel Bookings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Hotels carry a 40.9% cancellation rate vs 25.4% for Resort Hotels. A targeted pre-arrival communication strategy (email reminders at 30-day, 14-day, 7-day intervals) can reduce no-shows and late cancellations. Offering a complimentary upgrade or loyalty points for confirmed stays can further reduce cancellation intent.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Integrate an automated CRM email sequence triggered at 30/14/7 days before arrival for all City Hotel bookings with lead time over 60 days.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F4E79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analysis confirms that hotel cancellations are not random — they follow predictable patterns driven by lead time, deposit policy, and hotel type. By implementing data-driven deposit structures and proactive guest engagement, the hotel can realistically recover 15–25% of current revenue losses, translating to an estimated $810,000–$1,350,000 in recovered annual revenue.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Excel dashboard provides management with the interactive tools needed to monitor these KPIs on an ongoing basis and drill down by hotel type and time period to track improvement.</w:t>
      </w:r>
    </w:p>
    <w:p>
      <w:pPr>
        <w:pBdr>
          <w:top w:val="single" w:color="CCCCCC" w:sz="4" w:space="1"/>
        </w:pBdr>
        <w:spacing w:before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based on Hotel Booking Dataset (July 2015 – August 2017). Analysis covers 13,468 bookings across City and Resort hotel categories.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2026-05-01T19:18:42.591Z</dcterms:created>
  <dcterms:modified xsi:type="dcterms:W3CDTF">2026-05-01T19:18:42.615Z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