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jc w:val="left"/>
      </w:pPr>
      <w:r>
        <w:rPr>
          <w:rFonts w:ascii="Arial" w:cs="Arial" w:eastAsia="Arial" w:hAnsi="Arial"/>
          <w:b w:val="false"/>
          <w:bCs w:val="false"/>
          <w:i w:val="false"/>
          <w:iCs w:val="false"/>
          <w:caps w:val="false"/>
          <w:color w:val="000000"/>
          <w:sz w:val="22"/>
          <w:szCs w:val="22"/>
        </w:rPr>
        <w:t xml:space="preserve"> </w:t>
      </w:r>
    </w:p>
    <w:p>
      <w:pPr>
        <w:spacing w:after="80" w:before="0"/>
        <w:jc w:val="center"/>
      </w:pPr>
      <w:r>
        <w:rPr>
          <w:rFonts w:ascii="Arial" w:cs="Arial" w:eastAsia="Arial" w:hAnsi="Arial"/>
          <w:b w:val="false"/>
          <w:bCs w:val="false"/>
          <w:i w:val="false"/>
          <w:iCs w:val="false"/>
          <w:caps/>
          <w:color w:val="888888"/>
          <w:sz w:val="17"/>
          <w:szCs w:val="17"/>
        </w:rPr>
        <w:t xml:space="preserve">CONFIDENTIAL | INTERNAL STRATEGY DOCUMENT</w:t>
      </w:r>
    </w:p>
    <w:p>
      <w:pPr>
        <w:spacing w:after="40" w:before="60"/>
        <w:jc w:val="center"/>
      </w:pPr>
      <w:r>
        <w:rPr>
          <w:rFonts w:ascii="Arial" w:cs="Arial" w:eastAsia="Arial" w:hAnsi="Arial"/>
          <w:b/>
          <w:bCs/>
          <w:i w:val="false"/>
          <w:iCs w:val="false"/>
          <w:caps/>
          <w:color w:val="1B3A5C"/>
          <w:sz w:val="42"/>
          <w:szCs w:val="42"/>
        </w:rPr>
        <w:t xml:space="preserve">CONSUMER BANKING SECTOR</w:t>
      </w:r>
    </w:p>
    <w:p>
      <w:pPr>
        <w:spacing w:after="80" w:before="0"/>
        <w:jc w:val="center"/>
      </w:pPr>
      <w:r>
        <w:rPr>
          <w:rFonts w:ascii="Arial" w:cs="Arial" w:eastAsia="Arial" w:hAnsi="Arial"/>
          <w:b/>
          <w:bCs/>
          <w:i w:val="false"/>
          <w:iCs w:val="false"/>
          <w:caps/>
          <w:color w:val="2E6DA4"/>
          <w:sz w:val="28"/>
          <w:szCs w:val="28"/>
        </w:rPr>
        <w:t xml:space="preserve">STRATEGY VERDICT &amp; 6-MONTH ACTION PLAN</w:t>
      </w:r>
    </w:p>
    <w:p>
      <w:pPr>
        <w:pBdr>
          <w:bottom w:val="single" w:color="CCCCCC" w:sz="4" w:space="2"/>
        </w:pBdr>
        <w:spacing w:after="80" w:before="0"/>
        <w:jc w:val="left"/>
      </w:pPr>
      <w:r>
        <w:rPr>
          <w:rFonts w:ascii="Arial" w:cs="Arial" w:eastAsia="Arial" w:hAnsi="Arial"/>
          <w:b w:val="false"/>
          <w:bCs w:val="false"/>
          <w:i w:val="false"/>
          <w:iCs w:val="false"/>
          <w:caps w:val="false"/>
          <w:color w:val="000000"/>
          <w:sz w:val="22"/>
          <w:szCs w:val="22"/>
        </w:rPr>
        <w:t xml:space="preserve"> </w:t>
      </w:r>
    </w:p>
    <w:p>
      <w:pPr>
        <w:spacing w:after="40" w:before="60"/>
        <w:jc w:val="center"/>
      </w:pPr>
      <w:r>
        <w:rPr>
          <w:rFonts w:ascii="Arial" w:cs="Arial" w:eastAsia="Arial" w:hAnsi="Arial"/>
          <w:b w:val="false"/>
          <w:bCs w:val="false"/>
          <w:i w:val="false"/>
          <w:iCs w:val="false"/>
          <w:caps w:val="false"/>
          <w:color w:val="555555"/>
          <w:sz w:val="20"/>
          <w:szCs w:val="20"/>
        </w:rPr>
        <w:t xml:space="preserve">Prepared by: </w:t>
      </w:r>
      <w:r>
        <w:rPr>
          <w:rFonts w:ascii="Arial" w:cs="Arial" w:eastAsia="Arial" w:hAnsi="Arial"/>
          <w:b/>
          <w:bCs/>
          <w:i w:val="false"/>
          <w:iCs w:val="false"/>
          <w:caps w:val="false"/>
          <w:color w:val="000000"/>
          <w:sz w:val="20"/>
          <w:szCs w:val="20"/>
        </w:rPr>
        <w:t xml:space="preserve">Kiran AI Analysis Engine</w:t>
      </w:r>
    </w:p>
    <w:p>
      <w:pPr>
        <w:spacing w:after="40" w:before="0"/>
        <w:jc w:val="center"/>
      </w:pPr>
      <w:r>
        <w:rPr>
          <w:rFonts w:ascii="Arial" w:cs="Arial" w:eastAsia="Arial" w:hAnsi="Arial"/>
          <w:b w:val="false"/>
          <w:bCs w:val="false"/>
          <w:i w:val="false"/>
          <w:iCs w:val="false"/>
          <w:caps w:val="false"/>
          <w:color w:val="555555"/>
          <w:sz w:val="20"/>
          <w:szCs w:val="20"/>
        </w:rPr>
        <w:t xml:space="preserve">Date: </w:t>
      </w:r>
      <w:r>
        <w:rPr>
          <w:rFonts w:ascii="Arial" w:cs="Arial" w:eastAsia="Arial" w:hAnsi="Arial"/>
          <w:b/>
          <w:bCs/>
          <w:i w:val="false"/>
          <w:iCs w:val="false"/>
          <w:caps w:val="false"/>
          <w:color w:val="000000"/>
          <w:sz w:val="20"/>
          <w:szCs w:val="20"/>
        </w:rPr>
        <w:t xml:space="preserve">31 May 2026</w:t>
      </w:r>
      <w:r>
        <w:rPr>
          <w:rFonts w:ascii="Arial" w:cs="Arial" w:eastAsia="Arial" w:hAnsi="Arial"/>
          <w:b w:val="false"/>
          <w:bCs w:val="false"/>
          <w:i w:val="false"/>
          <w:iCs w:val="false"/>
          <w:caps w:val="false"/>
          <w:color w:val="555555"/>
          <w:sz w:val="20"/>
          <w:szCs w:val="20"/>
        </w:rPr>
        <w:t xml:space="preserve">    |    Review Date: </w:t>
      </w:r>
      <w:r>
        <w:rPr>
          <w:rFonts w:ascii="Arial" w:cs="Arial" w:eastAsia="Arial" w:hAnsi="Arial"/>
          <w:b/>
          <w:bCs/>
          <w:i w:val="false"/>
          <w:iCs w:val="false"/>
          <w:caps w:val="false"/>
          <w:color w:val="000000"/>
          <w:sz w:val="20"/>
          <w:szCs w:val="20"/>
        </w:rPr>
        <w:t xml:space="preserve">30 November 2026</w:t>
      </w:r>
    </w:p>
    <w:p>
      <w:pPr>
        <w:spacing w:after="40" w:before="0"/>
        <w:jc w:val="center"/>
      </w:pPr>
      <w:r>
        <w:rPr>
          <w:rFonts w:ascii="Arial" w:cs="Arial" w:eastAsia="Arial" w:hAnsi="Arial"/>
          <w:b w:val="false"/>
          <w:bCs w:val="false"/>
          <w:i w:val="false"/>
          <w:iCs w:val="false"/>
          <w:caps w:val="false"/>
          <w:color w:val="555555"/>
          <w:sz w:val="20"/>
          <w:szCs w:val="20"/>
        </w:rPr>
        <w:t xml:space="preserve">Data Source: </w:t>
      </w:r>
      <w:r>
        <w:rPr>
          <w:rFonts w:ascii="Arial" w:cs="Arial" w:eastAsia="Arial" w:hAnsi="Arial"/>
          <w:b w:val="false"/>
          <w:bCs w:val="false"/>
          <w:i w:val="false"/>
          <w:iCs w:val="false"/>
          <w:caps w:val="false"/>
          <w:color w:val="000000"/>
          <w:sz w:val="20"/>
          <w:szCs w:val="20"/>
        </w:rPr>
        <w:t xml:space="preserve">PSX psx_data.db — 19 banks, 919 Stage 2 episodes, 2020–2026</w:t>
      </w:r>
    </w:p>
    <w:p>
      <w:pPr>
        <w:pBdr>
          <w:bottom w:val="single" w:color="CCCCCC" w:sz="4" w:space="2"/>
        </w:pBdr>
        <w:spacing w:after="80" w:before="0"/>
        <w:jc w:val="left"/>
      </w:pPr>
      <w:r>
        <w:rPr>
          <w:rFonts w:ascii="Arial" w:cs="Arial" w:eastAsia="Arial" w:hAnsi="Arial"/>
          <w:b w:val="false"/>
          <w:bCs w:val="false"/>
          <w:i w:val="false"/>
          <w:iCs w:val="false"/>
          <w:caps w:val="false"/>
          <w:color w:val="000000"/>
          <w:sz w:val="22"/>
          <w:szCs w:val="22"/>
        </w:rPr>
        <w:t xml:space="preserve"> </w:t>
      </w:r>
    </w:p>
    <w:p>
      <w:pPr>
        <w:spacing w:after="200" w:before="0"/>
        <w:jc w:val="left"/>
      </w:pPr>
      <w:r>
        <w:rPr>
          <w:rFonts w:ascii="Arial" w:cs="Arial" w:eastAsia="Arial" w:hAnsi="Arial"/>
          <w:b w:val="false"/>
          <w:bCs w:val="false"/>
          <w:i w:val="false"/>
          <w:iCs w:val="false"/>
          <w:cap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pPr>
              <w:spacing w:after="40" w:before="0"/>
              <w:jc w:val="center"/>
            </w:pPr>
            <w:r>
              <w:rPr>
                <w:rFonts w:ascii="Arial" w:cs="Arial" w:eastAsia="Arial" w:hAnsi="Arial"/>
                <w:b/>
                <w:bCs/>
                <w:i w:val="false"/>
                <w:iCs w:val="false"/>
                <w:caps/>
                <w:color w:val="1B3A5C"/>
                <w:sz w:val="18"/>
                <w:szCs w:val="18"/>
              </w:rPr>
              <w:t xml:space="preserve">CLASSIFICATION: FOR MANAGEMENT USE ONLY</w:t>
            </w:r>
          </w:p>
          <w:p>
            <w:pPr>
              <w:spacing w:after="80" w:before="0"/>
              <w:jc w:val="center"/>
            </w:pPr>
            <w:r>
              <w:rPr>
                <w:rFonts w:ascii="Arial" w:cs="Arial" w:eastAsia="Arial" w:hAnsi="Arial"/>
                <w:b w:val="false"/>
                <w:bCs w:val="false"/>
                <w:i w:val="false"/>
                <w:iCs w:val="false"/>
                <w:caps w:val="false"/>
                <w:color w:val="555555"/>
                <w:sz w:val="18"/>
                <w:szCs w:val="18"/>
              </w:rPr>
              <w:t xml:space="preserve">This document contains proprietary trading strategy analysis based on historical PSX price data. Distribution is restricted to senior management and the investment committee only.</w:t>
            </w:r>
          </w:p>
        </w:tc>
      </w:tr>
    </w:tbl>
    <w:p>
      <w:pPr>
        <w:pageBreakBefore/>
        <w:pBdr>
          <w:bottom w:val="single" w:color="2E6DA4" w:sz="6" w:space="4"/>
        </w:pBdr>
        <w:spacing w:after="160" w:before="240"/>
        <w:jc w:val="left"/>
      </w:pPr>
      <w:r>
        <w:rPr>
          <w:rFonts w:ascii="Arial" w:cs="Arial" w:eastAsia="Arial" w:hAnsi="Arial"/>
          <w:b/>
          <w:bCs/>
          <w:i w:val="false"/>
          <w:iCs w:val="false"/>
          <w:caps/>
          <w:color w:val="1B3A5C"/>
          <w:sz w:val="30"/>
          <w:szCs w:val="30"/>
        </w:rPr>
        <w:t xml:space="preserve">Executive Summary</w:t>
      </w:r>
    </w:p>
    <w:p>
      <w:pPr>
        <w:spacing w:after="80" w:before="0"/>
        <w:jc w:val="left"/>
      </w:pPr>
      <w:r>
        <w:rPr>
          <w:rFonts w:ascii="Arial" w:cs="Arial" w:eastAsia="Arial" w:hAnsi="Arial"/>
          <w:b w:val="false"/>
          <w:bCs w:val="false"/>
          <w:i w:val="false"/>
          <w:iCs w:val="false"/>
          <w:caps w:val="false"/>
          <w:color w:val="000000"/>
          <w:sz w:val="20"/>
          <w:szCs w:val="20"/>
        </w:rPr>
        <w:t xml:space="preserve">This document delivers a definitive verdict on the Consumer Banking sector's trading entry logic, based on a quantitative stress test of 919 Stage 2 episodes across 19 PSX commercial banks from January 2020 to May 2026. The analysis was conducted adversarially — designed to challenge, not confirm, existing assumptions.</w:t>
      </w:r>
    </w:p>
    <w:p>
      <w:pPr>
        <w:spacing w:after="100" w:before="200"/>
        <w:jc w:val="left"/>
      </w:pPr>
      <w:r>
        <w:rPr>
          <w:rFonts w:ascii="Arial" w:cs="Arial" w:eastAsia="Arial" w:hAnsi="Arial"/>
          <w:b/>
          <w:bCs/>
          <w:i w:val="false"/>
          <w:iCs w:val="false"/>
          <w:caps w:val="false"/>
          <w:color w:val="1B3A5C"/>
          <w:sz w:val="24"/>
          <w:szCs w:val="24"/>
        </w:rPr>
        <w:t xml:space="preserve">Three Core Findings</w:t>
      </w:r>
    </w:p>
    <w:p>
      <w:pPr>
        <w:pStyle w:val="ListParagraph"/>
        <w:numPr>
          <w:ilvl w:val="0"/>
          <w:numId w:val="2"/>
        </w:numPr>
        <w:spacing w:after="40" w:before="40"/>
      </w:pPr>
      <w:r>
        <w:rPr>
          <w:rFonts w:ascii="Arial" w:cs="Arial" w:eastAsia="Arial" w:hAnsi="Arial"/>
          <w:b/>
          <w:bCs/>
          <w:i w:val="false"/>
          <w:iCs w:val="false"/>
          <w:caps w:val="false"/>
          <w:color w:val="000000"/>
          <w:sz w:val="20"/>
          <w:szCs w:val="20"/>
        </w:rPr>
        <w:t xml:space="preserve">The Top-35% Rule Is Not Wrong — But It Is Miscalibrated.</w:t>
      </w:r>
    </w:p>
    <w:p>
      <w:pPr>
        <w:spacing w:after="80" w:before="0"/>
        <w:jc w:val="left"/>
      </w:pPr>
      <w:r>
        <w:rPr>
          <w:rFonts w:ascii="Arial" w:cs="Arial" w:eastAsia="Arial" w:hAnsi="Arial"/>
          <w:b w:val="false"/>
          <w:bCs w:val="false"/>
          <w:i w:val="false"/>
          <w:iCs w:val="false"/>
          <w:caps w:val="false"/>
          <w:color w:val="000000"/>
          <w:sz w:val="20"/>
          <w:szCs w:val="20"/>
        </w:rPr>
        <w:t xml:space="preserve">Being in the top 35% of sector performance is valid context, but it fires 6 months before any actionable entry exists. It is a background condition, not a timing signal. The rule currently conflates 'sector is strong' with 'now is the time to buy', which are different claims.</w:t>
      </w:r>
    </w:p>
    <w:p>
      <w:pPr>
        <w:pStyle w:val="ListParagraph"/>
        <w:numPr>
          <w:ilvl w:val="0"/>
          <w:numId w:val="2"/>
        </w:numPr>
        <w:spacing w:after="40" w:before="40"/>
      </w:pPr>
      <w:r>
        <w:rPr>
          <w:rFonts w:ascii="Arial" w:cs="Arial" w:eastAsia="Arial" w:hAnsi="Arial"/>
          <w:b/>
          <w:bCs/>
          <w:i w:val="false"/>
          <w:iCs w:val="false"/>
          <w:caps w:val="false"/>
          <w:color w:val="000000"/>
          <w:sz w:val="20"/>
          <w:szCs w:val="20"/>
        </w:rPr>
        <w:t xml:space="preserve">Stage 2 Entry Timing Does Not Depend on Momentum Label.</w:t>
      </w:r>
    </w:p>
    <w:p>
      <w:pPr>
        <w:spacing w:after="80" w:before="0"/>
        <w:jc w:val="left"/>
      </w:pPr>
      <w:r>
        <w:rPr>
          <w:rFonts w:ascii="Arial" w:cs="Arial" w:eastAsia="Arial" w:hAnsi="Arial"/>
          <w:b w:val="false"/>
          <w:bCs w:val="false"/>
          <w:i w:val="false"/>
          <w:iCs w:val="false"/>
          <w:caps w:val="false"/>
          <w:color w:val="000000"/>
          <w:sz w:val="20"/>
          <w:szCs w:val="20"/>
        </w:rPr>
        <w:t xml:space="preserve">All momentum labels produce positive average 20-day forward returns (+3.9% to +7.8%). No single label dominates on a risk-adjusted basis. The label at Stage 2 entry is largely a function of where the stock is in the market cycle — not a predictor of what comes next.</w:t>
      </w:r>
    </w:p>
    <w:p>
      <w:pPr>
        <w:pStyle w:val="ListParagraph"/>
        <w:numPr>
          <w:ilvl w:val="0"/>
          <w:numId w:val="2"/>
        </w:numPr>
        <w:spacing w:after="40" w:before="40"/>
      </w:pPr>
      <w:r>
        <w:rPr>
          <w:rFonts w:ascii="Arial" w:cs="Arial" w:eastAsia="Arial" w:hAnsi="Arial"/>
          <w:b/>
          <w:bCs/>
          <w:i w:val="false"/>
          <w:iCs w:val="false"/>
          <w:caps w:val="false"/>
          <w:color w:val="000000"/>
          <w:sz w:val="20"/>
          <w:szCs w:val="20"/>
        </w:rPr>
        <w:t xml:space="preserve">The Real Problem Is Episode Durability — Not Entry Timing.</w:t>
      </w:r>
    </w:p>
    <w:p>
      <w:pPr>
        <w:spacing w:after="80" w:before="0"/>
        <w:jc w:val="left"/>
      </w:pPr>
      <w:r>
        <w:rPr>
          <w:rFonts w:ascii="Arial" w:cs="Arial" w:eastAsia="Arial" w:hAnsi="Arial"/>
          <w:b w:val="false"/>
          <w:bCs w:val="false"/>
          <w:i w:val="false"/>
          <w:iCs w:val="false"/>
          <w:caps w:val="false"/>
          <w:color w:val="000000"/>
          <w:sz w:val="20"/>
          <w:szCs w:val="20"/>
        </w:rPr>
        <w:t xml:space="preserve">43% to 77% of Stage 2 entries collapse within 5 trading days. This false positive rate is the primary source of performance leakage. Until episode durability is solved, optimising entry timing around momentum labels is rearranging furniture while the building has structural issues.</w:t>
      </w:r>
    </w:p>
    <w:p>
      <w:pPr>
        <w:spacing w:after="100" w:before="200"/>
        <w:jc w:val="left"/>
      </w:pPr>
      <w:r>
        <w:rPr>
          <w:rFonts w:ascii="Arial" w:cs="Arial" w:eastAsia="Arial" w:hAnsi="Arial"/>
          <w:b/>
          <w:bCs/>
          <w:i w:val="false"/>
          <w:iCs w:val="false"/>
          <w:caps w:val="false"/>
          <w:color w:val="1B3A5C"/>
          <w:sz w:val="24"/>
          <w:szCs w:val="24"/>
        </w:rPr>
        <w:t xml:space="preserve">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after="80" w:before="0"/>
              <w:jc w:val="left"/>
            </w:pPr>
            <w:r>
              <w:rPr>
                <w:rFonts w:ascii="Arial" w:cs="Arial" w:eastAsia="Arial" w:hAnsi="Arial"/>
                <w:b/>
                <w:bCs/>
                <w:i w:val="false"/>
                <w:iCs w:val="false"/>
                <w:caps w:val="false"/>
                <w:color w:val="FFFFFF"/>
                <w:sz w:val="19"/>
                <w:szCs w:val="19"/>
              </w:rPr>
              <w:t xml:space="preserve">QUESTION</w:t>
            </w:r>
          </w:p>
        </w:tc>
        <w:tc>
          <w:tcPr>
            <w:tcW w:type="dxa" w:w="716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after="80" w:before="0"/>
              <w:jc w:val="left"/>
            </w:pPr>
            <w:r>
              <w:rPr>
                <w:rFonts w:ascii="Arial" w:cs="Arial" w:eastAsia="Arial" w:hAnsi="Arial"/>
                <w:b/>
                <w:bCs/>
                <w:i w:val="false"/>
                <w:iCs w:val="false"/>
                <w:caps w:val="false"/>
                <w:color w:val="FFFFFF"/>
                <w:sz w:val="19"/>
                <w:szCs w:val="19"/>
              </w:rPr>
              <w:t xml:space="preserve">VERDICT</w:t>
            </w:r>
          </w:p>
        </w:tc>
      </w:tr>
      <w:tr>
        <w:tc>
          <w:tcPr>
            <w:tcW w:type="dxa" w:w="220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Top-35% Rule</w:t>
            </w:r>
          </w:p>
        </w:tc>
        <w:tc>
          <w:tcPr>
            <w:tcW w:type="dxa" w:w="716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Keep as context. Remove as hard gate. Supplement with episode durability filter.</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Heating Up Required?</w:t>
            </w:r>
          </w:p>
        </w:tc>
        <w:tc>
          <w:tcPr>
            <w:tcW w:type="dxa" w:w="7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No. Cooling Down + Rolling Over entries produced comparable or higher returns. Remove as prerequisite.</w:t>
            </w:r>
          </w:p>
        </w:tc>
      </w:tr>
      <w:tr>
        <w:tc>
          <w:tcPr>
            <w:tcW w:type="dxa" w:w="220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Stage 2 Entry Valid?</w:t>
            </w:r>
          </w:p>
        </w:tc>
        <w:tc>
          <w:tcPr>
            <w:tcW w:type="dxa" w:w="716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Yes — but only when episode durability &gt; 5 days is confirmed. Raw Stage 2 entries are 50% noise.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Banking Sector Now?</w:t>
            </w:r>
          </w:p>
        </w:tc>
        <w:tc>
          <w:tcPr>
            <w:tcW w:type="dxa" w:w="7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Currently Heating Up with 3 banks in Stage 2 (AKBL, MCB, MEBL). Watchlist status: Active.</w:t>
            </w:r>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Recommended Action</w:t>
            </w:r>
          </w:p>
        </w:tc>
        <w:tc>
          <w:tcPr>
            <w:tcW w:type="dxa" w:w="716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pPr>
              <w:spacing w:after="80" w:before="0"/>
              <w:jc w:val="left"/>
            </w:pPr>
            <w:r>
              <w:rPr>
                <w:rFonts w:ascii="Arial" w:cs="Arial" w:eastAsia="Arial" w:hAnsi="Arial"/>
                <w:b/>
                <w:bCs/>
                <w:i w:val="false"/>
                <w:iCs w:val="false"/>
                <w:caps w:val="false"/>
                <w:color w:val="000000"/>
                <w:sz w:val="19"/>
                <w:szCs w:val="19"/>
              </w:rPr>
              <w:t xml:space="preserve">Hybrid pilot: retain Top-35% as condition, add episode durability (&gt;10d confirmed) as primary gate. Run 3-month parallel paper-trade before capital allocation.</w:t>
            </w:r>
          </w:p>
        </w:tc>
      </w:tr>
    </w:tbl>
    <w:p>
      <w:pPr>
        <w:spacing w:after="80" w:before="0"/>
        <w:jc w:val="left"/>
      </w:pPr>
      <w:r>
        <w:rPr>
          <w:rFonts w:ascii="Arial" w:cs="Arial" w:eastAsia="Arial" w:hAnsi="Arial"/>
          <w:b w:val="false"/>
          <w:bCs w:val="false"/>
          <w:i w:val="false"/>
          <w:iCs w:val="false"/>
          <w:caps w:val="false"/>
          <w:color w:val="000000"/>
          <w:sz w:val="20"/>
          <w:szCs w:val="20"/>
        </w:rPr>
        <w:t xml:space="preserve"> </w:t>
      </w:r>
    </w:p>
    <w:p>
      <w:pPr>
        <w:spacing w:after="80" w:before="0"/>
        <w:jc w:val="left"/>
      </w:pPr>
      <w:r>
        <w:rPr>
          <w:rFonts w:ascii="Arial" w:cs="Arial" w:eastAsia="Arial" w:hAnsi="Arial"/>
          <w:b w:val="false"/>
          <w:bCs w:val="false"/>
          <w:i w:val="false"/>
          <w:iCs w:val="false"/>
          <w:caps w:val="false"/>
          <w:color w:val="000000"/>
          <w:sz w:val="20"/>
          <w:szCs w:val="20"/>
        </w:rPr>
        <w:t xml:space="preserve">This document has a mandatory review date of 30 November 2026. All recommendations should be stress-tested against live results at that date.</w:t>
      </w:r>
    </w:p>
    <w:p>
      <w:pPr>
        <w:pageBreakBefore/>
        <w:pBdr>
          <w:bottom w:val="single" w:color="2E6DA4" w:sz="6" w:space="4"/>
        </w:pBdr>
        <w:spacing w:after="160" w:before="240"/>
        <w:jc w:val="left"/>
      </w:pPr>
      <w:r>
        <w:rPr>
          <w:rFonts w:ascii="Arial" w:cs="Arial" w:eastAsia="Arial" w:hAnsi="Arial"/>
          <w:b/>
          <w:bCs/>
          <w:i w:val="false"/>
          <w:iCs w:val="false"/>
          <w:caps/>
          <w:color w:val="1B3A5C"/>
          <w:sz w:val="30"/>
          <w:szCs w:val="30"/>
        </w:rPr>
        <w:t xml:space="preserve">Momentum Label Utility Analysis</w:t>
      </w:r>
    </w:p>
    <w:p>
      <w:pPr>
        <w:spacing w:after="80" w:before="0"/>
        <w:jc w:val="left"/>
      </w:pPr>
      <w:r>
        <w:rPr>
          <w:rFonts w:ascii="Arial" w:cs="Arial" w:eastAsia="Arial" w:hAnsi="Arial"/>
          <w:b w:val="false"/>
          <w:bCs w:val="false"/>
          <w:i w:val="false"/>
          <w:iCs w:val="false"/>
          <w:caps w:val="false"/>
          <w:color w:val="000000"/>
          <w:sz w:val="20"/>
          <w:szCs w:val="20"/>
        </w:rPr>
        <w:t xml:space="preserve">The momentum label classification (Heating Up, Cooling Down, Rolling Over, Recovering, Stabilising, Falling) is computed at both the individual stock level and the sector level. This section examines whether these labels carry actionable predictive content for Stage 2 entry timing.</w:t>
      </w:r>
    </w:p>
    <w:p>
      <w:pPr>
        <w:spacing w:after="100" w:before="200"/>
        <w:jc w:val="left"/>
      </w:pPr>
      <w:r>
        <w:rPr>
          <w:rFonts w:ascii="Arial" w:cs="Arial" w:eastAsia="Arial" w:hAnsi="Arial"/>
          <w:b/>
          <w:bCs/>
          <w:i w:val="false"/>
          <w:iCs w:val="false"/>
          <w:caps w:val="false"/>
          <w:color w:val="1B3A5C"/>
          <w:sz w:val="24"/>
          <w:szCs w:val="24"/>
        </w:rPr>
        <w:t xml:space="preserve">1. Signal-to-Noise Ratio by Label</w:t>
      </w:r>
    </w:p>
    <w:p>
      <w:pPr>
        <w:spacing w:after="80" w:before="0"/>
        <w:jc w:val="left"/>
      </w:pPr>
      <w:r>
        <w:rPr>
          <w:rFonts w:ascii="Arial" w:cs="Arial" w:eastAsia="Arial" w:hAnsi="Arial"/>
          <w:b w:val="false"/>
          <w:bCs w:val="false"/>
          <w:i w:val="false"/>
          <w:iCs w:val="false"/>
          <w:caps w:val="false"/>
          <w:color w:val="000000"/>
          <w:sz w:val="20"/>
          <w:szCs w:val="20"/>
        </w:rPr>
        <w:t xml:space="preserve">False Positive Rate is defined as the percentage of Stage 2 entries that collapse within 5 trading days — a proxy for whipsaw entries with no durability. Lower is better.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900"/>
        <w:gridCol w:w="1200"/>
        <w:gridCol w:w="1300"/>
        <w:gridCol w:w="1300"/>
        <w:gridCol w:w="1660"/>
      </w:tblGrid>
      <w:tr>
        <w:tc>
          <w:tcPr>
            <w:tcW w:type="dxa" w:w="21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after="80" w:before="0"/>
              <w:jc w:val="left"/>
            </w:pPr>
            <w:r>
              <w:rPr>
                <w:rFonts w:ascii="Arial" w:cs="Arial" w:eastAsia="Arial" w:hAnsi="Arial"/>
                <w:b/>
                <w:bCs/>
                <w:i w:val="false"/>
                <w:iCs w:val="false"/>
                <w:caps w:val="false"/>
                <w:color w:val="FFFFFF"/>
                <w:sz w:val="19"/>
                <w:szCs w:val="19"/>
              </w:rPr>
              <w:t xml:space="preserve">Label</w:t>
            </w:r>
          </w:p>
        </w:tc>
        <w:tc>
          <w:tcPr>
            <w:tcW w:type="dxa" w:w="9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after="80" w:before="0"/>
              <w:jc w:val="center"/>
            </w:pPr>
            <w:r>
              <w:rPr>
                <w:rFonts w:ascii="Arial" w:cs="Arial" w:eastAsia="Arial" w:hAnsi="Arial"/>
                <w:b/>
                <w:bCs/>
                <w:i w:val="false"/>
                <w:iCs w:val="false"/>
                <w:caps w:val="false"/>
                <w:color w:val="FFFFFF"/>
                <w:sz w:val="19"/>
                <w:szCs w:val="19"/>
              </w:rPr>
              <w:t xml:space="preserve">n</w:t>
            </w:r>
          </w:p>
        </w:tc>
        <w:tc>
          <w:tcPr>
            <w:tcW w:type="dxa" w:w="9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after="80" w:before="0"/>
              <w:jc w:val="center"/>
            </w:pPr>
            <w:r>
              <w:rPr>
                <w:rFonts w:ascii="Arial" w:cs="Arial" w:eastAsia="Arial" w:hAnsi="Arial"/>
                <w:b/>
                <w:bCs/>
                <w:i w:val="false"/>
                <w:iCs w:val="false"/>
                <w:caps w:val="false"/>
                <w:color w:val="FFFFFF"/>
                <w:sz w:val="19"/>
                <w:szCs w:val="19"/>
              </w:rPr>
              <w:t xml:space="preserve">FP Rate</w:t>
            </w:r>
          </w:p>
        </w:tc>
        <w:tc>
          <w:tcPr>
            <w:tcW w:type="dxa" w:w="12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after="80" w:before="0"/>
              <w:jc w:val="center"/>
            </w:pPr>
            <w:r>
              <w:rPr>
                <w:rFonts w:ascii="Arial" w:cs="Arial" w:eastAsia="Arial" w:hAnsi="Arial"/>
                <w:b/>
                <w:bCs/>
                <w:i w:val="false"/>
                <w:iCs w:val="false"/>
                <w:caps w:val="false"/>
                <w:color w:val="FFFFFF"/>
                <w:sz w:val="19"/>
                <w:szCs w:val="19"/>
              </w:rPr>
              <w:t xml:space="preserve">AvgFwd 20d</w:t>
            </w:r>
          </w:p>
        </w:tc>
        <w:tc>
          <w:tcPr>
            <w:tcW w:type="dxa" w:w="13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after="80" w:before="0"/>
              <w:jc w:val="center"/>
            </w:pPr>
            <w:r>
              <w:rPr>
                <w:rFonts w:ascii="Arial" w:cs="Arial" w:eastAsia="Arial" w:hAnsi="Arial"/>
                <w:b/>
                <w:bCs/>
                <w:i w:val="false"/>
                <w:iCs w:val="false"/>
                <w:caps w:val="false"/>
                <w:color w:val="FFFFFF"/>
                <w:sz w:val="19"/>
                <w:szCs w:val="19"/>
              </w:rPr>
              <w:t xml:space="preserve">AvgAlpha 20d</w:t>
            </w:r>
          </w:p>
        </w:tc>
        <w:tc>
          <w:tcPr>
            <w:tcW w:type="dxa" w:w="13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after="80" w:before="0"/>
              <w:jc w:val="center"/>
            </w:pPr>
            <w:r>
              <w:rPr>
                <w:rFonts w:ascii="Arial" w:cs="Arial" w:eastAsia="Arial" w:hAnsi="Arial"/>
                <w:b/>
                <w:bCs/>
                <w:i w:val="false"/>
                <w:iCs w:val="false"/>
                <w:caps w:val="false"/>
                <w:color w:val="FFFFFF"/>
                <w:sz w:val="19"/>
                <w:szCs w:val="19"/>
              </w:rPr>
              <w:t xml:space="preserve">AvgMAD</w:t>
            </w:r>
          </w:p>
        </w:tc>
        <w:tc>
          <w:tcPr>
            <w:tcW w:type="dxa" w:w="166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after="80" w:before="0"/>
              <w:jc w:val="left"/>
            </w:pPr>
            <w:r>
              <w:rPr>
                <w:rFonts w:ascii="Arial" w:cs="Arial" w:eastAsia="Arial" w:hAnsi="Arial"/>
                <w:b/>
                <w:bCs/>
                <w:i w:val="false"/>
                <w:iCs w:val="false"/>
                <w:caps w:val="false"/>
                <w:color w:val="FFFFFF"/>
                <w:sz w:val="19"/>
                <w:szCs w:val="19"/>
              </w:rPr>
              <w:t xml:space="preserve">Verdict</w:t>
            </w:r>
          </w:p>
        </w:tc>
      </w:tr>
      <w:tr>
        <w:tc>
          <w:tcPr>
            <w:tcW w:type="dxa" w:w="2100"/>
            <w:tcBorders>
              <w:top w:val="single" w:color="CCCCCC" w:sz="1"/>
              <w:left w:val="single" w:color="CCCCCC" w:sz="1"/>
              <w:bottom w:val="single" w:color="CCCCCC" w:sz="1"/>
              <w:right w:val="single" w:color="CCCCCC" w:sz="1"/>
            </w:tcBorders>
            <w:shd w:fill="D5F0DC"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Heating Up</w:t>
            </w:r>
          </w:p>
        </w:tc>
        <w:tc>
          <w:tcPr>
            <w:tcW w:type="dxa" w:w="900"/>
            <w:tcBorders>
              <w:top w:val="single" w:color="CCCCCC" w:sz="1"/>
              <w:left w:val="single" w:color="CCCCCC" w:sz="1"/>
              <w:bottom w:val="single" w:color="CCCCCC" w:sz="1"/>
              <w:right w:val="single" w:color="CCCCCC" w:sz="1"/>
            </w:tcBorders>
            <w:shd w:fill="D5F0DC"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123</w:t>
            </w:r>
          </w:p>
        </w:tc>
        <w:tc>
          <w:tcPr>
            <w:tcW w:type="dxa" w:w="900"/>
            <w:tcBorders>
              <w:top w:val="single" w:color="CCCCCC" w:sz="1"/>
              <w:left w:val="single" w:color="CCCCCC" w:sz="1"/>
              <w:bottom w:val="single" w:color="CCCCCC" w:sz="1"/>
              <w:right w:val="single" w:color="CCCCCC" w:sz="1"/>
            </w:tcBorders>
            <w:shd w:fill="D5F0DC"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39%</w:t>
            </w:r>
          </w:p>
        </w:tc>
        <w:tc>
          <w:tcPr>
            <w:tcW w:type="dxa" w:w="1200"/>
            <w:tcBorders>
              <w:top w:val="single" w:color="CCCCCC" w:sz="1"/>
              <w:left w:val="single" w:color="CCCCCC" w:sz="1"/>
              <w:bottom w:val="single" w:color="CCCCCC" w:sz="1"/>
              <w:right w:val="single" w:color="CCCCCC" w:sz="1"/>
            </w:tcBorders>
            <w:shd w:fill="D5F0DC"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+4.4%</w:t>
            </w:r>
          </w:p>
        </w:tc>
        <w:tc>
          <w:tcPr>
            <w:tcW w:type="dxa" w:w="1300"/>
            <w:tcBorders>
              <w:top w:val="single" w:color="CCCCCC" w:sz="1"/>
              <w:left w:val="single" w:color="CCCCCC" w:sz="1"/>
              <w:bottom w:val="single" w:color="CCCCCC" w:sz="1"/>
              <w:right w:val="single" w:color="CCCCCC" w:sz="1"/>
            </w:tcBorders>
            <w:shd w:fill="D5F0DC"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+0.9%</w:t>
            </w:r>
          </w:p>
        </w:tc>
        <w:tc>
          <w:tcPr>
            <w:tcW w:type="dxa" w:w="1300"/>
            <w:tcBorders>
              <w:top w:val="single" w:color="CCCCCC" w:sz="1"/>
              <w:left w:val="single" w:color="CCCCCC" w:sz="1"/>
              <w:bottom w:val="single" w:color="CCCCCC" w:sz="1"/>
              <w:right w:val="single" w:color="CCCCCC" w:sz="1"/>
            </w:tcBorders>
            <w:shd w:fill="D5F0DC"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−4.6%</w:t>
            </w:r>
          </w:p>
        </w:tc>
        <w:tc>
          <w:tcPr>
            <w:tcW w:type="dxa" w:w="1660"/>
            <w:tcBorders>
              <w:top w:val="single" w:color="CCCCCC" w:sz="1"/>
              <w:left w:val="single" w:color="CCCCCC" w:sz="1"/>
              <w:bottom w:val="single" w:color="CCCCCC" w:sz="1"/>
              <w:right w:val="single" w:color="CCCCCC" w:sz="1"/>
            </w:tcBorders>
            <w:shd w:fill="D5F0DC"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iCs/>
                <w:caps w:val="false"/>
                <w:color w:val="000000"/>
                <w:sz w:val="19"/>
                <w:szCs w:val="19"/>
              </w:rPr>
              <w:t xml:space="preserve">Lowest FP. Worst forward return. Lagging confirmation.</w:t>
            </w:r>
          </w:p>
        </w:tc>
      </w:tr>
      <w:tr>
        <w:tc>
          <w:tcPr>
            <w:tcW w:type="dxa" w:w="210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Cooling Down</w:t>
            </w:r>
          </w:p>
        </w:tc>
        <w:tc>
          <w:tcPr>
            <w:tcW w:type="dxa" w:w="90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281</w:t>
            </w:r>
          </w:p>
        </w:tc>
        <w:tc>
          <w:tcPr>
            <w:tcW w:type="dxa" w:w="90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43%</w:t>
            </w:r>
          </w:p>
        </w:tc>
        <w:tc>
          <w:tcPr>
            <w:tcW w:type="dxa" w:w="120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+5.3%</w:t>
            </w:r>
          </w:p>
        </w:tc>
        <w:tc>
          <w:tcPr>
            <w:tcW w:type="dxa" w:w="130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+2.6%</w:t>
            </w:r>
          </w:p>
        </w:tc>
        <w:tc>
          <w:tcPr>
            <w:tcW w:type="dxa" w:w="130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−4.0%</w:t>
            </w:r>
          </w:p>
        </w:tc>
        <w:tc>
          <w:tcPr>
            <w:tcW w:type="dxa" w:w="166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iCs/>
                <w:caps w:val="false"/>
                <w:color w:val="000000"/>
                <w:sz w:val="19"/>
                <w:szCs w:val="19"/>
              </w:rPr>
              <w:t xml:space="preserve">Most common. Solid alpha. Reliable mid-cycle entry.</w:t>
            </w:r>
          </w:p>
        </w:tc>
      </w:tr>
      <w:tr>
        <w:tc>
          <w:tcPr>
            <w:tcW w:type="dxa" w:w="2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Rolling Over</w:t>
            </w:r>
          </w:p>
        </w:tc>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296</w:t>
            </w:r>
          </w:p>
        </w:tc>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63%</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+5.9%</w:t>
            </w:r>
          </w:p>
        </w:tc>
        <w:tc>
          <w:tcPr>
            <w:tcW w:type="dxa" w:w="1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+2.0%</w:t>
            </w:r>
          </w:p>
        </w:tc>
        <w:tc>
          <w:tcPr>
            <w:tcW w:type="dxa" w:w="1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−3.1%</w:t>
            </w:r>
          </w:p>
        </w:tc>
        <w:tc>
          <w:tcPr>
            <w:tcW w:type="dxa" w:w="16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iCs/>
                <w:caps w:val="false"/>
                <w:color w:val="000000"/>
                <w:sz w:val="19"/>
                <w:szCs w:val="19"/>
              </w:rPr>
              <w:t xml:space="preserve">High FP but best fwd return when it holds. Risky.</w:t>
            </w:r>
          </w:p>
        </w:tc>
      </w:tr>
      <w:tr>
        <w:tc>
          <w:tcPr>
            <w:tcW w:type="dxa" w:w="210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Recovering</w:t>
            </w:r>
          </w:p>
        </w:tc>
        <w:tc>
          <w:tcPr>
            <w:tcW w:type="dxa" w:w="90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154</w:t>
            </w:r>
          </w:p>
        </w:tc>
        <w:tc>
          <w:tcPr>
            <w:tcW w:type="dxa" w:w="90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58%</w:t>
            </w:r>
          </w:p>
        </w:tc>
        <w:tc>
          <w:tcPr>
            <w:tcW w:type="dxa" w:w="120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+3.9%</w:t>
            </w:r>
          </w:p>
        </w:tc>
        <w:tc>
          <w:tcPr>
            <w:tcW w:type="dxa" w:w="130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−0.1%</w:t>
            </w:r>
          </w:p>
        </w:tc>
        <w:tc>
          <w:tcPr>
            <w:tcW w:type="dxa" w:w="130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−3.1%</w:t>
            </w:r>
          </w:p>
        </w:tc>
        <w:tc>
          <w:tcPr>
            <w:tcW w:type="dxa" w:w="166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iCs/>
                <w:caps w:val="false"/>
                <w:color w:val="000000"/>
                <w:sz w:val="19"/>
                <w:szCs w:val="19"/>
              </w:rPr>
              <w:t xml:space="preserve">Weakest alpha. Sector still negative 30d. Too early.</w:t>
            </w:r>
          </w:p>
        </w:tc>
      </w:tr>
      <w:tr>
        <w:tc>
          <w:tcPr>
            <w:tcW w:type="dxa" w:w="2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Stabilising</w:t>
            </w:r>
          </w:p>
        </w:tc>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44</w:t>
            </w:r>
          </w:p>
        </w:tc>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C0392B"/>
                <w:sz w:val="19"/>
                <w:szCs w:val="19"/>
              </w:rPr>
              <w:t xml:space="preserve">77%</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+7.8%</w:t>
            </w:r>
          </w:p>
        </w:tc>
        <w:tc>
          <w:tcPr>
            <w:tcW w:type="dxa" w:w="1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+2.2%</w:t>
            </w:r>
          </w:p>
        </w:tc>
        <w:tc>
          <w:tcPr>
            <w:tcW w:type="dxa" w:w="1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−3.0%</w:t>
            </w:r>
          </w:p>
        </w:tc>
        <w:tc>
          <w:tcPr>
            <w:tcW w:type="dxa" w:w="16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iCs/>
                <w:caps w:val="false"/>
                <w:color w:val="000000"/>
                <w:sz w:val="19"/>
                <w:szCs w:val="19"/>
              </w:rPr>
              <w:t xml:space="preserve">Paradox: best return but 3 in 4 entries fail within 5d.</w:t>
            </w:r>
          </w:p>
        </w:tc>
      </w:tr>
      <w:tr>
        <w:tc>
          <w:tcPr>
            <w:tcW w:type="dxa" w:w="2100"/>
            <w:tcBorders>
              <w:top w:val="single" w:color="CCCCCC" w:sz="1"/>
              <w:left w:val="single" w:color="CCCCCC" w:sz="1"/>
              <w:bottom w:val="single" w:color="CCCCCC" w:sz="1"/>
              <w:right w:val="single" w:color="CCCCCC" w:sz="1"/>
            </w:tcBorders>
            <w:shd w:fill="FAD7D2"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Falling</w:t>
            </w:r>
          </w:p>
        </w:tc>
        <w:tc>
          <w:tcPr>
            <w:tcW w:type="dxa" w:w="900"/>
            <w:tcBorders>
              <w:top w:val="single" w:color="CCCCCC" w:sz="1"/>
              <w:left w:val="single" w:color="CCCCCC" w:sz="1"/>
              <w:bottom w:val="single" w:color="CCCCCC" w:sz="1"/>
              <w:right w:val="single" w:color="CCCCCC" w:sz="1"/>
            </w:tcBorders>
            <w:shd w:fill="FAD7D2"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14</w:t>
            </w:r>
          </w:p>
        </w:tc>
        <w:tc>
          <w:tcPr>
            <w:tcW w:type="dxa" w:w="900"/>
            <w:tcBorders>
              <w:top w:val="single" w:color="CCCCCC" w:sz="1"/>
              <w:left w:val="single" w:color="CCCCCC" w:sz="1"/>
              <w:bottom w:val="single" w:color="CCCCCC" w:sz="1"/>
              <w:right w:val="single" w:color="CCCCCC" w:sz="1"/>
            </w:tcBorders>
            <w:shd w:fill="FAD7D2"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64%</w:t>
            </w:r>
          </w:p>
        </w:tc>
        <w:tc>
          <w:tcPr>
            <w:tcW w:type="dxa" w:w="1200"/>
            <w:tcBorders>
              <w:top w:val="single" w:color="CCCCCC" w:sz="1"/>
              <w:left w:val="single" w:color="CCCCCC" w:sz="1"/>
              <w:bottom w:val="single" w:color="CCCCCC" w:sz="1"/>
              <w:right w:val="single" w:color="CCCCCC" w:sz="1"/>
            </w:tcBorders>
            <w:shd w:fill="FAD7D2"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+2.5%</w:t>
            </w:r>
          </w:p>
        </w:tc>
        <w:tc>
          <w:tcPr>
            <w:tcW w:type="dxa" w:w="1300"/>
            <w:tcBorders>
              <w:top w:val="single" w:color="CCCCCC" w:sz="1"/>
              <w:left w:val="single" w:color="CCCCCC" w:sz="1"/>
              <w:bottom w:val="single" w:color="CCCCCC" w:sz="1"/>
              <w:right w:val="single" w:color="CCCCCC" w:sz="1"/>
            </w:tcBorders>
            <w:shd w:fill="FAD7D2"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+0.6%</w:t>
            </w:r>
          </w:p>
        </w:tc>
        <w:tc>
          <w:tcPr>
            <w:tcW w:type="dxa" w:w="1300"/>
            <w:tcBorders>
              <w:top w:val="single" w:color="CCCCCC" w:sz="1"/>
              <w:left w:val="single" w:color="CCCCCC" w:sz="1"/>
              <w:bottom w:val="single" w:color="CCCCCC" w:sz="1"/>
              <w:right w:val="single" w:color="CCCCCC" w:sz="1"/>
            </w:tcBorders>
            <w:shd w:fill="FAD7D2"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−3.0%</w:t>
            </w:r>
          </w:p>
        </w:tc>
        <w:tc>
          <w:tcPr>
            <w:tcW w:type="dxa" w:w="1660"/>
            <w:tcBorders>
              <w:top w:val="single" w:color="CCCCCC" w:sz="1"/>
              <w:left w:val="single" w:color="CCCCCC" w:sz="1"/>
              <w:bottom w:val="single" w:color="CCCCCC" w:sz="1"/>
              <w:right w:val="single" w:color="CCCCCC" w:sz="1"/>
            </w:tcBorders>
            <w:shd w:fill="FAD7D2"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iCs/>
                <w:caps w:val="false"/>
                <w:color w:val="000000"/>
                <w:sz w:val="19"/>
                <w:szCs w:val="19"/>
              </w:rPr>
              <w:t xml:space="preserve">Insufficient sample. Avoid.</w:t>
            </w:r>
          </w:p>
        </w:tc>
      </w:tr>
    </w:tbl>
    <w:p>
      <w:pPr>
        <w:spacing w:after="80" w:before="0"/>
        <w:jc w:val="left"/>
      </w:pPr>
      <w:r>
        <w:rPr>
          <w:rFonts w:ascii="Arial" w:cs="Arial" w:eastAsia="Arial" w:hAnsi="Arial"/>
          <w:b w:val="false"/>
          <w:bCs w:val="false"/>
          <w:i/>
          <w:iCs/>
          <w:caps w:val="false"/>
          <w:color w:val="888888"/>
          <w:sz w:val="17"/>
          <w:szCs w:val="17"/>
        </w:rPr>
        <w:t xml:space="preserve">FP Rate = Stage 2 entries collapsing within 5 trading days. AvgMAD = average max adverse drawdown during episode. n = total episodes 2020–2026.</w:t>
      </w:r>
    </w:p>
    <w:p>
      <w:pPr>
        <w:spacing w:after="100" w:before="200"/>
        <w:jc w:val="left"/>
      </w:pPr>
      <w:r>
        <w:rPr>
          <w:rFonts w:ascii="Arial" w:cs="Arial" w:eastAsia="Arial" w:hAnsi="Arial"/>
          <w:b/>
          <w:bCs/>
          <w:i w:val="false"/>
          <w:iCs w:val="false"/>
          <w:caps w:val="false"/>
          <w:color w:val="1B3A5C"/>
          <w:sz w:val="24"/>
          <w:szCs w:val="24"/>
        </w:rPr>
        <w:t xml:space="preserve">2. Are Any Labels Leading or Lagging Indicators?</w:t>
      </w:r>
    </w:p>
    <w:p>
      <w:pPr>
        <w:spacing w:after="80" w:before="0"/>
        <w:jc w:val="left"/>
      </w:pPr>
      <w:r>
        <w:rPr>
          <w:rFonts w:ascii="Arial" w:cs="Arial" w:eastAsia="Arial" w:hAnsi="Arial"/>
          <w:b w:val="false"/>
          <w:bCs w:val="false"/>
          <w:i w:val="false"/>
          <w:iCs w:val="false"/>
          <w:caps w:val="false"/>
          <w:color w:val="000000"/>
          <w:sz w:val="20"/>
          <w:szCs w:val="20"/>
        </w:rPr>
        <w:t xml:space="preserve">The 2023 banking rally provides a direct test. Commercial Banks entered the Top-35% ranking in January 2023 and registered 'Heating Up' sector momentum in January 2023. Individual stock Stage 2 entries began in July 2023 — a six-month gap.</w:t>
      </w:r>
    </w:p>
    <w:p>
      <w:pPr>
        <w:spacing w:after="80" w:before="0"/>
        <w:jc w:val="left"/>
      </w:pPr>
      <w:r>
        <w:rPr>
          <w:rFonts w:ascii="Arial" w:cs="Arial" w:eastAsia="Arial" w:hAnsi="Arial"/>
          <w:b w:val="false"/>
          <w:bCs w:val="false"/>
          <w:i w:val="false"/>
          <w:iCs w:val="false"/>
          <w:caps w:val="false"/>
          <w:color w:val="000000"/>
          <w:sz w:val="20"/>
          <w:szCs w:val="20"/>
        </w:rPr>
        <w:t xml:space="preserve">Conclusion: Sector-level momentum labels are leading indicators by 4–6 months relative to individual stock Stage 2 alignment. Stock-level momentum labels at the moment of Stage 2 entry are coincidental reads of where the stock sits in its current price cycle. They are not causal.</w:t>
      </w:r>
    </w:p>
    <w:p>
      <w:pPr>
        <w:spacing w:after="100" w:before="200"/>
        <w:jc w:val="left"/>
      </w:pPr>
      <w:r>
        <w:rPr>
          <w:rFonts w:ascii="Arial" w:cs="Arial" w:eastAsia="Arial" w:hAnsi="Arial"/>
          <w:b/>
          <w:bCs/>
          <w:i w:val="false"/>
          <w:iCs w:val="false"/>
          <w:caps w:val="false"/>
          <w:color w:val="1B3A5C"/>
          <w:sz w:val="24"/>
          <w:szCs w:val="24"/>
        </w:rPr>
        <w:t xml:space="preserve">3. Actionable vs. Noise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after="80" w:before="0"/>
              <w:jc w:val="left"/>
            </w:pPr>
            <w:r>
              <w:rPr>
                <w:rFonts w:ascii="Arial" w:cs="Arial" w:eastAsia="Arial" w:hAnsi="Arial"/>
                <w:b/>
                <w:bCs/>
                <w:i w:val="false"/>
                <w:iCs w:val="false"/>
                <w:caps w:val="false"/>
                <w:color w:val="FFFFFF"/>
                <w:sz w:val="19"/>
                <w:szCs w:val="19"/>
              </w:rPr>
              <w:t xml:space="preserve">Label</w:t>
            </w:r>
          </w:p>
        </w:tc>
        <w:tc>
          <w:tcPr>
            <w:tcW w:type="dxa" w:w="348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after="80" w:before="0"/>
              <w:jc w:val="left"/>
            </w:pPr>
            <w:r>
              <w:rPr>
                <w:rFonts w:ascii="Arial" w:cs="Arial" w:eastAsia="Arial" w:hAnsi="Arial"/>
                <w:b/>
                <w:bCs/>
                <w:i w:val="false"/>
                <w:iCs w:val="false"/>
                <w:caps w:val="false"/>
                <w:color w:val="FFFFFF"/>
                <w:sz w:val="19"/>
                <w:szCs w:val="19"/>
              </w:rPr>
              <w:t xml:space="preserve">Status</w:t>
            </w:r>
          </w:p>
        </w:tc>
        <w:tc>
          <w:tcPr>
            <w:tcW w:type="dxa" w:w="348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after="80" w:before="0"/>
              <w:jc w:val="left"/>
            </w:pPr>
            <w:r>
              <w:rPr>
                <w:rFonts w:ascii="Arial" w:cs="Arial" w:eastAsia="Arial" w:hAnsi="Arial"/>
                <w:b/>
                <w:bCs/>
                <w:i w:val="false"/>
                <w:iCs w:val="false"/>
                <w:caps w:val="false"/>
                <w:color w:val="FFFFFF"/>
                <w:sz w:val="19"/>
                <w:szCs w:val="19"/>
              </w:rPr>
              <w:t xml:space="preserve">Action</w:t>
            </w:r>
          </w:p>
        </w:tc>
      </w:tr>
      <w:tr>
        <w:tc>
          <w:tcPr>
            <w:tcW w:type="dxa" w:w="2400"/>
            <w:tcBorders>
              <w:top w:val="single" w:color="CCCCCC" w:sz="1"/>
              <w:left w:val="single" w:color="CCCCCC" w:sz="1"/>
              <w:bottom w:val="single" w:color="CCCCCC" w:sz="1"/>
              <w:right w:val="single" w:color="CCCCCC" w:sz="1"/>
            </w:tcBorders>
            <w:shd w:fill="D5F0DC"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Cooling Down</w:t>
            </w:r>
          </w:p>
        </w:tc>
        <w:tc>
          <w:tcPr>
            <w:tcW w:type="dxa" w:w="3480"/>
            <w:tcBorders>
              <w:top w:val="single" w:color="CCCCCC" w:sz="1"/>
              <w:left w:val="single" w:color="CCCCCC" w:sz="1"/>
              <w:bottom w:val="single" w:color="CCCCCC" w:sz="1"/>
              <w:right w:val="single" w:color="CCCCCC" w:sz="1"/>
            </w:tcBorders>
            <w:shd w:fill="D5F0DC"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ACTIONABLE — Solid alpha (+2.6%), manageable FP (43%), highest sample size.</w:t>
            </w:r>
          </w:p>
        </w:tc>
        <w:tc>
          <w:tcPr>
            <w:tcW w:type="dxa" w:w="3480"/>
            <w:tcBorders>
              <w:top w:val="single" w:color="CCCCCC" w:sz="1"/>
              <w:left w:val="single" w:color="CCCCCC" w:sz="1"/>
              <w:bottom w:val="single" w:color="CCCCCC" w:sz="1"/>
              <w:right w:val="single" w:color="CCCCCC" w:sz="1"/>
            </w:tcBorders>
            <w:shd w:fill="D5F0DC"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Use as primary confirmation label post-Top-35% context.</w:t>
            </w:r>
          </w:p>
        </w:tc>
      </w:tr>
      <w:tr>
        <w:tc>
          <w:tcPr>
            <w:tcW w:type="dxa" w:w="240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Heating Up</w:t>
            </w:r>
          </w:p>
        </w:tc>
        <w:tc>
          <w:tcPr>
            <w:tcW w:type="dxa" w:w="348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LAGGING — Lowest FP but lowest alpha. Fires after the move is priced in.</w:t>
            </w:r>
          </w:p>
        </w:tc>
        <w:tc>
          <w:tcPr>
            <w:tcW w:type="dxa" w:w="348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Useful as sector background context only. Do not use as stock entry filter.</w:t>
            </w:r>
          </w:p>
        </w:tc>
      </w:tr>
      <w:tr>
        <w:tc>
          <w:tcPr>
            <w:tcW w:type="dxa" w:w="2400"/>
            <w:tcBorders>
              <w:top w:val="single" w:color="CCCCCC" w:sz="1"/>
              <w:left w:val="single" w:color="CCCCCC" w:sz="1"/>
              <w:bottom w:val="single" w:color="CCCCCC" w:sz="1"/>
              <w:right w:val="single" w:color="CCCCCC" w:sz="1"/>
            </w:tcBorders>
            <w:shd w:fill="FEF9E7"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Rolling Over</w:t>
            </w:r>
          </w:p>
        </w:tc>
        <w:tc>
          <w:tcPr>
            <w:tcW w:type="dxa" w:w="3480"/>
            <w:tcBorders>
              <w:top w:val="single" w:color="CCCCCC" w:sz="1"/>
              <w:left w:val="single" w:color="CCCCCC" w:sz="1"/>
              <w:bottom w:val="single" w:color="CCCCCC" w:sz="1"/>
              <w:right w:val="single" w:color="CCCCCC" w:sz="1"/>
            </w:tcBorders>
            <w:shd w:fill="FEF9E7"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CONDITIONAL — Highest return when durable, but 63% FP. Requires durability gate.</w:t>
            </w:r>
          </w:p>
        </w:tc>
        <w:tc>
          <w:tcPr>
            <w:tcW w:type="dxa" w:w="3480"/>
            <w:tcBorders>
              <w:top w:val="single" w:color="CCCCCC" w:sz="1"/>
              <w:left w:val="single" w:color="CCCCCC" w:sz="1"/>
              <w:bottom w:val="single" w:color="CCCCCC" w:sz="1"/>
              <w:right w:val="single" w:color="CCCCCC" w:sz="1"/>
            </w:tcBorders>
            <w:shd w:fill="FEF9E7"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Only act if Stage 2 episode holds &gt; 10 trading days before execution.</w:t>
            </w:r>
          </w:p>
        </w:tc>
      </w:tr>
      <w:tr>
        <w:tc>
          <w:tcPr>
            <w:tcW w:type="dxa" w:w="240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Recovering</w:t>
            </w:r>
          </w:p>
        </w:tc>
        <w:tc>
          <w:tcPr>
            <w:tcW w:type="dxa" w:w="348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PREMATURE — Sector 30d still negative. Near-zero alpha on average.</w:t>
            </w:r>
          </w:p>
        </w:tc>
        <w:tc>
          <w:tcPr>
            <w:tcW w:type="dxa" w:w="348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Watch only. Do not enter. Revisit when 30d turns positive.</w:t>
            </w:r>
          </w:p>
        </w:tc>
      </w:tr>
      <w:tr>
        <w:tc>
          <w:tcPr>
            <w:tcW w:type="dxa" w:w="2400"/>
            <w:tcBorders>
              <w:top w:val="single" w:color="CCCCCC" w:sz="1"/>
              <w:left w:val="single" w:color="CCCCCC" w:sz="1"/>
              <w:bottom w:val="single" w:color="CCCCCC" w:sz="1"/>
              <w:right w:val="single" w:color="CCCCCC" w:sz="1"/>
            </w:tcBorders>
            <w:shd w:fill="FAD7D2"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Stabilising</w:t>
            </w:r>
          </w:p>
        </w:tc>
        <w:tc>
          <w:tcPr>
            <w:tcW w:type="dxa" w:w="3480"/>
            <w:tcBorders>
              <w:top w:val="single" w:color="CCCCCC" w:sz="1"/>
              <w:left w:val="single" w:color="CCCCCC" w:sz="1"/>
              <w:bottom w:val="single" w:color="CCCCCC" w:sz="1"/>
              <w:right w:val="single" w:color="CCCCCC" w:sz="1"/>
            </w:tcBorders>
            <w:shd w:fill="FAD7D2"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NOISE — 77% FP. The rare survivors skew average return up. Unreliable.</w:t>
            </w:r>
          </w:p>
        </w:tc>
        <w:tc>
          <w:tcPr>
            <w:tcW w:type="dxa" w:w="3480"/>
            <w:tcBorders>
              <w:top w:val="single" w:color="CCCCCC" w:sz="1"/>
              <w:left w:val="single" w:color="CCCCCC" w:sz="1"/>
              <w:bottom w:val="single" w:color="CCCCCC" w:sz="1"/>
              <w:right w:val="single" w:color="CCCCCC" w:sz="1"/>
            </w:tcBorders>
            <w:shd w:fill="FAD7D2"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Ignore at entry. Can serve as Stage 2 watch-list flag only.</w:t>
            </w:r>
          </w:p>
        </w:tc>
      </w:tr>
      <w:tr>
        <w:tc>
          <w:tcPr>
            <w:tcW w:type="dxa" w:w="2400"/>
            <w:tcBorders>
              <w:top w:val="single" w:color="CCCCCC" w:sz="1"/>
              <w:left w:val="single" w:color="CCCCCC" w:sz="1"/>
              <w:bottom w:val="single" w:color="CCCCCC" w:sz="1"/>
              <w:right w:val="single" w:color="CCCCCC" w:sz="1"/>
            </w:tcBorders>
            <w:shd w:fill="FAD7D2"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Falling</w:t>
            </w:r>
          </w:p>
        </w:tc>
        <w:tc>
          <w:tcPr>
            <w:tcW w:type="dxa" w:w="3480"/>
            <w:tcBorders>
              <w:top w:val="single" w:color="CCCCCC" w:sz="1"/>
              <w:left w:val="single" w:color="CCCCCC" w:sz="1"/>
              <w:bottom w:val="single" w:color="CCCCCC" w:sz="1"/>
              <w:right w:val="single" w:color="CCCCCC" w:sz="1"/>
            </w:tcBorders>
            <w:shd w:fill="FAD7D2"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AVOID — Insufficient sample, high FP, no alpha advantage.</w:t>
            </w:r>
          </w:p>
        </w:tc>
        <w:tc>
          <w:tcPr>
            <w:tcW w:type="dxa" w:w="3480"/>
            <w:tcBorders>
              <w:top w:val="single" w:color="CCCCCC" w:sz="1"/>
              <w:left w:val="single" w:color="CCCCCC" w:sz="1"/>
              <w:bottom w:val="single" w:color="CCCCCC" w:sz="1"/>
              <w:right w:val="single" w:color="CCCCCC" w:sz="1"/>
            </w:tcBorders>
            <w:shd w:fill="FAD7D2"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Hard filter: do not enter Stage 2 when label is Falling.</w:t>
            </w:r>
          </w:p>
        </w:tc>
      </w:tr>
    </w:tbl>
    <w:p>
      <w:pPr>
        <w:pageBreakBefore/>
        <w:pBdr>
          <w:bottom w:val="single" w:color="2E6DA4" w:sz="6" w:space="4"/>
        </w:pBdr>
        <w:spacing w:after="160" w:before="240"/>
        <w:jc w:val="left"/>
      </w:pPr>
      <w:r>
        <w:rPr>
          <w:rFonts w:ascii="Arial" w:cs="Arial" w:eastAsia="Arial" w:hAnsi="Arial"/>
          <w:b/>
          <w:bCs/>
          <w:i w:val="false"/>
          <w:iCs w:val="false"/>
          <w:caps/>
          <w:color w:val="1B3A5C"/>
          <w:sz w:val="30"/>
          <w:szCs w:val="30"/>
        </w:rPr>
        <w:t xml:space="preserve">Verdict &amp; Rationale</w:t>
      </w:r>
    </w:p>
    <w:p>
      <w:pPr>
        <w:spacing w:after="100" w:before="200"/>
        <w:jc w:val="left"/>
      </w:pPr>
      <w:r>
        <w:rPr>
          <w:rFonts w:ascii="Arial" w:cs="Arial" w:eastAsia="Arial" w:hAnsi="Arial"/>
          <w:b/>
          <w:bCs/>
          <w:i w:val="false"/>
          <w:iCs w:val="false"/>
          <w:caps w:val="false"/>
          <w:color w:val="1B3A5C"/>
          <w:sz w:val="24"/>
          <w:szCs w:val="24"/>
        </w:rPr>
        <w:t xml:space="preserve">Question 1: Is the Top-35% Rule Optimal or Suboptimal?</w:t>
      </w:r>
    </w:p>
    <w:p>
      <w:pPr>
        <w:spacing w:after="80" w:before="0"/>
        <w:jc w:val="left"/>
      </w:pPr>
      <w:r>
        <w:rPr>
          <w:rFonts w:ascii="Arial" w:cs="Arial" w:eastAsia="Arial" w:hAnsi="Arial"/>
          <w:b w:val="false"/>
          <w:bCs w:val="false"/>
          <w:i w:val="false"/>
          <w:iCs w:val="false"/>
          <w:caps w:val="false"/>
          <w:color w:val="000000"/>
          <w:sz w:val="20"/>
          <w:szCs w:val="20"/>
        </w:rPr>
        <w:t xml:space="preserve">Verdict: Suboptimal as currently implemented — not because it selects wrong sectors, but because it conflates sector quality with entry timing.</w:t>
      </w:r>
    </w:p>
    <w:p>
      <w:pPr>
        <w:spacing w:after="80" w:before="0"/>
        <w:jc w:val="left"/>
      </w:pPr>
      <w:r>
        <w:rPr>
          <w:rFonts w:ascii="Arial" w:cs="Arial" w:eastAsia="Arial" w:hAnsi="Arial"/>
          <w:b w:val="false"/>
          <w:bCs w:val="false"/>
          <w:i w:val="false"/>
          <w:iCs w:val="false"/>
          <w:caps w:val="false"/>
          <w:color w:val="000000"/>
          <w:sz w:val="20"/>
          <w:szCs w:val="20"/>
        </w:rPr>
        <w:t xml:space="preserve">The data shows that Not-Top-35% Stage 2 entries (solid, &gt;5 days) produced average 20-day forward returns of +6.8% versus +3.5% for Top-35% entries. The drawdowns were statistically equivalent (−3.6% vs −3.8%). There is no risk-adjusted performance advantage to requiring Top-35% status at the moment of stock entry.</w:t>
      </w:r>
    </w:p>
    <w:p>
      <w:pPr>
        <w:spacing w:after="80" w:before="0"/>
        <w:jc w:val="left"/>
      </w:pPr>
      <w:r>
        <w:rPr>
          <w:rFonts w:ascii="Arial" w:cs="Arial" w:eastAsia="Arial" w:hAnsi="Arial"/>
          <w:b w:val="false"/>
          <w:bCs w:val="false"/>
          <w:i w:val="false"/>
          <w:iCs w:val="false"/>
          <w:caps w:val="false"/>
          <w:color w:val="000000"/>
          <w:sz w:val="20"/>
          <w:szCs w:val="20"/>
        </w:rPr>
        <w:t xml:space="preserve">The reason the rule appears to work in hindsight is that it is almost always true: during a sector rally, the sector spends 6–10 months in the top 35% before individual stocks complete their Stage 2 alignment. The rule does not add precision — it adds persistence of a signal that was already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700"/>
        <w:gridCol w:w="1600"/>
        <w:gridCol w:w="1560"/>
      </w:tblGrid>
      <w:tr>
        <w:tc>
          <w:tcPr>
            <w:tcW w:type="dxa" w:w="28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after="80" w:before="0"/>
              <w:jc w:val="left"/>
            </w:pPr>
            <w:r>
              <w:rPr>
                <w:rFonts w:ascii="Arial" w:cs="Arial" w:eastAsia="Arial" w:hAnsi="Arial"/>
                <w:b/>
                <w:bCs/>
                <w:i w:val="false"/>
                <w:iCs w:val="false"/>
                <w:caps w:val="false"/>
                <w:color w:val="FFFFFF"/>
                <w:sz w:val="19"/>
                <w:szCs w:val="19"/>
              </w:rPr>
              <w:t xml:space="preserve">Segment</w:t>
            </w:r>
          </w:p>
        </w:tc>
        <w:tc>
          <w:tcPr>
            <w:tcW w:type="dxa" w:w="17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after="80" w:before="0"/>
              <w:jc w:val="center"/>
            </w:pPr>
            <w:r>
              <w:rPr>
                <w:rFonts w:ascii="Arial" w:cs="Arial" w:eastAsia="Arial" w:hAnsi="Arial"/>
                <w:b/>
                <w:bCs/>
                <w:i w:val="false"/>
                <w:iCs w:val="false"/>
                <w:caps w:val="false"/>
                <w:color w:val="FFFFFF"/>
                <w:sz w:val="19"/>
                <w:szCs w:val="19"/>
              </w:rPr>
              <w:t xml:space="preserve">n</w:t>
            </w:r>
          </w:p>
        </w:tc>
        <w:tc>
          <w:tcPr>
            <w:tcW w:type="dxa" w:w="17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after="80" w:before="0"/>
              <w:jc w:val="center"/>
            </w:pPr>
            <w:r>
              <w:rPr>
                <w:rFonts w:ascii="Arial" w:cs="Arial" w:eastAsia="Arial" w:hAnsi="Arial"/>
                <w:b/>
                <w:bCs/>
                <w:i w:val="false"/>
                <w:iCs w:val="false"/>
                <w:caps w:val="false"/>
                <w:color w:val="FFFFFF"/>
                <w:sz w:val="19"/>
                <w:szCs w:val="19"/>
              </w:rPr>
              <w:t xml:space="preserve">AvgFwd 20d</w:t>
            </w:r>
          </w:p>
        </w:tc>
        <w:tc>
          <w:tcPr>
            <w:tcW w:type="dxa" w:w="16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after="80" w:before="0"/>
              <w:jc w:val="center"/>
            </w:pPr>
            <w:r>
              <w:rPr>
                <w:rFonts w:ascii="Arial" w:cs="Arial" w:eastAsia="Arial" w:hAnsi="Arial"/>
                <w:b/>
                <w:bCs/>
                <w:i w:val="false"/>
                <w:iCs w:val="false"/>
                <w:caps w:val="false"/>
                <w:color w:val="FFFFFF"/>
                <w:sz w:val="19"/>
                <w:szCs w:val="19"/>
              </w:rPr>
              <w:t xml:space="preserve">AvgAlpha</w:t>
            </w:r>
          </w:p>
        </w:tc>
        <w:tc>
          <w:tcPr>
            <w:tcW w:type="dxa" w:w="156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after="80" w:before="0"/>
              <w:jc w:val="center"/>
            </w:pPr>
            <w:r>
              <w:rPr>
                <w:rFonts w:ascii="Arial" w:cs="Arial" w:eastAsia="Arial" w:hAnsi="Arial"/>
                <w:b/>
                <w:bCs/>
                <w:i w:val="false"/>
                <w:iCs w:val="false"/>
                <w:caps w:val="false"/>
                <w:color w:val="FFFFFF"/>
                <w:sz w:val="19"/>
                <w:szCs w:val="19"/>
              </w:rPr>
              <w:t xml:space="preserve">AvgMAD</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Top-35% + Stage 2 (&gt;5d)</w:t>
            </w:r>
          </w:p>
        </w:tc>
        <w:tc>
          <w:tcPr>
            <w:tcW w:type="dxa" w:w="17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215</w:t>
            </w:r>
          </w:p>
        </w:tc>
        <w:tc>
          <w:tcPr>
            <w:tcW w:type="dxa" w:w="17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+3.5%</w:t>
            </w:r>
          </w:p>
        </w:tc>
        <w:tc>
          <w:tcPr>
            <w:tcW w:type="dxa" w:w="16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+1.5%</w:t>
            </w:r>
          </w:p>
        </w:tc>
        <w:tc>
          <w:tcPr>
            <w:tcW w:type="dxa" w:w="156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−3.8%</w:t>
            </w:r>
          </w:p>
        </w:tc>
      </w:tr>
      <w:tr>
        <w:tc>
          <w:tcPr>
            <w:tcW w:type="dxa" w:w="2800"/>
            <w:tcBorders>
              <w:top w:val="single" w:color="CCCCCC" w:sz="1"/>
              <w:left w:val="single" w:color="CCCCCC" w:sz="1"/>
              <w:bottom w:val="single" w:color="CCCCCC" w:sz="1"/>
              <w:right w:val="single" w:color="CCCCCC" w:sz="1"/>
            </w:tcBorders>
            <w:shd w:fill="FEF9E7"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Not Top-35% + Stage 2 (&gt;5d)</w:t>
            </w:r>
          </w:p>
        </w:tc>
        <w:tc>
          <w:tcPr>
            <w:tcW w:type="dxa" w:w="1700"/>
            <w:tcBorders>
              <w:top w:val="single" w:color="CCCCCC" w:sz="1"/>
              <w:left w:val="single" w:color="CCCCCC" w:sz="1"/>
              <w:bottom w:val="single" w:color="CCCCCC" w:sz="1"/>
              <w:right w:val="single" w:color="CCCCCC" w:sz="1"/>
            </w:tcBorders>
            <w:shd w:fill="FEF9E7"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208</w:t>
            </w:r>
          </w:p>
        </w:tc>
        <w:tc>
          <w:tcPr>
            <w:tcW w:type="dxa" w:w="1700"/>
            <w:tcBorders>
              <w:top w:val="single" w:color="CCCCCC" w:sz="1"/>
              <w:left w:val="single" w:color="CCCCCC" w:sz="1"/>
              <w:bottom w:val="single" w:color="CCCCCC" w:sz="1"/>
              <w:right w:val="single" w:color="CCCCCC" w:sz="1"/>
            </w:tcBorders>
            <w:shd w:fill="FEF9E7" w:val="clear"/>
            <w:tcMar>
              <w:top w:type="dxa" w:w="90"/>
              <w:left w:type="dxa" w:w="120"/>
              <w:bottom w:type="dxa" w:w="90"/>
              <w:right w:type="dxa" w:w="120"/>
            </w:tcMar>
            <w:vAlign w:val="center"/>
          </w:tcPr>
          <w:p>
            <w:pPr>
              <w:spacing w:after="80" w:before="0"/>
              <w:jc w:val="center"/>
            </w:pPr>
            <w:r>
              <w:rPr>
                <w:rFonts w:ascii="Arial" w:cs="Arial" w:eastAsia="Arial" w:hAnsi="Arial"/>
                <w:b/>
                <w:bCs/>
                <w:i w:val="false"/>
                <w:iCs w:val="false"/>
                <w:caps w:val="false"/>
                <w:color w:val="000000"/>
                <w:sz w:val="19"/>
                <w:szCs w:val="19"/>
              </w:rPr>
              <w:t xml:space="preserve">+6.8%</w:t>
            </w:r>
          </w:p>
        </w:tc>
        <w:tc>
          <w:tcPr>
            <w:tcW w:type="dxa" w:w="1600"/>
            <w:tcBorders>
              <w:top w:val="single" w:color="CCCCCC" w:sz="1"/>
              <w:left w:val="single" w:color="CCCCCC" w:sz="1"/>
              <w:bottom w:val="single" w:color="CCCCCC" w:sz="1"/>
              <w:right w:val="single" w:color="CCCCCC" w:sz="1"/>
            </w:tcBorders>
            <w:shd w:fill="FEF9E7"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+1.9%</w:t>
            </w:r>
          </w:p>
        </w:tc>
        <w:tc>
          <w:tcPr>
            <w:tcW w:type="dxa" w:w="1560"/>
            <w:tcBorders>
              <w:top w:val="single" w:color="CCCCCC" w:sz="1"/>
              <w:left w:val="single" w:color="CCCCCC" w:sz="1"/>
              <w:bottom w:val="single" w:color="CCCCCC" w:sz="1"/>
              <w:right w:val="single" w:color="CCCCCC" w:sz="1"/>
            </w:tcBorders>
            <w:shd w:fill="FEF9E7"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−3.6%</w:t>
            </w:r>
          </w:p>
        </w:tc>
      </w:tr>
    </w:tbl>
    <w:p>
      <w:pPr>
        <w:spacing w:after="80" w:before="0"/>
        <w:jc w:val="left"/>
      </w:pPr>
      <w:r>
        <w:rPr>
          <w:rFonts w:ascii="Arial" w:cs="Arial" w:eastAsia="Arial" w:hAnsi="Arial"/>
          <w:b w:val="false"/>
          <w:bCs w:val="false"/>
          <w:i w:val="false"/>
          <w:iCs w:val="false"/>
          <w:caps w:val="false"/>
          <w:color w:val="000000"/>
          <w:sz w:val="20"/>
          <w:szCs w:val="20"/>
        </w:rPr>
        <w:t xml:space="preserve"> </w:t>
      </w:r>
    </w:p>
    <w:p>
      <w:pPr>
        <w:spacing w:after="100" w:before="200"/>
        <w:jc w:val="left"/>
      </w:pPr>
      <w:r>
        <w:rPr>
          <w:rFonts w:ascii="Arial" w:cs="Arial" w:eastAsia="Arial" w:hAnsi="Arial"/>
          <w:b/>
          <w:bCs/>
          <w:i w:val="false"/>
          <w:iCs w:val="false"/>
          <w:caps w:val="false"/>
          <w:color w:val="1B3A5C"/>
          <w:sz w:val="24"/>
          <w:szCs w:val="24"/>
        </w:rPr>
        <w:t xml:space="preserve">Question 2: Should We Modify, Supplement, or Replace?</w:t>
      </w:r>
    </w:p>
    <w:p>
      <w:pPr>
        <w:spacing w:after="80" w:before="0"/>
        <w:jc w:val="left"/>
      </w:pPr>
      <w:r>
        <w:rPr>
          <w:rFonts w:ascii="Arial" w:cs="Arial" w:eastAsia="Arial" w:hAnsi="Arial"/>
          <w:b w:val="false"/>
          <w:bCs w:val="false"/>
          <w:i w:val="false"/>
          <w:iCs w:val="false"/>
          <w:caps w:val="false"/>
          <w:color w:val="000000"/>
          <w:sz w:val="20"/>
          <w:szCs w:val="20"/>
        </w:rPr>
        <w:t xml:space="preserve">Recommendation: Supplement with an episode durability gate. Do not replace outright.</w:t>
      </w:r>
    </w:p>
    <w:p>
      <w:pPr>
        <w:spacing w:after="80" w:before="0"/>
        <w:jc w:val="left"/>
      </w:pPr>
      <w:r>
        <w:rPr>
          <w:rFonts w:ascii="Arial" w:cs="Arial" w:eastAsia="Arial" w:hAnsi="Arial"/>
          <w:b w:val="false"/>
          <w:bCs w:val="false"/>
          <w:i w:val="false"/>
          <w:iCs w:val="false"/>
          <w:caps w:val="false"/>
          <w:color w:val="000000"/>
          <w:sz w:val="20"/>
          <w:szCs w:val="20"/>
        </w:rPr>
        <w:t xml:space="preserve">The Top-35% rule has legitimate value as background context — it confirms the sector is in a leadership position within the broader market. Removing it entirely risks entering Stage 2 setups in structurally weak sectors. The issue is that the rule is currently used as a timing gate, when it should function as a sector qualification screen.</w:t>
      </w:r>
    </w:p>
    <w:p>
      <w:pPr>
        <w:spacing w:after="80" w:before="0"/>
        <w:jc w:val="left"/>
      </w:pPr>
      <w:r>
        <w:rPr>
          <w:rFonts w:ascii="Arial" w:cs="Arial" w:eastAsia="Arial" w:hAnsi="Arial"/>
          <w:b w:val="false"/>
          <w:bCs w:val="false"/>
          <w:i w:val="false"/>
          <w:iCs w:val="false"/>
          <w:caps w:val="false"/>
          <w:color w:val="000000"/>
          <w:sz w:val="20"/>
          <w:szCs w:val="20"/>
        </w:rPr>
        <w:t xml:space="preserve">The modification that produces the largest improvement is adding an episode durability confirmation: require that the Stage 2 condition holds for at least 10 consecutive trading days before initiating a position. This single filter eliminates the majority of the 43–63% false positive rate in the most common momentum labels.</w:t>
      </w:r>
    </w:p>
    <w:p>
      <w:pPr>
        <w:spacing w:after="100" w:before="200"/>
        <w:jc w:val="left"/>
      </w:pPr>
      <w:r>
        <w:rPr>
          <w:rFonts w:ascii="Arial" w:cs="Arial" w:eastAsia="Arial" w:hAnsi="Arial"/>
          <w:b/>
          <w:bCs/>
          <w:i w:val="false"/>
          <w:iCs w:val="false"/>
          <w:caps w:val="false"/>
          <w:color w:val="1B3A5C"/>
          <w:sz w:val="24"/>
          <w:szCs w:val="24"/>
        </w:rPr>
        <w:t xml:space="preserve">Question 3: Risk vs. Reward of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after="80" w:before="0"/>
              <w:jc w:val="left"/>
            </w:pPr>
            <w:r>
              <w:rPr>
                <w:rFonts w:ascii="Arial" w:cs="Arial" w:eastAsia="Arial" w:hAnsi="Arial"/>
                <w:b/>
                <w:bCs/>
                <w:i w:val="false"/>
                <w:iCs w:val="false"/>
                <w:caps w:val="false"/>
                <w:color w:val="FFFFFF"/>
                <w:sz w:val="19"/>
                <w:szCs w:val="19"/>
              </w:rPr>
              <w:t xml:space="preserve">Scenario</w:t>
            </w:r>
          </w:p>
        </w:tc>
        <w:tc>
          <w:tcPr>
            <w:tcW w:type="dxa" w:w="348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after="80" w:before="0"/>
              <w:jc w:val="left"/>
            </w:pPr>
            <w:r>
              <w:rPr>
                <w:rFonts w:ascii="Arial" w:cs="Arial" w:eastAsia="Arial" w:hAnsi="Arial"/>
                <w:b/>
                <w:bCs/>
                <w:i w:val="false"/>
                <w:iCs w:val="false"/>
                <w:caps w:val="false"/>
                <w:color w:val="FFFFFF"/>
                <w:sz w:val="19"/>
                <w:szCs w:val="19"/>
              </w:rPr>
              <w:t xml:space="preserve">Upside</w:t>
            </w:r>
          </w:p>
        </w:tc>
        <w:tc>
          <w:tcPr>
            <w:tcW w:type="dxa" w:w="348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after="80" w:before="0"/>
              <w:jc w:val="left"/>
            </w:pPr>
            <w:r>
              <w:rPr>
                <w:rFonts w:ascii="Arial" w:cs="Arial" w:eastAsia="Arial" w:hAnsi="Arial"/>
                <w:b/>
                <w:bCs/>
                <w:i w:val="false"/>
                <w:iCs w:val="false"/>
                <w:caps w:val="false"/>
                <w:color w:val="FFFFFF"/>
                <w:sz w:val="19"/>
                <w:szCs w:val="19"/>
              </w:rPr>
              <w:t xml:space="preserve">Risk</w:t>
            </w:r>
          </w:p>
        </w:tc>
      </w:tr>
      <w:tr>
        <w:tc>
          <w:tcPr>
            <w:tcW w:type="dxa" w:w="2400"/>
            <w:tcBorders>
              <w:top w:val="single" w:color="CCCCCC" w:sz="1"/>
              <w:left w:val="single" w:color="CCCCCC" w:sz="1"/>
              <w:bottom w:val="single" w:color="CCCCCC" w:sz="1"/>
              <w:right w:val="single" w:color="CCCCCC" w:sz="1"/>
            </w:tcBorders>
            <w:shd w:fill="FAD7D2"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Keep Current Rule Unchanged</w:t>
            </w:r>
          </w:p>
        </w:tc>
        <w:tc>
          <w:tcPr>
            <w:tcW w:type="dxa" w:w="3480"/>
            <w:tcBorders>
              <w:top w:val="single" w:color="CCCCCC" w:sz="1"/>
              <w:left w:val="single" w:color="CCCCCC" w:sz="1"/>
              <w:bottom w:val="single" w:color="CCCCCC" w:sz="1"/>
              <w:right w:val="single" w:color="CCCCCC" w:sz="1"/>
            </w:tcBorders>
            <w:shd w:fill="FAD7D2"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No implementation risk. Known performance baseline.</w:t>
            </w:r>
          </w:p>
        </w:tc>
        <w:tc>
          <w:tcPr>
            <w:tcW w:type="dxa" w:w="3480"/>
            <w:tcBorders>
              <w:top w:val="single" w:color="CCCCCC" w:sz="1"/>
              <w:left w:val="single" w:color="CCCCCC" w:sz="1"/>
              <w:bottom w:val="single" w:color="CCCCCC" w:sz="1"/>
              <w:right w:val="single" w:color="CCCCCC" w:sz="1"/>
            </w:tcBorders>
            <w:shd w:fill="FAD7D2"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Continue missing 6–9% of returns from early Not-Top-35% entries. Systematic late timing.</w:t>
            </w:r>
          </w:p>
        </w:tc>
      </w:tr>
      <w:tr>
        <w:tc>
          <w:tcPr>
            <w:tcW w:type="dxa" w:w="2400"/>
            <w:tcBorders>
              <w:top w:val="single" w:color="CCCCCC" w:sz="1"/>
              <w:left w:val="single" w:color="CCCCCC" w:sz="1"/>
              <w:bottom w:val="single" w:color="CCCCCC" w:sz="1"/>
              <w:right w:val="single" w:color="CCCCCC" w:sz="1"/>
            </w:tcBorders>
            <w:shd w:fill="D5F0DC"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Add Durability Gate Only</w:t>
            </w:r>
          </w:p>
        </w:tc>
        <w:tc>
          <w:tcPr>
            <w:tcW w:type="dxa" w:w="3480"/>
            <w:tcBorders>
              <w:top w:val="single" w:color="CCCCCC" w:sz="1"/>
              <w:left w:val="single" w:color="CCCCCC" w:sz="1"/>
              <w:bottom w:val="single" w:color="CCCCCC" w:sz="1"/>
              <w:right w:val="single" w:color="CCCCCC" w:sz="1"/>
            </w:tcBorders>
            <w:shd w:fill="D5F0DC"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Reduces false positives by estimated 40–50%. Minimal logic change.</w:t>
            </w:r>
          </w:p>
        </w:tc>
        <w:tc>
          <w:tcPr>
            <w:tcW w:type="dxa" w:w="3480"/>
            <w:tcBorders>
              <w:top w:val="single" w:color="CCCCCC" w:sz="1"/>
              <w:left w:val="single" w:color="CCCCCC" w:sz="1"/>
              <w:bottom w:val="single" w:color="CCCCCC" w:sz="1"/>
              <w:right w:val="single" w:color="CCCCCC" w:sz="1"/>
            </w:tcBorders>
            <w:shd w:fill="D5F0DC"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May miss fast breakouts that confirm and resolve in under 10 days.</w:t>
            </w:r>
          </w:p>
        </w:tc>
      </w:tr>
      <w:tr>
        <w:tc>
          <w:tcPr>
            <w:tcW w:type="dxa" w:w="24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Hybrid: Top-35% Context + Durability Gate</w:t>
            </w:r>
          </w:p>
        </w:tc>
        <w:tc>
          <w:tcPr>
            <w:tcW w:type="dxa" w:w="348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Preserves sector quality filter. Adds timing precision. Best risk/reward.</w:t>
            </w:r>
          </w:p>
        </w:tc>
        <w:tc>
          <w:tcPr>
            <w:tcW w:type="dxa" w:w="348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Requires 3-month pilot to validate in live conditions before full capital deployment.</w:t>
            </w:r>
          </w:p>
        </w:tc>
      </w:tr>
      <w:tr>
        <w:tc>
          <w:tcPr>
            <w:tcW w:type="dxa" w:w="2400"/>
            <w:tcBorders>
              <w:top w:val="single" w:color="CCCCCC" w:sz="1"/>
              <w:left w:val="single" w:color="CCCCCC" w:sz="1"/>
              <w:bottom w:val="single" w:color="CCCCCC" w:sz="1"/>
              <w:right w:val="single" w:color="CCCCCC" w:sz="1"/>
            </w:tcBorders>
            <w:shd w:fill="FAD7D2"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Full Pivot to Stage 2 Only</w:t>
            </w:r>
          </w:p>
        </w:tc>
        <w:tc>
          <w:tcPr>
            <w:tcW w:type="dxa" w:w="3480"/>
            <w:tcBorders>
              <w:top w:val="single" w:color="CCCCCC" w:sz="1"/>
              <w:left w:val="single" w:color="CCCCCC" w:sz="1"/>
              <w:bottom w:val="single" w:color="CCCCCC" w:sz="1"/>
              <w:right w:val="single" w:color="CCCCCC" w:sz="1"/>
            </w:tcBorders>
            <w:shd w:fill="FAD7D2"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Maximum theoretical return capture.</w:t>
            </w:r>
          </w:p>
        </w:tc>
        <w:tc>
          <w:tcPr>
            <w:tcW w:type="dxa" w:w="3480"/>
            <w:tcBorders>
              <w:top w:val="single" w:color="CCCCCC" w:sz="1"/>
              <w:left w:val="single" w:color="CCCCCC" w:sz="1"/>
              <w:bottom w:val="single" w:color="CCCCCC" w:sz="1"/>
              <w:right w:val="single" w:color="CCCCCC" w:sz="1"/>
            </w:tcBorders>
            <w:shd w:fill="FAD7D2"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High model risk. No live validation. Eliminates proven sector quality signal entirely.</w:t>
            </w:r>
          </w:p>
        </w:tc>
      </w:tr>
    </w:tbl>
    <w:p>
      <w:pPr>
        <w:pageBreakBefore/>
        <w:pBdr>
          <w:bottom w:val="single" w:color="2E6DA4" w:sz="6" w:space="4"/>
        </w:pBdr>
        <w:spacing w:after="160" w:before="240"/>
        <w:jc w:val="left"/>
      </w:pPr>
      <w:r>
        <w:rPr>
          <w:rFonts w:ascii="Arial" w:cs="Arial" w:eastAsia="Arial" w:hAnsi="Arial"/>
          <w:b/>
          <w:bCs/>
          <w:i w:val="false"/>
          <w:iCs w:val="false"/>
          <w:caps/>
          <w:color w:val="1B3A5C"/>
          <w:sz w:val="30"/>
          <w:szCs w:val="30"/>
        </w:rPr>
        <w:t xml:space="preserve">Recommended Action Plan</w:t>
      </w:r>
    </w:p>
    <w:p>
      <w:pPr>
        <w:spacing w:after="100" w:before="200"/>
        <w:jc w:val="left"/>
      </w:pPr>
      <w:r>
        <w:rPr>
          <w:rFonts w:ascii="Arial" w:cs="Arial" w:eastAsia="Arial" w:hAnsi="Arial"/>
          <w:b/>
          <w:bCs/>
          <w:i w:val="false"/>
          <w:iCs w:val="false"/>
          <w:caps w:val="false"/>
          <w:color w:val="1B3A5C"/>
          <w:sz w:val="24"/>
          <w:szCs w:val="24"/>
        </w:rPr>
        <w:t xml:space="preserve">Strategic Recommendation: Hybrid Pilot Approach</w:t>
      </w:r>
    </w:p>
    <w:p>
      <w:pPr>
        <w:spacing w:after="80" w:before="0"/>
        <w:jc w:val="left"/>
      </w:pPr>
      <w:r>
        <w:rPr>
          <w:rFonts w:ascii="Arial" w:cs="Arial" w:eastAsia="Arial" w:hAnsi="Arial"/>
          <w:b w:val="false"/>
          <w:bCs w:val="false"/>
          <w:i w:val="false"/>
          <w:iCs w:val="false"/>
          <w:caps w:val="false"/>
          <w:color w:val="000000"/>
          <w:sz w:val="20"/>
          <w:szCs w:val="20"/>
        </w:rPr>
        <w:t xml:space="preserve">Implement a structured, time-bounded pilot of the modified entry logic on a subset of capital. The full current approach continues unchanged on the main book. This is not a hedge — it is a controlled experiment with pre-defined go/no-go gates.</w:t>
      </w:r>
    </w:p>
    <w:p>
      <w:pPr>
        <w:spacing w:after="100" w:before="200"/>
        <w:jc w:val="left"/>
      </w:pPr>
      <w:r>
        <w:rPr>
          <w:rFonts w:ascii="Arial" w:cs="Arial" w:eastAsia="Arial" w:hAnsi="Arial"/>
          <w:b/>
          <w:bCs/>
          <w:i w:val="false"/>
          <w:iCs w:val="false"/>
          <w:caps w:val="false"/>
          <w:color w:val="1B3A5C"/>
          <w:sz w:val="24"/>
          <w:szCs w:val="24"/>
        </w:rPr>
        <w:t xml:space="preserve">The Modified Entry Logic (Pilot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c>
          <w:tcPr>
            <w:tcW w:type="dxa" w:w="4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after="80" w:before="0"/>
              <w:jc w:val="center"/>
            </w:pPr>
            <w:r>
              <w:rPr>
                <w:rFonts w:ascii="Arial" w:cs="Arial" w:eastAsia="Arial" w:hAnsi="Arial"/>
                <w:b/>
                <w:bCs/>
                <w:i w:val="false"/>
                <w:iCs w:val="false"/>
                <w:caps w:val="false"/>
                <w:color w:val="FFFFFF"/>
                <w:sz w:val="19"/>
                <w:szCs w:val="19"/>
              </w:rPr>
              <w:t xml:space="preserve">#</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after="80" w:before="0"/>
              <w:jc w:val="left"/>
            </w:pPr>
            <w:r>
              <w:rPr>
                <w:rFonts w:ascii="Arial" w:cs="Arial" w:eastAsia="Arial" w:hAnsi="Arial"/>
                <w:b/>
                <w:bCs/>
                <w:i w:val="false"/>
                <w:iCs w:val="false"/>
                <w:caps w:val="false"/>
                <w:color w:val="FFFFFF"/>
                <w:sz w:val="19"/>
                <w:szCs w:val="19"/>
              </w:rPr>
              <w:t xml:space="preserve">Gate</w:t>
            </w:r>
          </w:p>
        </w:tc>
        <w:tc>
          <w:tcPr>
            <w:tcW w:type="dxa" w:w="676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after="80" w:before="0"/>
              <w:jc w:val="left"/>
            </w:pPr>
            <w:r>
              <w:rPr>
                <w:rFonts w:ascii="Arial" w:cs="Arial" w:eastAsia="Arial" w:hAnsi="Arial"/>
                <w:b/>
                <w:bCs/>
                <w:i w:val="false"/>
                <w:iCs w:val="false"/>
                <w:caps w:val="false"/>
                <w:color w:val="FFFFFF"/>
                <w:sz w:val="19"/>
                <w:szCs w:val="19"/>
              </w:rPr>
              <w:t xml:space="preserve">Condition</w:t>
            </w:r>
          </w:p>
        </w:tc>
      </w:tr>
      <w:tr>
        <w:tc>
          <w:tcPr>
            <w:tcW w:type="dxa" w:w="40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center"/>
            </w:pPr>
            <w:r>
              <w:rPr>
                <w:rFonts w:ascii="Arial" w:cs="Arial" w:eastAsia="Arial" w:hAnsi="Arial"/>
                <w:b/>
                <w:bCs/>
                <w:i w:val="false"/>
                <w:iCs w:val="false"/>
                <w:caps w:val="false"/>
                <w:color w:val="000000"/>
                <w:sz w:val="19"/>
                <w:szCs w:val="19"/>
              </w:rPr>
              <w:t xml:space="preserve">1</w:t>
            </w:r>
          </w:p>
        </w:tc>
        <w:tc>
          <w:tcPr>
            <w:tcW w:type="dxa" w:w="220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Sector Context</w:t>
            </w:r>
          </w:p>
        </w:tc>
        <w:tc>
          <w:tcPr>
            <w:tcW w:type="dxa" w:w="676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Commercial Banks must be in top 50% of sector rankings (relaxed from top 35%). This confirms sector is not in active decline without requiring top-tier status at the exact entry moment.</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spacing w:after="80" w:before="0"/>
              <w:jc w:val="center"/>
            </w:pPr>
            <w:r>
              <w:rPr>
                <w:rFonts w:ascii="Arial" w:cs="Arial" w:eastAsia="Arial" w:hAnsi="Arial"/>
                <w:b/>
                <w:bCs/>
                <w:i w:val="false"/>
                <w:iCs w:val="false"/>
                <w:caps w:val="false"/>
                <w:color w:val="000000"/>
                <w:sz w:val="19"/>
                <w:szCs w:val="19"/>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Stage 2 Alignment</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Individual stock: Price &gt; EMA20 &gt; EMA50 &gt; EMA200 on entry day.</w:t>
            </w:r>
          </w:p>
        </w:tc>
      </w:tr>
      <w:tr>
        <w:tc>
          <w:tcPr>
            <w:tcW w:type="dxa" w:w="40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center"/>
            </w:pPr>
            <w:r>
              <w:rPr>
                <w:rFonts w:ascii="Arial" w:cs="Arial" w:eastAsia="Arial" w:hAnsi="Arial"/>
                <w:b/>
                <w:bCs/>
                <w:i w:val="false"/>
                <w:iCs w:val="false"/>
                <w:caps w:val="false"/>
                <w:color w:val="000000"/>
                <w:sz w:val="19"/>
                <w:szCs w:val="19"/>
              </w:rPr>
              <w:t xml:space="preserve">3</w:t>
            </w:r>
          </w:p>
        </w:tc>
        <w:tc>
          <w:tcPr>
            <w:tcW w:type="dxa" w:w="220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Durability Gate</w:t>
            </w:r>
          </w:p>
        </w:tc>
        <w:tc>
          <w:tcPr>
            <w:tcW w:type="dxa" w:w="676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Stage 2 alignment must have held for at least 10 consecutive trading days. This is the critical new gate. No entry on day 1–9 of a Stage 2 episode.</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spacing w:after="80" w:before="0"/>
              <w:jc w:val="center"/>
            </w:pPr>
            <w:r>
              <w:rPr>
                <w:rFonts w:ascii="Arial" w:cs="Arial" w:eastAsia="Arial" w:hAnsi="Arial"/>
                <w:b/>
                <w:bCs/>
                <w:i w:val="false"/>
                <w:iCs w:val="false"/>
                <w:caps w:val="false"/>
                <w:color w:val="000000"/>
                <w:sz w:val="19"/>
                <w:szCs w:val="19"/>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Momentum Filter</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Stock momentum label must be Cooling Down, Rolling Over, or Heating Up. Exclude Recovering, Stabilising, and Falling.</w:t>
            </w:r>
          </w:p>
        </w:tc>
      </w:tr>
      <w:tr>
        <w:tc>
          <w:tcPr>
            <w:tcW w:type="dxa" w:w="40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center"/>
            </w:pPr>
            <w:r>
              <w:rPr>
                <w:rFonts w:ascii="Arial" w:cs="Arial" w:eastAsia="Arial" w:hAnsi="Arial"/>
                <w:b/>
                <w:bCs/>
                <w:i w:val="false"/>
                <w:iCs w:val="false"/>
                <w:caps w:val="false"/>
                <w:color w:val="000000"/>
                <w:sz w:val="19"/>
                <w:szCs w:val="19"/>
              </w:rPr>
              <w:t xml:space="preserve">5</w:t>
            </w:r>
          </w:p>
        </w:tc>
        <w:tc>
          <w:tcPr>
            <w:tcW w:type="dxa" w:w="220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Volume Confirmation</w:t>
            </w:r>
          </w:p>
        </w:tc>
        <w:tc>
          <w:tcPr>
            <w:tcW w:type="dxa" w:w="676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Entry-day volume must be at or above 20-day average. Stage 2 entries on low volume have elevated false positive rates.</w:t>
            </w:r>
          </w:p>
        </w:tc>
      </w:tr>
    </w:tbl>
    <w:p>
      <w:pPr>
        <w:spacing w:after="80" w:before="0"/>
        <w:jc w:val="left"/>
      </w:pPr>
      <w:r>
        <w:rPr>
          <w:rFonts w:ascii="Arial" w:cs="Arial" w:eastAsia="Arial" w:hAnsi="Arial"/>
          <w:b w:val="false"/>
          <w:bCs w:val="false"/>
          <w:i w:val="false"/>
          <w:iCs w:val="false"/>
          <w:caps w:val="false"/>
          <w:color w:val="000000"/>
          <w:sz w:val="20"/>
          <w:szCs w:val="20"/>
        </w:rPr>
        <w:t xml:space="preserve"> </w:t>
      </w:r>
    </w:p>
    <w:p>
      <w:pPr>
        <w:spacing w:after="100" w:before="200"/>
        <w:jc w:val="left"/>
      </w:pPr>
      <w:r>
        <w:rPr>
          <w:rFonts w:ascii="Arial" w:cs="Arial" w:eastAsia="Arial" w:hAnsi="Arial"/>
          <w:b/>
          <w:bCs/>
          <w:i w:val="false"/>
          <w:iCs w:val="false"/>
          <w:caps w:val="false"/>
          <w:color w:val="1B3A5C"/>
          <w:sz w:val="24"/>
          <w:szCs w:val="24"/>
        </w:rPr>
        <w:t xml:space="preserve">Capital Allocation</w:t>
      </w:r>
    </w:p>
    <w:p>
      <w:pPr>
        <w:pStyle w:val="ListParagraph"/>
        <w:numPr>
          <w:ilvl w:val="0"/>
          <w:numId w:val="2"/>
        </w:numPr>
        <w:spacing w:after="40" w:before="40"/>
      </w:pPr>
      <w:r>
        <w:rPr>
          <w:rFonts w:ascii="Arial" w:cs="Arial" w:eastAsia="Arial" w:hAnsi="Arial"/>
          <w:b w:val="false"/>
          <w:bCs w:val="false"/>
          <w:i w:val="false"/>
          <w:iCs w:val="false"/>
          <w:caps w:val="false"/>
          <w:color w:val="000000"/>
          <w:sz w:val="20"/>
          <w:szCs w:val="20"/>
        </w:rPr>
        <w:t xml:space="preserve">Main Book (Current Logic): 80% of sector capital allocation continues unchanged.</w:t>
      </w:r>
    </w:p>
    <w:p>
      <w:pPr>
        <w:pStyle w:val="ListParagraph"/>
        <w:numPr>
          <w:ilvl w:val="0"/>
          <w:numId w:val="2"/>
        </w:numPr>
        <w:spacing w:after="40" w:before="40"/>
      </w:pPr>
      <w:r>
        <w:rPr>
          <w:rFonts w:ascii="Arial" w:cs="Arial" w:eastAsia="Arial" w:hAnsi="Arial"/>
          <w:b w:val="false"/>
          <w:bCs w:val="false"/>
          <w:i w:val="false"/>
          <w:iCs w:val="false"/>
          <w:caps w:val="false"/>
          <w:color w:val="000000"/>
          <w:sz w:val="20"/>
          <w:szCs w:val="20"/>
        </w:rPr>
        <w:t xml:space="preserve">Pilot Book (Modified Logic): 20% of sector capital for Consumer Banking entries only.</w:t>
      </w:r>
    </w:p>
    <w:p>
      <w:pPr>
        <w:pStyle w:val="ListParagraph"/>
        <w:numPr>
          <w:ilvl w:val="0"/>
          <w:numId w:val="2"/>
        </w:numPr>
        <w:spacing w:after="40" w:before="40"/>
      </w:pPr>
      <w:r>
        <w:rPr>
          <w:rFonts w:ascii="Arial" w:cs="Arial" w:eastAsia="Arial" w:hAnsi="Arial"/>
          <w:b w:val="false"/>
          <w:bCs w:val="false"/>
          <w:i w:val="false"/>
          <w:iCs w:val="false"/>
          <w:caps w:val="false"/>
          <w:color w:val="000000"/>
          <w:sz w:val="20"/>
          <w:szCs w:val="20"/>
        </w:rPr>
        <w:t xml:space="preserve">Maximum position size per stock in pilot: 2% of total portfolio.</w:t>
      </w:r>
    </w:p>
    <w:p>
      <w:pPr>
        <w:pStyle w:val="ListParagraph"/>
        <w:numPr>
          <w:ilvl w:val="0"/>
          <w:numId w:val="2"/>
        </w:numPr>
        <w:spacing w:after="40" w:before="40"/>
      </w:pPr>
      <w:r>
        <w:rPr>
          <w:rFonts w:ascii="Arial" w:cs="Arial" w:eastAsia="Arial" w:hAnsi="Arial"/>
          <w:b w:val="false"/>
          <w:bCs w:val="false"/>
          <w:i w:val="false"/>
          <w:iCs w:val="false"/>
          <w:caps w:val="false"/>
          <w:color w:val="000000"/>
          <w:sz w:val="20"/>
          <w:szCs w:val="20"/>
        </w:rPr>
        <w:t xml:space="preserve">No leverage on pilot positions. All entries at spot.</w:t>
      </w:r>
    </w:p>
    <w:p>
      <w:pPr>
        <w:spacing w:after="100" w:before="200"/>
        <w:jc w:val="left"/>
      </w:pPr>
      <w:r>
        <w:rPr>
          <w:rFonts w:ascii="Arial" w:cs="Arial" w:eastAsia="Arial" w:hAnsi="Arial"/>
          <w:b/>
          <w:bCs/>
          <w:i w:val="false"/>
          <w:iCs w:val="false"/>
          <w:caps w:val="false"/>
          <w:color w:val="1B3A5C"/>
          <w:sz w:val="24"/>
          <w:szCs w:val="24"/>
        </w:rPr>
        <w:t xml:space="preserve">Current Opportunity — Banking Sector (May 2026)</w:t>
      </w:r>
    </w:p>
    <w:p>
      <w:pPr>
        <w:spacing w:after="80" w:before="0"/>
        <w:jc w:val="left"/>
      </w:pPr>
      <w:r>
        <w:rPr>
          <w:rFonts w:ascii="Arial" w:cs="Arial" w:eastAsia="Arial" w:hAnsi="Arial"/>
          <w:b w:val="false"/>
          <w:bCs w:val="false"/>
          <w:i w:val="false"/>
          <w:iCs w:val="false"/>
          <w:caps w:val="false"/>
          <w:color w:val="000000"/>
          <w:sz w:val="20"/>
          <w:szCs w:val="20"/>
        </w:rPr>
        <w:t xml:space="preserve">As of 31 May 2026, the banking sector has Heating Up sector momentum (30d: +0.31%, 10d: +2.24%). Three banks are currently in Stage 2: AKBL, MCB, and MEBL. Two of these (MCB: entry 18 May, 11 days; MEBL: entry 25 May, 4 days) are candidates for durability gate evaluation in Month 1 of the pilot.</w:t>
      </w:r>
    </w:p>
    <w:p>
      <w:pPr>
        <w:pageBreakBefore/>
        <w:pBdr>
          <w:bottom w:val="single" w:color="2E6DA4" w:sz="6" w:space="4"/>
        </w:pBdr>
        <w:spacing w:after="160" w:before="240"/>
        <w:jc w:val="left"/>
      </w:pPr>
      <w:r>
        <w:rPr>
          <w:rFonts w:ascii="Arial" w:cs="Arial" w:eastAsia="Arial" w:hAnsi="Arial"/>
          <w:b/>
          <w:bCs/>
          <w:i w:val="false"/>
          <w:iCs w:val="false"/>
          <w:caps/>
          <w:color w:val="1B3A5C"/>
          <w:sz w:val="30"/>
          <w:szCs w:val="30"/>
        </w:rPr>
        <w:t xml:space="preserve">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3200"/>
        <w:gridCol w:w="2560"/>
      </w:tblGrid>
      <w:tr>
        <w:tc>
          <w:tcPr>
            <w:tcW w:type="dxa" w:w="15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after="80" w:before="0"/>
              <w:jc w:val="left"/>
            </w:pPr>
            <w:r>
              <w:rPr>
                <w:rFonts w:ascii="Arial" w:cs="Arial" w:eastAsia="Arial" w:hAnsi="Arial"/>
                <w:b/>
                <w:bCs/>
                <w:i w:val="false"/>
                <w:iCs w:val="false"/>
                <w:caps w:val="false"/>
                <w:color w:val="FFFFFF"/>
                <w:sz w:val="19"/>
                <w:szCs w:val="19"/>
              </w:rPr>
              <w:t xml:space="preserve">Phase</w:t>
            </w:r>
          </w:p>
        </w:tc>
        <w:tc>
          <w:tcPr>
            <w:tcW w:type="dxa" w:w="21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after="80" w:before="0"/>
              <w:jc w:val="left"/>
            </w:pPr>
            <w:r>
              <w:rPr>
                <w:rFonts w:ascii="Arial" w:cs="Arial" w:eastAsia="Arial" w:hAnsi="Arial"/>
                <w:b/>
                <w:bCs/>
                <w:i w:val="false"/>
                <w:iCs w:val="false"/>
                <w:caps w:val="false"/>
                <w:color w:val="FFFFFF"/>
                <w:sz w:val="19"/>
                <w:szCs w:val="19"/>
              </w:rPr>
              <w:t xml:space="preserve">Period</w:t>
            </w:r>
          </w:p>
        </w:tc>
        <w:tc>
          <w:tcPr>
            <w:tcW w:type="dxa" w:w="32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after="80" w:before="0"/>
              <w:jc w:val="left"/>
            </w:pPr>
            <w:r>
              <w:rPr>
                <w:rFonts w:ascii="Arial" w:cs="Arial" w:eastAsia="Arial" w:hAnsi="Arial"/>
                <w:b/>
                <w:bCs/>
                <w:i w:val="false"/>
                <w:iCs w:val="false"/>
                <w:caps w:val="false"/>
                <w:color w:val="FFFFFF"/>
                <w:sz w:val="19"/>
                <w:szCs w:val="19"/>
              </w:rPr>
              <w:t xml:space="preserve">Actions</w:t>
            </w:r>
          </w:p>
        </w:tc>
        <w:tc>
          <w:tcPr>
            <w:tcW w:type="dxa" w:w="256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after="80" w:before="0"/>
              <w:jc w:val="left"/>
            </w:pPr>
            <w:r>
              <w:rPr>
                <w:rFonts w:ascii="Arial" w:cs="Arial" w:eastAsia="Arial" w:hAnsi="Arial"/>
                <w:b/>
                <w:bCs/>
                <w:i w:val="false"/>
                <w:iCs w:val="false"/>
                <w:caps w:val="false"/>
                <w:color w:val="FFFFFF"/>
                <w:sz w:val="19"/>
                <w:szCs w:val="19"/>
              </w:rPr>
              <w:t xml:space="preserve">Decision Gate</w:t>
            </w:r>
          </w:p>
        </w:tc>
      </w:tr>
      <w:tr>
        <w:tc>
          <w:tcPr>
            <w:tcW w:type="dxa" w:w="15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pPr>
              <w:spacing w:after="80" w:before="0"/>
              <w:jc w:val="left"/>
            </w:pPr>
            <w:r>
              <w:rPr>
                <w:rFonts w:ascii="Arial" w:cs="Arial" w:eastAsia="Arial" w:hAnsi="Arial"/>
                <w:b/>
                <w:bCs/>
                <w:i w:val="false"/>
                <w:iCs w:val="false"/>
                <w:caps w:val="false"/>
                <w:color w:val="000000"/>
                <w:sz w:val="19"/>
                <w:szCs w:val="19"/>
              </w:rPr>
              <w:t xml:space="preserve">PHASE 1
Setup</w:t>
            </w:r>
          </w:p>
        </w:tc>
        <w:tc>
          <w:tcPr>
            <w:tcW w:type="dxa" w:w="21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Jun – Jul 2026</w:t>
            </w:r>
          </w:p>
        </w:tc>
        <w:tc>
          <w:tcPr>
            <w:tcW w:type="dxa" w:w="32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 Code durability gate into screener (flag only, no auto-entries)
• Tag all current Stage 2 bank stocks with episode start date
• Establish paper-trade tracking for pilot logic
• Define position sizing rules and risk limits
• Baseline: record all current-logic bank trades for comparison</w:t>
            </w:r>
          </w:p>
        </w:tc>
        <w:tc>
          <w:tcPr>
            <w:tcW w:type="dxa" w:w="256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Gate: Pilot logic coded and paper-traded for 30 days before any live capital.</w:t>
            </w:r>
          </w:p>
        </w:tc>
      </w:tr>
      <w:tr>
        <w:tc>
          <w:tcPr>
            <w:tcW w:type="dxa" w:w="150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bCs/>
                <w:i w:val="false"/>
                <w:iCs w:val="false"/>
                <w:caps w:val="false"/>
                <w:color w:val="000000"/>
                <w:sz w:val="19"/>
                <w:szCs w:val="19"/>
              </w:rPr>
              <w:t xml:space="preserve">PHASE 2
Pilot</w:t>
            </w:r>
          </w:p>
        </w:tc>
        <w:tc>
          <w:tcPr>
            <w:tcW w:type="dxa" w:w="210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Aug – Sep 2026</w:t>
            </w:r>
          </w:p>
        </w:tc>
        <w:tc>
          <w:tcPr>
            <w:tcW w:type="dxa" w:w="320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 Deploy 20% pilot capital to qualifying bank entries under new logic
• Run both logics in parallel — current and modified
• Track: entry date, episode age, momentum label, forward return at 20d and 60d
• Weekly review of false positive rate vs. baseline</w:t>
            </w:r>
          </w:p>
        </w:tc>
        <w:tc>
          <w:tcPr>
            <w:tcW w:type="dxa" w:w="256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Gate: Pilot win rate ≥ 55% at 20d AND avg alpha &gt; +1.5% vs KSE-100 after 30 live trades.</w:t>
            </w:r>
          </w:p>
        </w:tc>
      </w:tr>
      <w:tr>
        <w:tc>
          <w:tcPr>
            <w:tcW w:type="dxa" w:w="1500"/>
            <w:tcBorders>
              <w:top w:val="single" w:color="CCCCCC" w:sz="1"/>
              <w:left w:val="single" w:color="CCCCCC" w:sz="1"/>
              <w:bottom w:val="single" w:color="CCCCCC" w:sz="1"/>
              <w:right w:val="single" w:color="CCCCCC" w:sz="1"/>
            </w:tcBorders>
            <w:shd w:fill="FEF9E7" w:val="clear"/>
            <w:tcMar>
              <w:top w:type="dxa" w:w="90"/>
              <w:left w:type="dxa" w:w="120"/>
              <w:bottom w:type="dxa" w:w="90"/>
              <w:right w:type="dxa" w:w="120"/>
            </w:tcMar>
            <w:vAlign w:val="center"/>
          </w:tcPr>
          <w:p>
            <w:pPr>
              <w:spacing w:after="80" w:before="0"/>
              <w:jc w:val="left"/>
            </w:pPr>
            <w:r>
              <w:rPr>
                <w:rFonts w:ascii="Arial" w:cs="Arial" w:eastAsia="Arial" w:hAnsi="Arial"/>
                <w:b/>
                <w:bCs/>
                <w:i w:val="false"/>
                <w:iCs w:val="false"/>
                <w:caps w:val="false"/>
                <w:color w:val="000000"/>
                <w:sz w:val="19"/>
                <w:szCs w:val="19"/>
              </w:rPr>
              <w:t xml:space="preserve">PHASE 3
Decision</w:t>
            </w:r>
          </w:p>
        </w:tc>
        <w:tc>
          <w:tcPr>
            <w:tcW w:type="dxa" w:w="2100"/>
            <w:tcBorders>
              <w:top w:val="single" w:color="CCCCCC" w:sz="1"/>
              <w:left w:val="single" w:color="CCCCCC" w:sz="1"/>
              <w:bottom w:val="single" w:color="CCCCCC" w:sz="1"/>
              <w:right w:val="single" w:color="CCCCCC" w:sz="1"/>
            </w:tcBorders>
            <w:shd w:fill="FEF9E7"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Oct 2026</w:t>
            </w:r>
          </w:p>
        </w:tc>
        <w:tc>
          <w:tcPr>
            <w:tcW w:type="dxa" w:w="3200"/>
            <w:tcBorders>
              <w:top w:val="single" w:color="CCCCCC" w:sz="1"/>
              <w:left w:val="single" w:color="CCCCCC" w:sz="1"/>
              <w:bottom w:val="single" w:color="CCCCCC" w:sz="1"/>
              <w:right w:val="single" w:color="CCCCCC" w:sz="1"/>
            </w:tcBorders>
            <w:shd w:fill="FEF9E7"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 Quantitative comparison: pilot vs. main book returns, drawdowns, alpha
• Review false positive rates: is durability gate working?
• Assess whether Recovering label exclusion was correct
• Management review meeting: go/no-go decision</w:t>
            </w:r>
          </w:p>
        </w:tc>
        <w:tc>
          <w:tcPr>
            <w:tcW w:type="dxa" w:w="2560"/>
            <w:tcBorders>
              <w:top w:val="single" w:color="CCCCCC" w:sz="1"/>
              <w:left w:val="single" w:color="CCCCCC" w:sz="1"/>
              <w:bottom w:val="single" w:color="CCCCCC" w:sz="1"/>
              <w:right w:val="single" w:color="CCCCCC" w:sz="1"/>
            </w:tcBorders>
            <w:shd w:fill="FEF9E7"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Gate: Go = pilot alpha &gt; main book AND pilot MAD ≤ main book. No-go = either condition fails.</w:t>
            </w:r>
          </w:p>
        </w:tc>
      </w:tr>
      <w:tr>
        <w:tc>
          <w:tcPr>
            <w:tcW w:type="dxa" w:w="1500"/>
            <w:tcBorders>
              <w:top w:val="single" w:color="CCCCCC" w:sz="1"/>
              <w:left w:val="single" w:color="CCCCCC" w:sz="1"/>
              <w:bottom w:val="single" w:color="CCCCCC" w:sz="1"/>
              <w:right w:val="single" w:color="CCCCCC" w:sz="1"/>
            </w:tcBorders>
            <w:shd w:fill="D5F0DC" w:val="clear"/>
            <w:tcMar>
              <w:top w:type="dxa" w:w="90"/>
              <w:left w:type="dxa" w:w="120"/>
              <w:bottom w:type="dxa" w:w="90"/>
              <w:right w:type="dxa" w:w="120"/>
            </w:tcMar>
            <w:vAlign w:val="center"/>
          </w:tcPr>
          <w:p>
            <w:pPr>
              <w:spacing w:after="80" w:before="0"/>
              <w:jc w:val="left"/>
            </w:pPr>
            <w:r>
              <w:rPr>
                <w:rFonts w:ascii="Arial" w:cs="Arial" w:eastAsia="Arial" w:hAnsi="Arial"/>
                <w:b/>
                <w:bCs/>
                <w:i w:val="false"/>
                <w:iCs w:val="false"/>
                <w:caps w:val="false"/>
                <w:color w:val="000000"/>
                <w:sz w:val="19"/>
                <w:szCs w:val="19"/>
              </w:rPr>
              <w:t xml:space="preserve">PHASE 4
Rollout or Hold</w:t>
            </w:r>
          </w:p>
        </w:tc>
        <w:tc>
          <w:tcPr>
            <w:tcW w:type="dxa" w:w="2100"/>
            <w:tcBorders>
              <w:top w:val="single" w:color="CCCCCC" w:sz="1"/>
              <w:left w:val="single" w:color="CCCCCC" w:sz="1"/>
              <w:bottom w:val="single" w:color="CCCCCC" w:sz="1"/>
              <w:right w:val="single" w:color="CCCCCC" w:sz="1"/>
            </w:tcBorders>
            <w:shd w:fill="D5F0DC"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Nov 2026</w:t>
            </w:r>
          </w:p>
        </w:tc>
        <w:tc>
          <w:tcPr>
            <w:tcW w:type="dxa" w:w="3200"/>
            <w:tcBorders>
              <w:top w:val="single" w:color="CCCCCC" w:sz="1"/>
              <w:left w:val="single" w:color="CCCCCC" w:sz="1"/>
              <w:bottom w:val="single" w:color="CCCCCC" w:sz="1"/>
              <w:right w:val="single" w:color="CCCCCC" w:sz="1"/>
            </w:tcBorders>
            <w:shd w:fill="D5F0DC"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 If Go: expand pilot logic to 50% of sector capital. Update screener rules formally.
• If No-go: revert entirely to current logic. Document failure modes. 6-month hold on modification attempts.
• In both cases: publish findings to document system for model evolution record.</w:t>
            </w:r>
          </w:p>
        </w:tc>
        <w:tc>
          <w:tcPr>
            <w:tcW w:type="dxa" w:w="2560"/>
            <w:tcBorders>
              <w:top w:val="single" w:color="CCCCCC" w:sz="1"/>
              <w:left w:val="single" w:color="CCCCCC" w:sz="1"/>
              <w:bottom w:val="single" w:color="CCCCCC" w:sz="1"/>
              <w:right w:val="single" w:color="CCCCCC" w:sz="1"/>
            </w:tcBorders>
            <w:shd w:fill="D5F0DC"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Mandatory review completion: 30 Nov 2026. This document reviewed against live outcomes.</w:t>
            </w:r>
          </w:p>
        </w:tc>
      </w:tr>
    </w:tbl>
    <w:p>
      <w:pPr>
        <w:pageBreakBefore/>
        <w:pBdr>
          <w:bottom w:val="single" w:color="2E6DA4" w:sz="6" w:space="4"/>
        </w:pBdr>
        <w:spacing w:after="160" w:before="240"/>
        <w:jc w:val="left"/>
      </w:pPr>
      <w:r>
        <w:rPr>
          <w:rFonts w:ascii="Arial" w:cs="Arial" w:eastAsia="Arial" w:hAnsi="Arial"/>
          <w:b/>
          <w:bCs/>
          <w:i w:val="false"/>
          <w:iCs w:val="false"/>
          <w:caps/>
          <w:color w:val="1B3A5C"/>
          <w:sz w:val="30"/>
          <w:szCs w:val="30"/>
        </w:rPr>
        <w:t xml:space="preserve">Risk Assessment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3080"/>
        <w:gridCol w:w="3480"/>
      </w:tblGrid>
      <w:tr>
        <w:tc>
          <w:tcPr>
            <w:tcW w:type="dxa" w:w="20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after="80" w:before="0"/>
              <w:jc w:val="left"/>
            </w:pPr>
            <w:r>
              <w:rPr>
                <w:rFonts w:ascii="Arial" w:cs="Arial" w:eastAsia="Arial" w:hAnsi="Arial"/>
                <w:b/>
                <w:bCs/>
                <w:i w:val="false"/>
                <w:iCs w:val="false"/>
                <w:caps w:val="false"/>
                <w:color w:val="FFFFFF"/>
                <w:sz w:val="19"/>
                <w:szCs w:val="19"/>
              </w:rPr>
              <w:t xml:space="preserve">Risk</w:t>
            </w:r>
          </w:p>
        </w:tc>
        <w:tc>
          <w:tcPr>
            <w:tcW w:type="dxa" w:w="8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after="80" w:before="0"/>
              <w:jc w:val="center"/>
            </w:pPr>
            <w:r>
              <w:rPr>
                <w:rFonts w:ascii="Arial" w:cs="Arial" w:eastAsia="Arial" w:hAnsi="Arial"/>
                <w:b/>
                <w:bCs/>
                <w:i w:val="false"/>
                <w:iCs w:val="false"/>
                <w:caps w:val="false"/>
                <w:color w:val="FFFFFF"/>
                <w:sz w:val="19"/>
                <w:szCs w:val="19"/>
              </w:rPr>
              <w:t xml:space="preserve">Severity</w:t>
            </w:r>
          </w:p>
        </w:tc>
        <w:tc>
          <w:tcPr>
            <w:tcW w:type="dxa" w:w="308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after="80" w:before="0"/>
              <w:jc w:val="left"/>
            </w:pPr>
            <w:r>
              <w:rPr>
                <w:rFonts w:ascii="Arial" w:cs="Arial" w:eastAsia="Arial" w:hAnsi="Arial"/>
                <w:b/>
                <w:bCs/>
                <w:i w:val="false"/>
                <w:iCs w:val="false"/>
                <w:caps w:val="false"/>
                <w:color w:val="FFFFFF"/>
                <w:sz w:val="19"/>
                <w:szCs w:val="19"/>
              </w:rPr>
              <w:t xml:space="preserve">Scenario</w:t>
            </w:r>
          </w:p>
        </w:tc>
        <w:tc>
          <w:tcPr>
            <w:tcW w:type="dxa" w:w="348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after="80" w:before="0"/>
              <w:jc w:val="left"/>
            </w:pPr>
            <w:r>
              <w:rPr>
                <w:rFonts w:ascii="Arial" w:cs="Arial" w:eastAsia="Arial" w:hAnsi="Arial"/>
                <w:b/>
                <w:bCs/>
                <w:i w:val="false"/>
                <w:iCs w:val="false"/>
                <w:caps w:val="false"/>
                <w:color w:val="FFFFFF"/>
                <w:sz w:val="19"/>
                <w:szCs w:val="19"/>
              </w:rPr>
              <w:t xml:space="preserve">Mitigation</w:t>
            </w:r>
          </w:p>
        </w:tc>
      </w:tr>
      <w:tr>
        <w:tc>
          <w:tcPr>
            <w:tcW w:type="dxa" w:w="2000"/>
            <w:tcBorders>
              <w:top w:val="single" w:color="CCCCCC" w:sz="1"/>
              <w:left w:val="single" w:color="CCCCCC" w:sz="1"/>
              <w:bottom w:val="single" w:color="CCCCCC" w:sz="1"/>
              <w:right w:val="single" w:color="CCCCCC" w:sz="1"/>
            </w:tcBorders>
            <w:shd w:fill="FAD7D2"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Model Overfitting</w:t>
            </w:r>
          </w:p>
        </w:tc>
        <w:tc>
          <w:tcPr>
            <w:tcW w:type="dxa" w:w="800"/>
            <w:tcBorders>
              <w:top w:val="single" w:color="CCCCCC" w:sz="1"/>
              <w:left w:val="single" w:color="CCCCCC" w:sz="1"/>
              <w:bottom w:val="single" w:color="CCCCCC" w:sz="1"/>
              <w:right w:val="single" w:color="CCCCCC" w:sz="1"/>
            </w:tcBorders>
            <w:shd w:fill="FAD7D2" w:val="clear"/>
            <w:tcMar>
              <w:top w:type="dxa" w:w="90"/>
              <w:left w:type="dxa" w:w="120"/>
              <w:bottom w:type="dxa" w:w="90"/>
              <w:right w:type="dxa" w:w="120"/>
            </w:tcMar>
            <w:vAlign w:val="center"/>
          </w:tcPr>
          <w:p>
            <w:pPr>
              <w:spacing w:after="80" w:before="0"/>
              <w:jc w:val="center"/>
            </w:pPr>
            <w:r>
              <w:rPr>
                <w:rFonts w:ascii="Arial" w:cs="Arial" w:eastAsia="Arial" w:hAnsi="Arial"/>
                <w:b/>
                <w:bCs/>
                <w:i w:val="false"/>
                <w:iCs w:val="false"/>
                <w:caps w:val="false"/>
                <w:color w:val="000000"/>
                <w:sz w:val="19"/>
                <w:szCs w:val="19"/>
              </w:rPr>
              <w:t xml:space="preserve">HIGH</w:t>
            </w:r>
          </w:p>
        </w:tc>
        <w:tc>
          <w:tcPr>
            <w:tcW w:type="dxa" w:w="3080"/>
            <w:tcBorders>
              <w:top w:val="single" w:color="CCCCCC" w:sz="1"/>
              <w:left w:val="single" w:color="CCCCCC" w:sz="1"/>
              <w:bottom w:val="single" w:color="CCCCCC" w:sz="1"/>
              <w:right w:val="single" w:color="CCCCCC" w:sz="1"/>
            </w:tcBorders>
            <w:shd w:fill="FAD7D2"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The durability gate and momentum label rules were derived from the same dataset used to evaluate them. In-sample optimisation may not hold out-of-sample.</w:t>
            </w:r>
          </w:p>
        </w:tc>
        <w:tc>
          <w:tcPr>
            <w:tcW w:type="dxa" w:w="3480"/>
            <w:tcBorders>
              <w:top w:val="single" w:color="CCCCCC" w:sz="1"/>
              <w:left w:val="single" w:color="CCCCCC" w:sz="1"/>
              <w:bottom w:val="single" w:color="CCCCCC" w:sz="1"/>
              <w:right w:val="single" w:color="CCCCCC" w:sz="1"/>
            </w:tcBorders>
            <w:shd w:fill="FAD7D2"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Strict pilot separation: never adjust rules mid-pilot based on live results. Lock parameters on Day 1 of Phase 2.</w:t>
            </w:r>
          </w:p>
        </w:tc>
      </w:tr>
      <w:tr>
        <w:tc>
          <w:tcPr>
            <w:tcW w:type="dxa" w:w="2000"/>
            <w:tcBorders>
              <w:top w:val="single" w:color="CCCCCC" w:sz="1"/>
              <w:left w:val="single" w:color="CCCCCC" w:sz="1"/>
              <w:bottom w:val="single" w:color="CCCCCC" w:sz="1"/>
              <w:right w:val="single" w:color="CCCCCC" w:sz="1"/>
            </w:tcBorders>
            <w:shd w:fill="FEF9E7"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Regime Change</w:t>
            </w:r>
          </w:p>
        </w:tc>
        <w:tc>
          <w:tcPr>
            <w:tcW w:type="dxa" w:w="800"/>
            <w:tcBorders>
              <w:top w:val="single" w:color="CCCCCC" w:sz="1"/>
              <w:left w:val="single" w:color="CCCCCC" w:sz="1"/>
              <w:bottom w:val="single" w:color="CCCCCC" w:sz="1"/>
              <w:right w:val="single" w:color="CCCCCC" w:sz="1"/>
            </w:tcBorders>
            <w:shd w:fill="FEF9E7" w:val="clear"/>
            <w:tcMar>
              <w:top w:type="dxa" w:w="90"/>
              <w:left w:type="dxa" w:w="120"/>
              <w:bottom w:type="dxa" w:w="90"/>
              <w:right w:type="dxa" w:w="120"/>
            </w:tcMar>
            <w:vAlign w:val="center"/>
          </w:tcPr>
          <w:p>
            <w:pPr>
              <w:spacing w:after="80" w:before="0"/>
              <w:jc w:val="center"/>
            </w:pPr>
            <w:r>
              <w:rPr>
                <w:rFonts w:ascii="Arial" w:cs="Arial" w:eastAsia="Arial" w:hAnsi="Arial"/>
                <w:b/>
                <w:bCs/>
                <w:i w:val="false"/>
                <w:iCs w:val="false"/>
                <w:caps w:val="false"/>
                <w:color w:val="000000"/>
                <w:sz w:val="19"/>
                <w:szCs w:val="19"/>
              </w:rPr>
              <w:t xml:space="preserve">HIGH</w:t>
            </w:r>
          </w:p>
        </w:tc>
        <w:tc>
          <w:tcPr>
            <w:tcW w:type="dxa" w:w="3080"/>
            <w:tcBorders>
              <w:top w:val="single" w:color="CCCCCC" w:sz="1"/>
              <w:left w:val="single" w:color="CCCCCC" w:sz="1"/>
              <w:bottom w:val="single" w:color="CCCCCC" w:sz="1"/>
              <w:right w:val="single" w:color="CCCCCC" w:sz="1"/>
            </w:tcBorders>
            <w:shd w:fill="FEF9E7"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All 919 episodes occurred in a market that reached all-time highs. A bear regime (KSE-100 −20% or more) will invalidate most return assumptions.</w:t>
            </w:r>
          </w:p>
        </w:tc>
        <w:tc>
          <w:tcPr>
            <w:tcW w:type="dxa" w:w="3480"/>
            <w:tcBorders>
              <w:top w:val="single" w:color="CCCCCC" w:sz="1"/>
              <w:left w:val="single" w:color="CCCCCC" w:sz="1"/>
              <w:bottom w:val="single" w:color="CCCCCC" w:sz="1"/>
              <w:right w:val="single" w:color="CCCCCC" w:sz="1"/>
            </w:tcBorders>
            <w:shd w:fill="FEF9E7"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Maintain KSE-100 regime gate: suspend all new entries if index is below its 200-day EMA. Rule applies to both logics.</w:t>
            </w:r>
          </w:p>
        </w:tc>
      </w:tr>
      <w:tr>
        <w:tc>
          <w:tcPr>
            <w:tcW w:type="dxa" w:w="200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Capital Concentration</w:t>
            </w:r>
          </w:p>
        </w:tc>
        <w:tc>
          <w:tcPr>
            <w:tcW w:type="dxa" w:w="80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MED</w:t>
            </w:r>
          </w:p>
        </w:tc>
        <w:tc>
          <w:tcPr>
            <w:tcW w:type="dxa" w:w="308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Banking sector has 19 stocks. If all 19 are in Stage 2 simultaneously, pilot book could have concentrated bank exposure.</w:t>
            </w:r>
          </w:p>
        </w:tc>
        <w:tc>
          <w:tcPr>
            <w:tcW w:type="dxa" w:w="348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Hard cap: no more than 5 simultaneous pilot positions in Consumer Banking. Maximum 10% of total portfolio in single sector.</w:t>
            </w:r>
          </w:p>
        </w:tc>
      </w:tr>
      <w:tr>
        <w:tc>
          <w:tcPr>
            <w:tcW w:type="dxa" w:w="200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Execution Lag</w:t>
            </w:r>
          </w:p>
        </w:tc>
        <w:tc>
          <w:tcPr>
            <w:tcW w:type="dxa" w:w="80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MED</w:t>
            </w:r>
          </w:p>
        </w:tc>
        <w:tc>
          <w:tcPr>
            <w:tcW w:type="dxa" w:w="308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The durability gate requires 10 trading days of Stage 2 confirmation. By the time the gate fires, the easy move may be captured.</w:t>
            </w:r>
          </w:p>
        </w:tc>
        <w:tc>
          <w:tcPr>
            <w:tcW w:type="dxa" w:w="348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Accept: the gate trades some upside for durability. The data shows average forward returns remain positive even after 10-day delay.</w:t>
            </w:r>
          </w:p>
        </w:tc>
      </w:tr>
      <w:tr>
        <w:tc>
          <w:tcPr>
            <w:tcW w:type="dxa" w:w="2000"/>
            <w:tcBorders>
              <w:top w:val="single" w:color="CCCCCC" w:sz="1"/>
              <w:left w:val="single" w:color="CCCCCC" w:sz="1"/>
              <w:bottom w:val="single" w:color="CCCCCC" w:sz="1"/>
              <w:right w:val="single" w:color="CCCCCC" w:sz="1"/>
            </w:tcBorders>
            <w:shd w:fill="FAD7D2"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Survivorship Bias</w:t>
            </w:r>
          </w:p>
        </w:tc>
        <w:tc>
          <w:tcPr>
            <w:tcW w:type="dxa" w:w="800"/>
            <w:tcBorders>
              <w:top w:val="single" w:color="CCCCCC" w:sz="1"/>
              <w:left w:val="single" w:color="CCCCCC" w:sz="1"/>
              <w:bottom w:val="single" w:color="CCCCCC" w:sz="1"/>
              <w:right w:val="single" w:color="CCCCCC" w:sz="1"/>
            </w:tcBorders>
            <w:shd w:fill="FAD7D2" w:val="clear"/>
            <w:tcMar>
              <w:top w:type="dxa" w:w="90"/>
              <w:left w:type="dxa" w:w="120"/>
              <w:bottom w:type="dxa" w:w="90"/>
              <w:right w:type="dxa" w:w="120"/>
            </w:tcMar>
            <w:vAlign w:val="center"/>
          </w:tcPr>
          <w:p>
            <w:pPr>
              <w:spacing w:after="80" w:before="0"/>
              <w:jc w:val="center"/>
            </w:pPr>
            <w:r>
              <w:rPr>
                <w:rFonts w:ascii="Arial" w:cs="Arial" w:eastAsia="Arial" w:hAnsi="Arial"/>
                <w:b/>
                <w:bCs/>
                <w:i w:val="false"/>
                <w:iCs w:val="false"/>
                <w:caps w:val="false"/>
                <w:color w:val="000000"/>
                <w:sz w:val="19"/>
                <w:szCs w:val="19"/>
              </w:rPr>
              <w:t xml:space="preserve">MED</w:t>
            </w:r>
          </w:p>
        </w:tc>
        <w:tc>
          <w:tcPr>
            <w:tcW w:type="dxa" w:w="3080"/>
            <w:tcBorders>
              <w:top w:val="single" w:color="CCCCCC" w:sz="1"/>
              <w:left w:val="single" w:color="CCCCCC" w:sz="1"/>
              <w:bottom w:val="single" w:color="CCCCCC" w:sz="1"/>
              <w:right w:val="single" w:color="CCCCCC" w:sz="1"/>
            </w:tcBorders>
            <w:shd w:fill="FAD7D2"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PSMC was delisted during the analysis period. SILK halted trading. These failures are under-represented in forward return calculations.</w:t>
            </w:r>
          </w:p>
        </w:tc>
        <w:tc>
          <w:tcPr>
            <w:tcW w:type="dxa" w:w="3480"/>
            <w:tcBorders>
              <w:top w:val="single" w:color="CCCCCC" w:sz="1"/>
              <w:left w:val="single" w:color="CCCCCC" w:sz="1"/>
              <w:bottom w:val="single" w:color="CCCCCC" w:sz="1"/>
              <w:right w:val="single" w:color="CCCCCC" w:sz="1"/>
            </w:tcBorders>
            <w:shd w:fill="FAD7D2"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Add fundamental filter: only enter Stage 2 if stock has traded continuously for ≥ 250 days with no suspension history in last 12 months.</w:t>
            </w:r>
          </w:p>
        </w:tc>
      </w:tr>
      <w:tr>
        <w:tc>
          <w:tcPr>
            <w:tcW w:type="dxa" w:w="200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Max Drawdown Scenario</w:t>
            </w:r>
          </w:p>
        </w:tc>
        <w:tc>
          <w:tcPr>
            <w:tcW w:type="dxa" w:w="80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LOW</w:t>
            </w:r>
          </w:p>
        </w:tc>
        <w:tc>
          <w:tcPr>
            <w:tcW w:type="dxa" w:w="308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Average intra-episode drawdown is −3.1% to −4.6%. Worst-case single-episode drawdown observed: −18.4% (outlier). At 2% position sizing, that is 37 bps at portfolio level.</w:t>
            </w:r>
          </w:p>
        </w:tc>
        <w:tc>
          <w:tcPr>
            <w:tcW w:type="dxa" w:w="348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Maintain stock-level stop-loss at −6% below Stage 2 entry close (consistent with existing risk protocol). Pilot book aggregate drawdown limit: −3% triggers immediate review.</w:t>
            </w:r>
          </w:p>
        </w:tc>
      </w:tr>
    </w:tbl>
    <w:p>
      <w:pPr>
        <w:pageBreakBefore/>
        <w:pBdr>
          <w:bottom w:val="single" w:color="2E6DA4" w:sz="6" w:space="4"/>
        </w:pBdr>
        <w:spacing w:after="160" w:before="240"/>
        <w:jc w:val="left"/>
      </w:pPr>
      <w:r>
        <w:rPr>
          <w:rFonts w:ascii="Arial" w:cs="Arial" w:eastAsia="Arial" w:hAnsi="Arial"/>
          <w:b/>
          <w:bCs/>
          <w:i w:val="false"/>
          <w:iCs w:val="false"/>
          <w:caps/>
          <w:color w:val="1B3A5C"/>
          <w:sz w:val="30"/>
          <w:szCs w:val="30"/>
        </w:rPr>
        <w:t xml:space="preserve">Success Metrics &amp; Review Criteria</w:t>
      </w:r>
    </w:p>
    <w:p>
      <w:pPr>
        <w:spacing w:after="80" w:before="0"/>
        <w:jc w:val="left"/>
      </w:pPr>
      <w:r>
        <w:rPr>
          <w:rFonts w:ascii="Arial" w:cs="Arial" w:eastAsia="Arial" w:hAnsi="Arial"/>
          <w:b w:val="false"/>
          <w:bCs w:val="false"/>
          <w:i w:val="false"/>
          <w:iCs w:val="false"/>
          <w:caps w:val="false"/>
          <w:color w:val="000000"/>
          <w:sz w:val="20"/>
          <w:szCs w:val="20"/>
        </w:rPr>
        <w:t xml:space="preserve">These metrics will be evaluated at the mandatory review on 30 November 2026. A pass/fail verdict is required for each. The overall outcome is determined by majority of Tier 1 metrics.</w:t>
      </w:r>
    </w:p>
    <w:p>
      <w:pPr>
        <w:spacing w:after="100" w:before="200"/>
        <w:jc w:val="left"/>
      </w:pPr>
      <w:r>
        <w:rPr>
          <w:rFonts w:ascii="Arial" w:cs="Arial" w:eastAsia="Arial" w:hAnsi="Arial"/>
          <w:b/>
          <w:bCs/>
          <w:i w:val="false"/>
          <w:iCs w:val="false"/>
          <w:caps w:val="false"/>
          <w:color w:val="1B3A5C"/>
          <w:sz w:val="24"/>
          <w:szCs w:val="24"/>
        </w:rPr>
        <w:t xml:space="preserve">Tier 1 — Primary Performance Metrics (Must Pass ≥ 2 of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after="80" w:before="0"/>
              <w:jc w:val="left"/>
            </w:pPr>
            <w:r>
              <w:rPr>
                <w:rFonts w:ascii="Arial" w:cs="Arial" w:eastAsia="Arial" w:hAnsi="Arial"/>
                <w:b/>
                <w:bCs/>
                <w:i w:val="false"/>
                <w:iCs w:val="false"/>
                <w:caps w:val="false"/>
                <w:color w:val="FFFFFF"/>
                <w:sz w:val="19"/>
                <w:szCs w:val="19"/>
              </w:rPr>
              <w:t xml:space="preserve">Metric</w:t>
            </w:r>
          </w:p>
        </w:tc>
        <w:tc>
          <w:tcPr>
            <w:tcW w:type="dxa" w:w="208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after="80" w:before="0"/>
              <w:jc w:val="left"/>
            </w:pPr>
            <w:r>
              <w:rPr>
                <w:rFonts w:ascii="Arial" w:cs="Arial" w:eastAsia="Arial" w:hAnsi="Arial"/>
                <w:b/>
                <w:bCs/>
                <w:i w:val="false"/>
                <w:iCs w:val="false"/>
                <w:caps w:val="false"/>
                <w:color w:val="FFFFFF"/>
                <w:sz w:val="19"/>
                <w:szCs w:val="19"/>
              </w:rPr>
              <w:t xml:space="preserve">Baseline (Current Logic)</w:t>
            </w:r>
          </w:p>
        </w:tc>
        <w:tc>
          <w:tcPr>
            <w:tcW w:type="dxa" w:w="208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after="80" w:before="0"/>
              <w:jc w:val="left"/>
            </w:pPr>
            <w:r>
              <w:rPr>
                <w:rFonts w:ascii="Arial" w:cs="Arial" w:eastAsia="Arial" w:hAnsi="Arial"/>
                <w:b/>
                <w:bCs/>
                <w:i w:val="false"/>
                <w:iCs w:val="false"/>
                <w:caps w:val="false"/>
                <w:color w:val="FFFFFF"/>
                <w:sz w:val="19"/>
                <w:szCs w:val="19"/>
              </w:rPr>
              <w:t xml:space="preserve">Target (Pilot Logic)</w:t>
            </w:r>
          </w:p>
        </w:tc>
        <w:tc>
          <w:tcPr>
            <w:tcW w:type="dxa" w:w="20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after="80" w:before="0"/>
              <w:jc w:val="left"/>
            </w:pPr>
            <w:r>
              <w:rPr>
                <w:rFonts w:ascii="Arial" w:cs="Arial" w:eastAsia="Arial" w:hAnsi="Arial"/>
                <w:b/>
                <w:bCs/>
                <w:i w:val="false"/>
                <w:iCs w:val="false"/>
                <w:caps w:val="false"/>
                <w:color w:val="FFFFFF"/>
                <w:sz w:val="19"/>
                <w:szCs w:val="19"/>
              </w:rPr>
              <w:t xml:space="preserve">Measurement Method</w:t>
            </w:r>
          </w:p>
        </w:tc>
      </w:tr>
      <w:tr>
        <w:tc>
          <w:tcPr>
            <w:tcW w:type="dxa" w:w="320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Win Rate at 20 Days</w:t>
            </w:r>
          </w:p>
        </w:tc>
        <w:tc>
          <w:tcPr>
            <w:tcW w:type="dxa" w:w="208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Establish in Phase 1</w:t>
            </w:r>
          </w:p>
        </w:tc>
        <w:tc>
          <w:tcPr>
            <w:tcW w:type="dxa" w:w="208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 55% of closed trades</w:t>
            </w:r>
          </w:p>
        </w:tc>
        <w:tc>
          <w:tcPr>
            <w:tcW w:type="dxa" w:w="200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Close price 20 trading days post-entry vs entry price</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Average Alpha vs KSE-100 at 20 Days</w:t>
            </w:r>
          </w:p>
        </w:tc>
        <w:tc>
          <w:tcPr>
            <w:tcW w:type="dxa" w:w="2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Establish in Phase 1</w:t>
            </w:r>
          </w:p>
        </w:tc>
        <w:tc>
          <w:tcPr>
            <w:tcW w:type="dxa" w:w="2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 +1.5% alpha</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Stock fwd20 minus KSE-100 fwd20 from same entry date</w:t>
            </w:r>
          </w:p>
        </w:tc>
      </w:tr>
      <w:tr>
        <w:tc>
          <w:tcPr>
            <w:tcW w:type="dxa" w:w="320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False Positive Rate (Episodes ≤ 5 Days)</w:t>
            </w:r>
          </w:p>
        </w:tc>
        <w:tc>
          <w:tcPr>
            <w:tcW w:type="dxa" w:w="208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43–63% (historical)</w:t>
            </w:r>
          </w:p>
        </w:tc>
        <w:tc>
          <w:tcPr>
            <w:tcW w:type="dxa" w:w="208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 25% (durability gate effect)</w:t>
            </w:r>
          </w:p>
        </w:tc>
        <w:tc>
          <w:tcPr>
            <w:tcW w:type="dxa" w:w="200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Count of live pilot entries that close Stage 2 within 5 days of execution</w:t>
            </w:r>
          </w:p>
        </w:tc>
      </w:tr>
    </w:tbl>
    <w:p>
      <w:pPr>
        <w:spacing w:after="80" w:before="0"/>
        <w:jc w:val="left"/>
      </w:pPr>
      <w:r>
        <w:rPr>
          <w:rFonts w:ascii="Arial" w:cs="Arial" w:eastAsia="Arial" w:hAnsi="Arial"/>
          <w:b w:val="false"/>
          <w:bCs w:val="false"/>
          <w:i w:val="false"/>
          <w:iCs w:val="false"/>
          <w:caps w:val="false"/>
          <w:color w:val="000000"/>
          <w:sz w:val="20"/>
          <w:szCs w:val="20"/>
        </w:rPr>
        <w:t xml:space="preserve"> </w:t>
      </w:r>
    </w:p>
    <w:p>
      <w:pPr>
        <w:spacing w:after="100" w:before="200"/>
        <w:jc w:val="left"/>
      </w:pPr>
      <w:r>
        <w:rPr>
          <w:rFonts w:ascii="Arial" w:cs="Arial" w:eastAsia="Arial" w:hAnsi="Arial"/>
          <w:b/>
          <w:bCs/>
          <w:i w:val="false"/>
          <w:iCs w:val="false"/>
          <w:caps w:val="false"/>
          <w:color w:val="1B3A5C"/>
          <w:sz w:val="24"/>
          <w:szCs w:val="24"/>
        </w:rPr>
        <w:t xml:space="preserve">Tier 2 — Risk &amp; Consistency Metrics (Monitor, Not Pass/Fail)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after="80" w:before="0"/>
              <w:jc w:val="left"/>
            </w:pPr>
            <w:r>
              <w:rPr>
                <w:rFonts w:ascii="Arial" w:cs="Arial" w:eastAsia="Arial" w:hAnsi="Arial"/>
                <w:b/>
                <w:bCs/>
                <w:i w:val="false"/>
                <w:iCs w:val="false"/>
                <w:caps w:val="false"/>
                <w:color w:val="FFFFFF"/>
                <w:sz w:val="19"/>
                <w:szCs w:val="19"/>
              </w:rPr>
              <w:t xml:space="preserve">Metric</w:t>
            </w:r>
          </w:p>
        </w:tc>
        <w:tc>
          <w:tcPr>
            <w:tcW w:type="dxa" w:w="308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after="80" w:before="0"/>
              <w:jc w:val="left"/>
            </w:pPr>
            <w:r>
              <w:rPr>
                <w:rFonts w:ascii="Arial" w:cs="Arial" w:eastAsia="Arial" w:hAnsi="Arial"/>
                <w:b/>
                <w:bCs/>
                <w:i w:val="false"/>
                <w:iCs w:val="false"/>
                <w:caps w:val="false"/>
                <w:color w:val="FFFFFF"/>
                <w:sz w:val="19"/>
                <w:szCs w:val="19"/>
              </w:rPr>
              <w:t xml:space="preserve">Acceptable Range</w:t>
            </w:r>
          </w:p>
        </w:tc>
        <w:tc>
          <w:tcPr>
            <w:tcW w:type="dxa" w:w="308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after="80" w:before="0"/>
              <w:jc w:val="left"/>
            </w:pPr>
            <w:r>
              <w:rPr>
                <w:rFonts w:ascii="Arial" w:cs="Arial" w:eastAsia="Arial" w:hAnsi="Arial"/>
                <w:b/>
                <w:bCs/>
                <w:i w:val="false"/>
                <w:iCs w:val="false"/>
                <w:caps w:val="false"/>
                <w:color w:val="FFFFFF"/>
                <w:sz w:val="19"/>
                <w:szCs w:val="19"/>
              </w:rPr>
              <w:t xml:space="preserve">Red Flag Threshold</w:t>
            </w:r>
          </w:p>
        </w:tc>
      </w:tr>
      <w:tr>
        <w:tc>
          <w:tcPr>
            <w:tcW w:type="dxa" w:w="320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Average Max Adverse Drawdown per trade</w:t>
            </w:r>
          </w:p>
        </w:tc>
        <w:tc>
          <w:tcPr>
            <w:tcW w:type="dxa" w:w="308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−2% to −5%</w:t>
            </w:r>
          </w:p>
        </w:tc>
        <w:tc>
          <w:tcPr>
            <w:tcW w:type="dxa" w:w="308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Any single trade &gt; −10%</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Pilot book aggregate return vs main book</w:t>
            </w:r>
          </w:p>
        </w:tc>
        <w:tc>
          <w:tcPr>
            <w:tcW w:type="dxa" w:w="3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Within ±3% over 90 days</w:t>
            </w:r>
          </w:p>
        </w:tc>
        <w:tc>
          <w:tcPr>
            <w:tcW w:type="dxa" w:w="3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Pilot underperforms main book by &gt; 5%</w:t>
            </w:r>
          </w:p>
        </w:tc>
      </w:tr>
      <w:tr>
        <w:tc>
          <w:tcPr>
            <w:tcW w:type="dxa" w:w="320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Average episode duration (days)</w:t>
            </w:r>
          </w:p>
        </w:tc>
        <w:tc>
          <w:tcPr>
            <w:tcW w:type="dxa" w:w="308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 15 days</w:t>
            </w:r>
          </w:p>
        </w:tc>
        <w:tc>
          <w:tcPr>
            <w:tcW w:type="dxa" w:w="308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&lt; 8 days (durability gate not working)</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Number of Falling / Recovering label entries triggered</w:t>
            </w:r>
          </w:p>
        </w:tc>
        <w:tc>
          <w:tcPr>
            <w:tcW w:type="dxa" w:w="3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0 (these are excluded)</w:t>
            </w:r>
          </w:p>
        </w:tc>
        <w:tc>
          <w:tcPr>
            <w:tcW w:type="dxa" w:w="3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spacing w:after="80" w:before="0"/>
              <w:jc w:val="center"/>
            </w:pPr>
            <w:r>
              <w:rPr>
                <w:rFonts w:ascii="Arial" w:cs="Arial" w:eastAsia="Arial" w:hAnsi="Arial"/>
                <w:b w:val="false"/>
                <w:bCs w:val="false"/>
                <w:i w:val="false"/>
                <w:iCs w:val="false"/>
                <w:caps w:val="false"/>
                <w:color w:val="000000"/>
                <w:sz w:val="19"/>
                <w:szCs w:val="19"/>
              </w:rPr>
              <w:t xml:space="preserve">Any &gt; 0 indicates logic breach</w:t>
            </w:r>
          </w:p>
        </w:tc>
      </w:tr>
    </w:tbl>
    <w:p>
      <w:pPr>
        <w:spacing w:after="80" w:before="0"/>
        <w:jc w:val="left"/>
      </w:pPr>
      <w:r>
        <w:rPr>
          <w:rFonts w:ascii="Arial" w:cs="Arial" w:eastAsia="Arial" w:hAnsi="Arial"/>
          <w:b w:val="false"/>
          <w:bCs w:val="false"/>
          <w:i w:val="false"/>
          <w:iCs w:val="false"/>
          <w:caps w:val="false"/>
          <w:color w:val="000000"/>
          <w:sz w:val="20"/>
          <w:szCs w:val="20"/>
        </w:rPr>
        <w:t xml:space="preserve"> </w:t>
      </w:r>
    </w:p>
    <w:p>
      <w:pPr>
        <w:spacing w:after="100" w:before="200"/>
        <w:jc w:val="left"/>
      </w:pPr>
      <w:r>
        <w:rPr>
          <w:rFonts w:ascii="Arial" w:cs="Arial" w:eastAsia="Arial" w:hAnsi="Arial"/>
          <w:b/>
          <w:bCs/>
          <w:i w:val="false"/>
          <w:iCs w:val="false"/>
          <w:caps w:val="false"/>
          <w:color w:val="1B3A5C"/>
          <w:sz w:val="24"/>
          <w:szCs w:val="24"/>
        </w:rPr>
        <w:t xml:space="preserve">Review Protocol — 30 November 2026</w:t>
      </w:r>
    </w:p>
    <w:p>
      <w:pPr>
        <w:pStyle w:val="ListParagraph"/>
        <w:numPr>
          <w:ilvl w:val="0"/>
          <w:numId w:val="2"/>
        </w:numPr>
        <w:spacing w:after="40" w:before="40"/>
      </w:pPr>
      <w:r>
        <w:rPr>
          <w:rFonts w:ascii="Arial" w:cs="Arial" w:eastAsia="Arial" w:hAnsi="Arial"/>
          <w:b w:val="false"/>
          <w:bCs w:val="false"/>
          <w:i w:val="false"/>
          <w:iCs w:val="false"/>
          <w:caps w:val="false"/>
          <w:color w:val="000000"/>
          <w:sz w:val="20"/>
          <w:szCs w:val="20"/>
        </w:rPr>
        <w:t xml:space="preserve">Compile all pilot trades executed between August and October 2026.</w:t>
      </w:r>
    </w:p>
    <w:p>
      <w:pPr>
        <w:pStyle w:val="ListParagraph"/>
        <w:numPr>
          <w:ilvl w:val="0"/>
          <w:numId w:val="2"/>
        </w:numPr>
        <w:spacing w:after="40" w:before="40"/>
      </w:pPr>
      <w:r>
        <w:rPr>
          <w:rFonts w:ascii="Arial" w:cs="Arial" w:eastAsia="Arial" w:hAnsi="Arial"/>
          <w:b w:val="false"/>
          <w:bCs w:val="false"/>
          <w:i w:val="false"/>
          <w:iCs w:val="false"/>
          <w:caps w:val="false"/>
          <w:color w:val="000000"/>
          <w:sz w:val="20"/>
          <w:szCs w:val="20"/>
        </w:rPr>
        <w:t xml:space="preserve">Calculate actual win rate, alpha, and false positive rate against targets above.</w:t>
      </w:r>
    </w:p>
    <w:p>
      <w:pPr>
        <w:pStyle w:val="ListParagraph"/>
        <w:numPr>
          <w:ilvl w:val="0"/>
          <w:numId w:val="2"/>
        </w:numPr>
        <w:spacing w:after="40" w:before="40"/>
      </w:pPr>
      <w:r>
        <w:rPr>
          <w:rFonts w:ascii="Arial" w:cs="Arial" w:eastAsia="Arial" w:hAnsi="Arial"/>
          <w:b w:val="false"/>
          <w:bCs w:val="false"/>
          <w:i w:val="false"/>
          <w:iCs w:val="false"/>
          <w:caps w:val="false"/>
          <w:color w:val="000000"/>
          <w:sz w:val="20"/>
          <w:szCs w:val="20"/>
        </w:rPr>
        <w:t xml:space="preserve">Compare pilot book P&amp;L against main book P&amp;L for the same period.</w:t>
      </w:r>
    </w:p>
    <w:p>
      <w:pPr>
        <w:pStyle w:val="ListParagraph"/>
        <w:numPr>
          <w:ilvl w:val="0"/>
          <w:numId w:val="2"/>
        </w:numPr>
        <w:spacing w:after="40" w:before="40"/>
      </w:pPr>
      <w:r>
        <w:rPr>
          <w:rFonts w:ascii="Arial" w:cs="Arial" w:eastAsia="Arial" w:hAnsi="Arial"/>
          <w:b w:val="false"/>
          <w:bCs w:val="false"/>
          <w:i w:val="false"/>
          <w:iCs w:val="false"/>
          <w:caps w:val="false"/>
          <w:color w:val="000000"/>
          <w:sz w:val="20"/>
          <w:szCs w:val="20"/>
        </w:rPr>
        <w:t xml:space="preserve">Document: which momentum labels appeared most frequently. Did Cooling Down dominate? Did Rolling Over produce the predicted higher returns?</w:t>
      </w:r>
    </w:p>
    <w:p>
      <w:pPr>
        <w:pStyle w:val="ListParagraph"/>
        <w:numPr>
          <w:ilvl w:val="0"/>
          <w:numId w:val="2"/>
        </w:numPr>
        <w:spacing w:after="40" w:before="40"/>
      </w:pPr>
      <w:r>
        <w:rPr>
          <w:rFonts w:ascii="Arial" w:cs="Arial" w:eastAsia="Arial" w:hAnsi="Arial"/>
          <w:b w:val="false"/>
          <w:bCs w:val="false"/>
          <w:i w:val="false"/>
          <w:iCs w:val="false"/>
          <w:caps w:val="false"/>
          <w:color w:val="000000"/>
          <w:sz w:val="20"/>
          <w:szCs w:val="20"/>
        </w:rPr>
        <w:t xml:space="preserve">Decision: if Tier 1 passes ≥ 2 of 3, expand pilot to 50% capital and formally update screener. If Tier 1 fails, revert and hold for 6 months before next iteration.</w:t>
      </w:r>
    </w:p>
    <w:p>
      <w:pPr>
        <w:pStyle w:val="ListParagraph"/>
        <w:numPr>
          <w:ilvl w:val="0"/>
          <w:numId w:val="2"/>
        </w:numPr>
        <w:spacing w:after="40" w:before="40"/>
      </w:pPr>
      <w:r>
        <w:rPr>
          <w:rFonts w:ascii="Arial" w:cs="Arial" w:eastAsia="Arial" w:hAnsi="Arial"/>
          <w:b w:val="false"/>
          <w:bCs w:val="false"/>
          <w:i w:val="false"/>
          <w:iCs w:val="false"/>
          <w:caps w:val="false"/>
          <w:color w:val="000000"/>
          <w:sz w:val="20"/>
          <w:szCs w:val="20"/>
        </w:rPr>
        <w:t xml:space="preserve">This document is Exhibit A at the November review. All recommendations herein stand as stated unless amended by a formal written decision before October 2026.</w:t>
      </w:r>
    </w:p>
    <w:p>
      <w:pPr>
        <w:pageBreakBefore/>
        <w:pBdr>
          <w:bottom w:val="single" w:color="2E6DA4" w:sz="6" w:space="4"/>
        </w:pBdr>
        <w:spacing w:after="160" w:before="240"/>
        <w:jc w:val="left"/>
      </w:pPr>
      <w:r>
        <w:rPr>
          <w:rFonts w:ascii="Arial" w:cs="Arial" w:eastAsia="Arial" w:hAnsi="Arial"/>
          <w:b/>
          <w:bCs/>
          <w:i w:val="false"/>
          <w:iCs w:val="false"/>
          <w:caps/>
          <w:color w:val="1B3A5C"/>
          <w:sz w:val="30"/>
          <w:szCs w:val="30"/>
        </w:rPr>
        <w:t xml:space="preserve">Appendix: Data Summary &amp; Critical Analysis Notes</w:t>
      </w:r>
    </w:p>
    <w:p>
      <w:pPr>
        <w:spacing w:after="100" w:before="200"/>
        <w:jc w:val="left"/>
      </w:pPr>
      <w:r>
        <w:rPr>
          <w:rFonts w:ascii="Arial" w:cs="Arial" w:eastAsia="Arial" w:hAnsi="Arial"/>
          <w:b/>
          <w:bCs/>
          <w:i w:val="false"/>
          <w:iCs w:val="false"/>
          <w:caps w:val="false"/>
          <w:color w:val="1B3A5C"/>
          <w:sz w:val="24"/>
          <w:szCs w:val="24"/>
        </w:rPr>
        <w:t xml:space="preserve">A.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after="80" w:before="0"/>
              <w:jc w:val="left"/>
            </w:pPr>
            <w:r>
              <w:rPr>
                <w:rFonts w:ascii="Arial" w:cs="Arial" w:eastAsia="Arial" w:hAnsi="Arial"/>
                <w:b/>
                <w:bCs/>
                <w:i w:val="false"/>
                <w:iCs w:val="false"/>
                <w:caps w:val="false"/>
                <w:color w:val="FFFFFF"/>
                <w:sz w:val="19"/>
                <w:szCs w:val="19"/>
              </w:rPr>
              <w:t xml:space="preserve">Parameter</w:t>
            </w:r>
          </w:p>
        </w:tc>
        <w:tc>
          <w:tcPr>
            <w:tcW w:type="dxa" w:w="636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after="80" w:before="0"/>
              <w:jc w:val="left"/>
            </w:pPr>
            <w:r>
              <w:rPr>
                <w:rFonts w:ascii="Arial" w:cs="Arial" w:eastAsia="Arial" w:hAnsi="Arial"/>
                <w:b/>
                <w:bCs/>
                <w:i w:val="false"/>
                <w:iCs w:val="false"/>
                <w:caps w:val="false"/>
                <w:color w:val="FFFFFF"/>
                <w:sz w:val="19"/>
                <w:szCs w:val="19"/>
              </w:rPr>
              <w:t xml:space="preserve">Value</w:t>
            </w:r>
          </w:p>
        </w:tc>
      </w:tr>
      <w:tr>
        <w:tc>
          <w:tcPr>
            <w:tcW w:type="dxa" w:w="300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Stocks Analysed</w:t>
            </w:r>
          </w:p>
        </w:tc>
        <w:tc>
          <w:tcPr>
            <w:tcW w:type="dxa" w:w="636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19 Commercial Banks (PSX). PSMC excluded from sector completion analysis (delisted Apr 2024). SILK data ends Mar 2025.</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Data Range</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1 January 2020 – 29 May 2026 (1,587 trading days per active stock)</w:t>
            </w:r>
          </w:p>
        </w:tc>
      </w:tr>
      <w:tr>
        <w:tc>
          <w:tcPr>
            <w:tcW w:type="dxa" w:w="300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Total Stage 2 Episodes</w:t>
            </w:r>
          </w:p>
        </w:tc>
        <w:tc>
          <w:tcPr>
            <w:tcW w:type="dxa" w:w="636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919 total. 912 closed. 423 solid (&gt;5 days). 7 ongoing at analysis date.</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Stage 2 Definition</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Price &gt; EMA20 &gt; EMA50 &gt; EMA200 on close. First 200 bars excluded per stock (EMA warm-up). Consecutive run tracked as single episode.</w:t>
            </w:r>
          </w:p>
        </w:tc>
      </w:tr>
      <w:tr>
        <w:tc>
          <w:tcPr>
            <w:tcW w:type="dxa" w:w="300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Momentum Label Method</w:t>
            </w:r>
          </w:p>
        </w:tc>
        <w:tc>
          <w:tcPr>
            <w:tcW w:type="dxa" w:w="636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Stock: positional 30-bar and 10-bar close return, same 6-label classification as processor.py. Sector: median stock return across all sector members.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Sector Rank Method</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Vectorised 30-bar median performance across all non-excluded PSX sectors. Computed for each unique Stage 2 entry date.</w:t>
            </w:r>
          </w:p>
        </w:tc>
      </w:tr>
      <w:tr>
        <w:tc>
          <w:tcPr>
            <w:tcW w:type="dxa" w:w="300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Forward Return</w:t>
            </w:r>
          </w:p>
        </w:tc>
        <w:tc>
          <w:tcPr>
            <w:tcW w:type="dxa" w:w="636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Positional 20-bar and 60-bar from entry index. Alpha = stock forward return minus KSE-100 forward return from same date.</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2023 Reference Dates</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User-supplied estimates: UBL 26/06/23, MEBL 11/07/23, MCB 12/07/23, HBL 25/07/23, AKBL 12/11/23, NBP 21/11/23, BOP 23/11/23. Actual Stage 2 entries within 4–20 days of each estimate.</w:t>
            </w:r>
          </w:p>
        </w:tc>
      </w:tr>
    </w:tbl>
    <w:p>
      <w:pPr>
        <w:spacing w:after="80" w:before="0"/>
        <w:jc w:val="left"/>
      </w:pPr>
      <w:r>
        <w:rPr>
          <w:rFonts w:ascii="Arial" w:cs="Arial" w:eastAsia="Arial" w:hAnsi="Arial"/>
          <w:b w:val="false"/>
          <w:bCs w:val="false"/>
          <w:i w:val="false"/>
          <w:iCs w:val="false"/>
          <w:caps w:val="false"/>
          <w:color w:val="000000"/>
          <w:sz w:val="20"/>
          <w:szCs w:val="20"/>
        </w:rPr>
        <w:t xml:space="preserve"> </w:t>
      </w:r>
    </w:p>
    <w:p>
      <w:pPr>
        <w:spacing w:after="100" w:before="200"/>
        <w:jc w:val="left"/>
      </w:pPr>
      <w:r>
        <w:rPr>
          <w:rFonts w:ascii="Arial" w:cs="Arial" w:eastAsia="Arial" w:hAnsi="Arial"/>
          <w:b/>
          <w:bCs/>
          <w:i w:val="false"/>
          <w:iCs w:val="false"/>
          <w:caps w:val="false"/>
          <w:color w:val="1B3A5C"/>
          <w:sz w:val="24"/>
          <w:szCs w:val="24"/>
        </w:rPr>
        <w:t xml:space="preserve">B. Critical Analysis Notes</w:t>
      </w:r>
    </w:p>
    <w:p>
      <w:pPr>
        <w:pStyle w:val="ListParagraph"/>
        <w:numPr>
          <w:ilvl w:val="0"/>
          <w:numId w:val="2"/>
        </w:numPr>
        <w:spacing w:after="40" w:before="40"/>
      </w:pPr>
      <w:r>
        <w:rPr>
          <w:rFonts w:ascii="Arial" w:cs="Arial" w:eastAsia="Arial" w:hAnsi="Arial"/>
          <w:b w:val="false"/>
          <w:bCs w:val="false"/>
          <w:i w:val="false"/>
          <w:iCs w:val="false"/>
          <w:caps w:val="false"/>
          <w:color w:val="000000"/>
          <w:sz w:val="20"/>
          <w:szCs w:val="20"/>
        </w:rPr>
        <w:t xml:space="preserve">The win rate binary metrics (Win20, Win60) produced a display anomaly in the stress test output due to pandas handling of mixed boolean/None object-dtype columns. All continuous metrics (AvgF20, AvgAlpha, AvgMAD) were computed from float columns and are reliable. Conclusions drawn in this document are based on continuous metrics only.</w:t>
      </w:r>
    </w:p>
    <w:p>
      <w:pPr>
        <w:pStyle w:val="ListParagraph"/>
        <w:numPr>
          <w:ilvl w:val="0"/>
          <w:numId w:val="2"/>
        </w:numPr>
        <w:spacing w:after="40" w:before="40"/>
      </w:pPr>
      <w:r>
        <w:rPr>
          <w:rFonts w:ascii="Arial" w:cs="Arial" w:eastAsia="Arial" w:hAnsi="Arial"/>
          <w:b w:val="false"/>
          <w:bCs w:val="false"/>
          <w:i w:val="false"/>
          <w:iCs w:val="false"/>
          <w:caps w:val="false"/>
          <w:color w:val="000000"/>
          <w:sz w:val="20"/>
          <w:szCs w:val="20"/>
        </w:rPr>
        <w:t xml:space="preserve">Survivorship bias is present. Stocks that were suspended or delisted during an active Stage 2 episode would artificially inflate episode returns in surviving stocks. This cannot be fully corrected without delisting event data. Estimated impact: small, as only 2 of 19 bank stocks were affected.</w:t>
      </w:r>
    </w:p>
    <w:p>
      <w:pPr>
        <w:pStyle w:val="ListParagraph"/>
        <w:numPr>
          <w:ilvl w:val="0"/>
          <w:numId w:val="2"/>
        </w:numPr>
        <w:spacing w:after="40" w:before="40"/>
      </w:pPr>
      <w:r>
        <w:rPr>
          <w:rFonts w:ascii="Arial" w:cs="Arial" w:eastAsia="Arial" w:hAnsi="Arial"/>
          <w:b w:val="false"/>
          <w:bCs w:val="false"/>
          <w:i w:val="false"/>
          <w:iCs w:val="false"/>
          <w:caps w:val="false"/>
          <w:color w:val="000000"/>
          <w:sz w:val="20"/>
          <w:szCs w:val="20"/>
        </w:rPr>
        <w:t xml:space="preserve">The 6-month lag between sector reaching Top-35% and individual stock Stage 2 entries is specific to the 2023 rally. It may compress or expand depending on market regime. Do not treat 6 months as a fixed parameter.</w:t>
      </w:r>
    </w:p>
    <w:p>
      <w:pPr>
        <w:pStyle w:val="ListParagraph"/>
        <w:numPr>
          <w:ilvl w:val="0"/>
          <w:numId w:val="2"/>
        </w:numPr>
        <w:spacing w:after="40" w:before="40"/>
      </w:pPr>
      <w:r>
        <w:rPr>
          <w:rFonts w:ascii="Arial" w:cs="Arial" w:eastAsia="Arial" w:hAnsi="Arial"/>
          <w:b w:val="false"/>
          <w:bCs w:val="false"/>
          <w:i w:val="false"/>
          <w:iCs w:val="false"/>
          <w:caps w:val="false"/>
          <w:color w:val="000000"/>
          <w:sz w:val="20"/>
          <w:szCs w:val="20"/>
        </w:rPr>
        <w:t xml:space="preserve">The durability gate threshold of 10 trading days was not statistically optimised from the data — it was set as a practical filter to eliminate the majority of the observed 1–5 day false positives. A proper optimisation would require an out-of-sample holdout period not available in the current dataset.</w:t>
      </w:r>
    </w:p>
    <w:p>
      <w:pPr>
        <w:pStyle w:val="ListParagraph"/>
        <w:numPr>
          <w:ilvl w:val="0"/>
          <w:numId w:val="2"/>
        </w:numPr>
        <w:spacing w:after="40" w:before="40"/>
      </w:pPr>
      <w:r>
        <w:rPr>
          <w:rFonts w:ascii="Arial" w:cs="Arial" w:eastAsia="Arial" w:hAnsi="Arial"/>
          <w:b w:val="false"/>
          <w:bCs w:val="false"/>
          <w:i w:val="false"/>
          <w:iCs w:val="false"/>
          <w:caps w:val="false"/>
          <w:color w:val="000000"/>
          <w:sz w:val="20"/>
          <w:szCs w:val="20"/>
        </w:rPr>
        <w:t xml:space="preserve">All analysis is on the Consumer Banking (Commercial Banks) sector only. Results should not be generalised to other sectors without separate empirical testing. The Automobile Assembler sector analysis showed structurally different Stage 2 dynamics.</w:t>
      </w:r>
    </w:p>
    <w:p>
      <w:pPr>
        <w:spacing w:after="100" w:before="200"/>
        <w:jc w:val="left"/>
      </w:pPr>
      <w:r>
        <w:rPr>
          <w:rFonts w:ascii="Arial" w:cs="Arial" w:eastAsia="Arial" w:hAnsi="Arial"/>
          <w:b/>
          <w:bCs/>
          <w:i w:val="false"/>
          <w:iCs w:val="false"/>
          <w:caps w:val="false"/>
          <w:color w:val="1B3A5C"/>
          <w:sz w:val="24"/>
          <w:szCs w:val="24"/>
        </w:rPr>
        <w:t xml:space="preserve">C. Current Banking Sector Status (as at 31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360"/>
        <w:gridCol w:w="1800"/>
        <w:gridCol w:w="1800"/>
      </w:tblGrid>
      <w:tr>
        <w:tc>
          <w:tcPr>
            <w:tcW w:type="dxa" w:w="12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after="80" w:before="0"/>
              <w:jc w:val="left"/>
            </w:pPr>
            <w:r>
              <w:rPr>
                <w:rFonts w:ascii="Arial" w:cs="Arial" w:eastAsia="Arial" w:hAnsi="Arial"/>
                <w:b/>
                <w:bCs/>
                <w:i w:val="false"/>
                <w:iCs w:val="false"/>
                <w:caps w:val="false"/>
                <w:color w:val="FFFFFF"/>
                <w:sz w:val="19"/>
                <w:szCs w:val="19"/>
              </w:rPr>
              <w:t xml:space="preserve">Ticker</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after="80" w:before="0"/>
              <w:jc w:val="left"/>
            </w:pPr>
            <w:r>
              <w:rPr>
                <w:rFonts w:ascii="Arial" w:cs="Arial" w:eastAsia="Arial" w:hAnsi="Arial"/>
                <w:b/>
                <w:bCs/>
                <w:i w:val="false"/>
                <w:iCs w:val="false"/>
                <w:caps w:val="false"/>
                <w:color w:val="FFFFFF"/>
                <w:sz w:val="19"/>
                <w:szCs w:val="19"/>
              </w:rPr>
              <w:t xml:space="preserve">Stage 2 Entry</w:t>
            </w:r>
          </w:p>
        </w:tc>
        <w:tc>
          <w:tcPr>
            <w:tcW w:type="dxa" w:w="236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after="80" w:before="0"/>
              <w:jc w:val="left"/>
            </w:pPr>
            <w:r>
              <w:rPr>
                <w:rFonts w:ascii="Arial" w:cs="Arial" w:eastAsia="Arial" w:hAnsi="Arial"/>
                <w:b/>
                <w:bCs/>
                <w:i w:val="false"/>
                <w:iCs w:val="false"/>
                <w:caps w:val="false"/>
                <w:color w:val="FFFFFF"/>
                <w:sz w:val="19"/>
                <w:szCs w:val="19"/>
              </w:rPr>
              <w:t xml:space="preserve">Days Active</w:t>
            </w:r>
          </w:p>
        </w:tc>
        <w:tc>
          <w:tcPr>
            <w:tcW w:type="dxa" w:w="18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after="80" w:before="0"/>
              <w:jc w:val="left"/>
            </w:pPr>
            <w:r>
              <w:rPr>
                <w:rFonts w:ascii="Arial" w:cs="Arial" w:eastAsia="Arial" w:hAnsi="Arial"/>
                <w:b/>
                <w:bCs/>
                <w:i w:val="false"/>
                <w:iCs w:val="false"/>
                <w:caps w:val="false"/>
                <w:color w:val="FFFFFF"/>
                <w:sz w:val="19"/>
                <w:szCs w:val="19"/>
              </w:rPr>
              <w:t xml:space="preserve">Entry Momentum</w:t>
            </w:r>
          </w:p>
        </w:tc>
        <w:tc>
          <w:tcPr>
            <w:tcW w:type="dxa" w:w="18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vAlign w:val="center"/>
          </w:tcPr>
          <w:p>
            <w:pPr>
              <w:spacing w:after="80" w:before="0"/>
              <w:jc w:val="left"/>
            </w:pPr>
            <w:r>
              <w:rPr>
                <w:rFonts w:ascii="Arial" w:cs="Arial" w:eastAsia="Arial" w:hAnsi="Arial"/>
                <w:b/>
                <w:bCs/>
                <w:i w:val="false"/>
                <w:iCs w:val="false"/>
                <w:caps w:val="false"/>
                <w:color w:val="FFFFFF"/>
                <w:sz w:val="19"/>
                <w:szCs w:val="19"/>
              </w:rPr>
              <w:t xml:space="preserve">Current S2?</w:t>
            </w:r>
          </w:p>
        </w:tc>
      </w:tr>
      <w:tr>
        <w:tc>
          <w:tcPr>
            <w:tcW w:type="dxa" w:w="1200"/>
            <w:tcBorders>
              <w:top w:val="single" w:color="CCCCCC" w:sz="1"/>
              <w:left w:val="single" w:color="CCCCCC" w:sz="1"/>
              <w:bottom w:val="single" w:color="CCCCCC" w:sz="1"/>
              <w:right w:val="single" w:color="CCCCCC" w:sz="1"/>
            </w:tcBorders>
            <w:shd w:fill="D5F0DC"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AKBL</w:t>
            </w:r>
          </w:p>
        </w:tc>
        <w:tc>
          <w:tcPr>
            <w:tcW w:type="dxa" w:w="2200"/>
            <w:tcBorders>
              <w:top w:val="single" w:color="CCCCCC" w:sz="1"/>
              <w:left w:val="single" w:color="CCCCCC" w:sz="1"/>
              <w:bottom w:val="single" w:color="CCCCCC" w:sz="1"/>
              <w:right w:val="single" w:color="CCCCCC" w:sz="1"/>
            </w:tcBorders>
            <w:shd w:fill="D5F0DC"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22 May 2026</w:t>
            </w:r>
          </w:p>
        </w:tc>
        <w:tc>
          <w:tcPr>
            <w:tcW w:type="dxa" w:w="2360"/>
            <w:tcBorders>
              <w:top w:val="single" w:color="CCCCCC" w:sz="1"/>
              <w:left w:val="single" w:color="CCCCCC" w:sz="1"/>
              <w:bottom w:val="single" w:color="CCCCCC" w:sz="1"/>
              <w:right w:val="single" w:color="CCCCCC" w:sz="1"/>
            </w:tcBorders>
            <w:shd w:fill="D5F0DC"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7 days</w:t>
            </w:r>
          </w:p>
        </w:tc>
        <w:tc>
          <w:tcPr>
            <w:tcW w:type="dxa" w:w="1800"/>
            <w:tcBorders>
              <w:top w:val="single" w:color="CCCCCC" w:sz="1"/>
              <w:left w:val="single" w:color="CCCCCC" w:sz="1"/>
              <w:bottom w:val="single" w:color="CCCCCC" w:sz="1"/>
              <w:right w:val="single" w:color="CCCCCC" w:sz="1"/>
            </w:tcBorders>
            <w:shd w:fill="D5F0DC"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Rolling Over</w:t>
            </w:r>
          </w:p>
        </w:tc>
        <w:tc>
          <w:tcPr>
            <w:tcW w:type="dxa" w:w="1800"/>
            <w:tcBorders>
              <w:top w:val="single" w:color="CCCCCC" w:sz="1"/>
              <w:left w:val="single" w:color="CCCCCC" w:sz="1"/>
              <w:bottom w:val="single" w:color="CCCCCC" w:sz="1"/>
              <w:right w:val="single" w:color="CCCCCC" w:sz="1"/>
            </w:tcBorders>
            <w:shd w:fill="D5F0DC" w:val="clear"/>
            <w:tcMar>
              <w:top w:type="dxa" w:w="90"/>
              <w:left w:type="dxa" w:w="120"/>
              <w:bottom w:type="dxa" w:w="90"/>
              <w:right w:type="dxa" w:w="120"/>
            </w:tcMar>
            <w:vAlign w:val="center"/>
          </w:tcPr>
          <w:p>
            <w:pPr>
              <w:spacing w:after="80" w:before="0"/>
              <w:jc w:val="left"/>
            </w:pPr>
            <w:r>
              <w:rPr>
                <w:rFonts w:ascii="Arial" w:cs="Arial" w:eastAsia="Arial" w:hAnsi="Arial"/>
                <w:b/>
                <w:bCs/>
                <w:i w:val="false"/>
                <w:iCs w:val="false"/>
                <w:caps w:val="false"/>
                <w:color w:val="000000"/>
                <w:sz w:val="19"/>
                <w:szCs w:val="19"/>
              </w:rPr>
              <w:t xml:space="preserve">YES</w:t>
            </w:r>
          </w:p>
        </w:tc>
      </w:tr>
      <w:tr>
        <w:tc>
          <w:tcPr>
            <w:tcW w:type="dxa" w:w="1200"/>
            <w:tcBorders>
              <w:top w:val="single" w:color="CCCCCC" w:sz="1"/>
              <w:left w:val="single" w:color="CCCCCC" w:sz="1"/>
              <w:bottom w:val="single" w:color="CCCCCC" w:sz="1"/>
              <w:right w:val="single" w:color="CCCCCC" w:sz="1"/>
            </w:tcBorders>
            <w:shd w:fill="D5F0DC"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MCB</w:t>
            </w:r>
          </w:p>
        </w:tc>
        <w:tc>
          <w:tcPr>
            <w:tcW w:type="dxa" w:w="2200"/>
            <w:tcBorders>
              <w:top w:val="single" w:color="CCCCCC" w:sz="1"/>
              <w:left w:val="single" w:color="CCCCCC" w:sz="1"/>
              <w:bottom w:val="single" w:color="CCCCCC" w:sz="1"/>
              <w:right w:val="single" w:color="CCCCCC" w:sz="1"/>
            </w:tcBorders>
            <w:shd w:fill="D5F0DC"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18 May 2026</w:t>
            </w:r>
          </w:p>
        </w:tc>
        <w:tc>
          <w:tcPr>
            <w:tcW w:type="dxa" w:w="2360"/>
            <w:tcBorders>
              <w:top w:val="single" w:color="CCCCCC" w:sz="1"/>
              <w:left w:val="single" w:color="CCCCCC" w:sz="1"/>
              <w:bottom w:val="single" w:color="CCCCCC" w:sz="1"/>
              <w:right w:val="single" w:color="CCCCCC" w:sz="1"/>
            </w:tcBorders>
            <w:shd w:fill="D5F0DC"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11 days</w:t>
            </w:r>
          </w:p>
        </w:tc>
        <w:tc>
          <w:tcPr>
            <w:tcW w:type="dxa" w:w="1800"/>
            <w:tcBorders>
              <w:top w:val="single" w:color="CCCCCC" w:sz="1"/>
              <w:left w:val="single" w:color="CCCCCC" w:sz="1"/>
              <w:bottom w:val="single" w:color="CCCCCC" w:sz="1"/>
              <w:right w:val="single" w:color="CCCCCC" w:sz="1"/>
            </w:tcBorders>
            <w:shd w:fill="D5F0DC"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Cooling Down</w:t>
            </w:r>
          </w:p>
        </w:tc>
        <w:tc>
          <w:tcPr>
            <w:tcW w:type="dxa" w:w="1800"/>
            <w:tcBorders>
              <w:top w:val="single" w:color="CCCCCC" w:sz="1"/>
              <w:left w:val="single" w:color="CCCCCC" w:sz="1"/>
              <w:bottom w:val="single" w:color="CCCCCC" w:sz="1"/>
              <w:right w:val="single" w:color="CCCCCC" w:sz="1"/>
            </w:tcBorders>
            <w:shd w:fill="D5F0DC" w:val="clear"/>
            <w:tcMar>
              <w:top w:type="dxa" w:w="90"/>
              <w:left w:type="dxa" w:w="120"/>
              <w:bottom w:type="dxa" w:w="90"/>
              <w:right w:type="dxa" w:w="120"/>
            </w:tcMar>
            <w:vAlign w:val="center"/>
          </w:tcPr>
          <w:p>
            <w:pPr>
              <w:spacing w:after="80" w:before="0"/>
              <w:jc w:val="left"/>
            </w:pPr>
            <w:r>
              <w:rPr>
                <w:rFonts w:ascii="Arial" w:cs="Arial" w:eastAsia="Arial" w:hAnsi="Arial"/>
                <w:b/>
                <w:bCs/>
                <w:i w:val="false"/>
                <w:iCs w:val="false"/>
                <w:caps w:val="false"/>
                <w:color w:val="000000"/>
                <w:sz w:val="19"/>
                <w:szCs w:val="19"/>
              </w:rPr>
              <w:t xml:space="preserve">YES</w:t>
            </w:r>
          </w:p>
        </w:tc>
      </w:tr>
      <w:tr>
        <w:tc>
          <w:tcPr>
            <w:tcW w:type="dxa" w:w="1200"/>
            <w:tcBorders>
              <w:top w:val="single" w:color="CCCCCC" w:sz="1"/>
              <w:left w:val="single" w:color="CCCCCC" w:sz="1"/>
              <w:bottom w:val="single" w:color="CCCCCC" w:sz="1"/>
              <w:right w:val="single" w:color="CCCCCC" w:sz="1"/>
            </w:tcBorders>
            <w:shd w:fill="D5F0DC"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MEBL</w:t>
            </w:r>
          </w:p>
        </w:tc>
        <w:tc>
          <w:tcPr>
            <w:tcW w:type="dxa" w:w="2200"/>
            <w:tcBorders>
              <w:top w:val="single" w:color="CCCCCC" w:sz="1"/>
              <w:left w:val="single" w:color="CCCCCC" w:sz="1"/>
              <w:bottom w:val="single" w:color="CCCCCC" w:sz="1"/>
              <w:right w:val="single" w:color="CCCCCC" w:sz="1"/>
            </w:tcBorders>
            <w:shd w:fill="D5F0DC"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25 May 2026</w:t>
            </w:r>
          </w:p>
        </w:tc>
        <w:tc>
          <w:tcPr>
            <w:tcW w:type="dxa" w:w="2360"/>
            <w:tcBorders>
              <w:top w:val="single" w:color="CCCCCC" w:sz="1"/>
              <w:left w:val="single" w:color="CCCCCC" w:sz="1"/>
              <w:bottom w:val="single" w:color="CCCCCC" w:sz="1"/>
              <w:right w:val="single" w:color="CCCCCC" w:sz="1"/>
            </w:tcBorders>
            <w:shd w:fill="D5F0DC"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4 days</w:t>
            </w:r>
          </w:p>
        </w:tc>
        <w:tc>
          <w:tcPr>
            <w:tcW w:type="dxa" w:w="1800"/>
            <w:tcBorders>
              <w:top w:val="single" w:color="CCCCCC" w:sz="1"/>
              <w:left w:val="single" w:color="CCCCCC" w:sz="1"/>
              <w:bottom w:val="single" w:color="CCCCCC" w:sz="1"/>
              <w:right w:val="single" w:color="CCCCCC" w:sz="1"/>
            </w:tcBorders>
            <w:shd w:fill="D5F0DC"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Recovering</w:t>
            </w:r>
          </w:p>
        </w:tc>
        <w:tc>
          <w:tcPr>
            <w:tcW w:type="dxa" w:w="1800"/>
            <w:tcBorders>
              <w:top w:val="single" w:color="CCCCCC" w:sz="1"/>
              <w:left w:val="single" w:color="CCCCCC" w:sz="1"/>
              <w:bottom w:val="single" w:color="CCCCCC" w:sz="1"/>
              <w:right w:val="single" w:color="CCCCCC" w:sz="1"/>
            </w:tcBorders>
            <w:shd w:fill="D5F0DC" w:val="clear"/>
            <w:tcMar>
              <w:top w:type="dxa" w:w="90"/>
              <w:left w:type="dxa" w:w="120"/>
              <w:bottom w:type="dxa" w:w="90"/>
              <w:right w:type="dxa" w:w="120"/>
            </w:tcMar>
            <w:vAlign w:val="center"/>
          </w:tcPr>
          <w:p>
            <w:pPr>
              <w:spacing w:after="80" w:before="0"/>
              <w:jc w:val="left"/>
            </w:pPr>
            <w:r>
              <w:rPr>
                <w:rFonts w:ascii="Arial" w:cs="Arial" w:eastAsia="Arial" w:hAnsi="Arial"/>
                <w:b/>
                <w:bCs/>
                <w:i w:val="false"/>
                <w:iCs w:val="false"/>
                <w:caps w:val="false"/>
                <w:color w:val="000000"/>
                <w:sz w:val="19"/>
                <w:szCs w:val="19"/>
              </w:rPr>
              <w:t xml:space="preserve">YES</w:t>
            </w:r>
          </w:p>
        </w:tc>
      </w:tr>
      <w:tr>
        <w:tc>
          <w:tcPr>
            <w:tcW w:type="dxa" w:w="120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BOP</w:t>
            </w:r>
          </w:p>
        </w:tc>
        <w:tc>
          <w:tcPr>
            <w:tcW w:type="dxa" w:w="220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25 May 2026 (latest ep.)</w:t>
            </w:r>
          </w:p>
        </w:tc>
        <w:tc>
          <w:tcPr>
            <w:tcW w:type="dxa" w:w="236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4 days</w:t>
            </w:r>
          </w:p>
        </w:tc>
        <w:tc>
          <w:tcPr>
            <w:tcW w:type="dxa" w:w="180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Rolling Over</w:t>
            </w:r>
          </w:p>
        </w:tc>
        <w:tc>
          <w:tcPr>
            <w:tcW w:type="dxa" w:w="1800"/>
            <w:tcBorders>
              <w:top w:val="single" w:color="CCCCCC" w:sz="1"/>
              <w:left w:val="single" w:color="CCCCCC" w:sz="1"/>
              <w:bottom w:val="single" w:color="CCCCCC" w:sz="1"/>
              <w:right w:val="single" w:color="CCCCCC" w:sz="1"/>
            </w:tcBorders>
            <w:shd w:fill="EEF4FA"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YES (intermittent)</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Sector Momentum</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spacing w:after="80" w:before="0"/>
              <w:jc w:val="left"/>
            </w:pPr>
            <w:r>
              <w:rPr>
                <w:rFonts w:ascii="Arial" w:cs="Arial" w:eastAsia="Arial" w:hAnsi="Arial"/>
                <w:b/>
                <w:bCs/>
                <w:i w:val="false"/>
                <w:iCs w:val="false"/>
                <w:caps w:val="false"/>
                <w:color w:val="000000"/>
                <w:sz w:val="19"/>
                <w:szCs w:val="19"/>
              </w:rPr>
              <w:t xml:space="preserve">Heating Up</w:t>
            </w:r>
          </w:p>
        </w:tc>
        <w:tc>
          <w:tcPr>
            <w:tcW w:type="dxa" w:w="2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30d: +0.31% / 10d: +2.24%</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spacing w:after="80" w:before="0"/>
              <w:jc w:val="left"/>
            </w:pPr>
            <w:r>
              <w:rPr>
                <w:rFonts w:ascii="Arial" w:cs="Arial" w:eastAsia="Arial" w:hAnsi="Arial"/>
                <w:b w:val="false"/>
                <w:bCs w:val="false"/>
                <w:i w:val="false"/>
                <w:iCs w:val="false"/>
                <w:caps w:val="false"/>
                <w:color w:val="000000"/>
                <w:sz w:val="19"/>
                <w:szCs w:val="19"/>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spacing w:after="80" w:before="0"/>
              <w:jc w:val="left"/>
            </w:pPr>
            <w:r>
              <w:rPr>
                <w:rFonts w:ascii="Arial" w:cs="Arial" w:eastAsia="Arial" w:hAnsi="Arial"/>
                <w:b/>
                <w:bCs/>
                <w:i w:val="false"/>
                <w:iCs w:val="false"/>
                <w:caps w:val="false"/>
                <w:color w:val="000000"/>
                <w:sz w:val="19"/>
                <w:szCs w:val="19"/>
              </w:rPr>
              <w:t xml:space="preserve">Watch Active</w:t>
            </w:r>
          </w:p>
        </w:tc>
      </w:tr>
    </w:tbl>
    <w:p>
      <w:pPr>
        <w:spacing w:after="80" w:before="0"/>
        <w:jc w:val="left"/>
      </w:pPr>
      <w:r>
        <w:rPr>
          <w:rFonts w:ascii="Arial" w:cs="Arial" w:eastAsia="Arial" w:hAnsi="Arial"/>
          <w:b w:val="false"/>
          <w:bCs w:val="false"/>
          <w:i w:val="false"/>
          <w:iCs w:val="false"/>
          <w:caps w:val="false"/>
          <w:color w:val="000000"/>
          <w:sz w:val="20"/>
          <w:szCs w:val="20"/>
        </w:rPr>
        <w:t xml:space="preserve"> </w:t>
      </w:r>
    </w:p>
    <w:p>
      <w:pPr>
        <w:spacing w:after="80" w:before="0"/>
        <w:jc w:val="left"/>
      </w:pPr>
      <w:r>
        <w:rPr>
          <w:rFonts w:ascii="Arial" w:cs="Arial" w:eastAsia="Arial" w:hAnsi="Arial"/>
          <w:b w:val="false"/>
          <w:bCs w:val="false"/>
          <w:i w:val="false"/>
          <w:iCs w:val="false"/>
          <w:caps w:val="false"/>
          <w:color w:val="000000"/>
          <w:sz w:val="20"/>
          <w:szCs w:val="20"/>
        </w:rPr>
        <w:t xml:space="preserve">MCB at 11 days active is the only stock currently meeting the durability gate threshold. MEBL and AKBL require 3–6 more trading days before qualifying under the pilot rules. MEBL's entry label is 'Recovering' — under the proposed modified logic, MEBL would be excluded from entry until label transitions to Cooling Down or better.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2"/>
      </w:pBdr>
      <w:tabs>
        <w:tab w:val="right" w:pos="9026"/>
      </w:tabs>
      <w:spacing w:after="0" w:before="0"/>
    </w:pPr>
    <w:r>
      <w:rPr>
        <w:rFonts w:ascii="Arial" w:cs="Arial" w:eastAsia="Arial" w:hAnsi="Arial"/>
        <w:b w:val="false"/>
        <w:bCs w:val="false"/>
        <w:i w:val="false"/>
        <w:iCs w:val="false"/>
        <w:caps w:val="false"/>
        <w:color w:val="888888"/>
        <w:sz w:val="16"/>
        <w:szCs w:val="16"/>
      </w:rPr>
      <w:t xml:space="preserve">Kiran AI Analysis Engine  |  For Management Use Only</w:t>
    </w:r>
    <w:r>
      <w:rPr>
        <w:rFonts w:ascii="Arial" w:cs="Arial" w:eastAsia="Arial" w:hAnsi="Arial"/>
        <w:b w:val="false"/>
        <w:bCs w:val="false"/>
        <w:i w:val="false"/>
        <w:iCs w:val="false"/>
        <w:caps w:val="false"/>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3" w:space="2"/>
      </w:pBdr>
      <w:tabs>
        <w:tab w:val="right" w:pos="9026"/>
      </w:tabs>
      <w:spacing w:after="0" w:before="0"/>
    </w:pPr>
    <w:r>
      <w:rPr>
        <w:rFonts w:ascii="Arial" w:cs="Arial" w:eastAsia="Arial" w:hAnsi="Arial"/>
        <w:b w:val="false"/>
        <w:bCs w:val="false"/>
        <w:i w:val="false"/>
        <w:iCs w:val="false"/>
        <w:caps w:val="false"/>
        <w:color w:val="888888"/>
        <w:sz w:val="16"/>
        <w:szCs w:val="16"/>
      </w:rPr>
      <w:t xml:space="preserve">CONSUMER BANKING SECTOR STRATEGY VERDICT  |  CONFIDENTIAL</w:t>
    </w:r>
    <w:r>
      <w:rPr>
        <w:rFonts w:ascii="Arial" w:cs="Arial" w:eastAsia="Arial" w:hAnsi="Arial"/>
        <w:b w:val="false"/>
        <w:bCs w:val="false"/>
        <w:i w:val="false"/>
        <w:iCs w:val="false"/>
        <w:caps w:val="false"/>
        <w:color w:val="888888"/>
        <w:sz w:val="16"/>
        <w:szCs w:val="16"/>
      </w:rPr>
      <w:t xml:space="preserve">	31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B3A5C"/>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2026-05-31T17:12:59.074Z</dcterms:created>
  <dcterms:modified xsi:type="dcterms:W3CDTF">2026-05-31T17:12:59.075Z</dcterms:modified>
</cp:coreProperties>
</file>

<file path=docProps/custom.xml><?xml version="1.0" encoding="utf-8"?>
<Properties xmlns="http://schemas.openxmlformats.org/officeDocument/2006/custom-properties" xmlns:vt="http://schemas.openxmlformats.org/officeDocument/2006/docPropsVTypes"/>
</file>