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b/>
          <w:sz w:val="32"/>
        </w:rPr>
      </w:pPr>
      <w:r>
        <w:rPr>
          <w:b/>
          <w:sz w:val="32"/>
        </w:rPr>
        <w:t>Riphah International University Lahore, Pakistan</w:t>
      </w:r>
    </w:p>
    <w:p>
      <w:pPr>
        <w:pStyle w:val="BodyText"/>
        <w:bidi w:val="0"/>
        <w:spacing w:before="80" w:after="320"/>
        <w:ind w:hanging="0" w:left="80" w:right="80"/>
        <w:jc w:val="center"/>
        <w:rPr>
          <w:b/>
          <w:sz w:val="28"/>
        </w:rPr>
      </w:pPr>
      <w:r>
        <w:rPr>
          <w:b/>
          <w:sz w:val="28"/>
        </w:rPr>
        <w:t>Riphah School of Computing &amp; Innovation</w:t>
      </w:r>
    </w:p>
    <w:p>
      <w:pPr>
        <w:pStyle w:val="BodyText"/>
        <w:bidi w:val="0"/>
        <w:spacing w:before="400" w:after="80"/>
        <w:ind w:hanging="0" w:left="400" w:right="400"/>
        <w:jc w:val="center"/>
        <w:rPr>
          <w:b/>
          <w:sz w:val="36"/>
        </w:rPr>
      </w:pPr>
      <w:r>
        <w:rPr>
          <w:b/>
          <w:sz w:val="36"/>
        </w:rPr>
        <w:t>FINAL YEAR PROJECT</w:t>
      </w:r>
    </w:p>
    <w:p>
      <w:pPr>
        <w:pStyle w:val="BodyText"/>
        <w:bidi w:val="0"/>
        <w:spacing w:before="0" w:after="440"/>
        <w:ind w:hanging="0" w:left="0" w:right="0"/>
        <w:jc w:val="center"/>
        <w:rPr>
          <w:b/>
          <w:sz w:val="32"/>
        </w:rPr>
      </w:pPr>
      <w:r>
        <w:rPr>
          <w:b/>
          <w:sz w:val="32"/>
        </w:rPr>
        <w:t>PROJECT PROPOSAL &amp; PLAN</w:t>
      </w:r>
    </w:p>
    <w:p>
      <w:pPr>
        <w:pStyle w:val="BodyText"/>
        <w:bidi w:val="0"/>
        <w:spacing w:before="360" w:after="120"/>
        <w:ind w:hanging="0" w:left="360" w:right="360"/>
        <w:jc w:val="center"/>
        <w:rPr>
          <w:b/>
          <w:sz w:val="28"/>
        </w:rPr>
      </w:pPr>
      <w:r>
        <w:rPr>
          <w:b/>
          <w:sz w:val="28"/>
        </w:rPr>
        <w:t>AI-Based Autonomous Literature Discovery Engine for Drug Repurposing</w:t>
      </w:r>
    </w:p>
    <w:p>
      <w:pPr>
        <w:pStyle w:val="BodyText"/>
        <w:bidi w:val="0"/>
        <w:spacing w:before="0" w:after="360"/>
        <w:ind w:hanging="0" w:left="0" w:right="0"/>
        <w:jc w:val="center"/>
        <w:rPr/>
      </w:pPr>
      <w:r>
        <w:rPr>
          <w:rStyle w:val="Emphasis"/>
        </w:rPr>
        <w:t>Project ID: [Issued by FYP Manager — TO BE FILLED]</w:t>
      </w:r>
    </w:p>
    <w:p>
      <w:pPr>
        <w:pStyle w:val="Heading2"/>
        <w:keepNext w:val="true"/>
        <w:numPr>
          <w:ilvl w:val="0"/>
          <w:numId w:val="0"/>
        </w:numPr>
        <w:bidi w:val="0"/>
        <w:spacing w:before="280" w:after="120"/>
        <w:ind w:left="280" w:right="280"/>
        <w:jc w:val="left"/>
        <w:rPr/>
      </w:pPr>
      <w:r>
        <w:rPr/>
        <w:t>Project Team</w:t>
      </w:r>
    </w:p>
    <w:tbl>
      <w:tblPr>
        <w:tblW w:w="9026" w:type="dxa"/>
        <w:jc w:val="left"/>
        <w:tblInd w:w="0" w:type="dxa"/>
        <w:tblLayout w:type="fixed"/>
        <w:tblCellMar>
          <w:top w:w="28" w:type="dxa"/>
          <w:left w:w="28" w:type="dxa"/>
          <w:bottom w:w="28" w:type="dxa"/>
          <w:right w:w="28" w:type="dxa"/>
        </w:tblCellMar>
      </w:tblPr>
      <w:tblGrid>
        <w:gridCol w:w="1403"/>
        <w:gridCol w:w="1117"/>
        <w:gridCol w:w="1141"/>
        <w:gridCol w:w="1702"/>
        <w:gridCol w:w="3663"/>
      </w:tblGrid>
      <w:tr>
        <w:trPr/>
        <w:tc>
          <w:tcPr>
            <w:tcW w:w="1403" w:type="dxa"/>
            <w:tcBorders/>
            <w:vAlign w:val="center"/>
          </w:tcPr>
          <w:p>
            <w:pPr>
              <w:pStyle w:val="TableHeading"/>
              <w:suppressLineNumbers/>
              <w:bidi w:val="0"/>
              <w:spacing w:before="0" w:after="160"/>
              <w:jc w:val="left"/>
              <w:rPr/>
            </w:pPr>
            <w:r>
              <w:rPr/>
              <w:t>Student Name</w:t>
            </w:r>
          </w:p>
        </w:tc>
        <w:tc>
          <w:tcPr>
            <w:tcW w:w="1117" w:type="dxa"/>
            <w:tcBorders/>
            <w:vAlign w:val="center"/>
          </w:tcPr>
          <w:p>
            <w:pPr>
              <w:pStyle w:val="TableHeading"/>
              <w:suppressLineNumbers/>
              <w:bidi w:val="0"/>
              <w:spacing w:before="0" w:after="160"/>
              <w:jc w:val="left"/>
              <w:rPr/>
            </w:pPr>
            <w:r>
              <w:rPr/>
              <w:t>Student ID</w:t>
            </w:r>
          </w:p>
        </w:tc>
        <w:tc>
          <w:tcPr>
            <w:tcW w:w="1141" w:type="dxa"/>
            <w:tcBorders/>
            <w:vAlign w:val="center"/>
          </w:tcPr>
          <w:p>
            <w:pPr>
              <w:pStyle w:val="TableHeading"/>
              <w:suppressLineNumbers/>
              <w:bidi w:val="0"/>
              <w:spacing w:before="0" w:after="160"/>
              <w:jc w:val="left"/>
              <w:rPr/>
            </w:pPr>
            <w:r>
              <w:rPr/>
              <w:t>Program</w:t>
            </w:r>
          </w:p>
        </w:tc>
        <w:tc>
          <w:tcPr>
            <w:tcW w:w="1702" w:type="dxa"/>
            <w:tcBorders/>
            <w:vAlign w:val="center"/>
          </w:tcPr>
          <w:p>
            <w:pPr>
              <w:pStyle w:val="TableHeading"/>
              <w:suppressLineNumbers/>
              <w:bidi w:val="0"/>
              <w:spacing w:before="0" w:after="160"/>
              <w:jc w:val="left"/>
              <w:rPr/>
            </w:pPr>
            <w:r>
              <w:rPr/>
              <w:t>Contact Number</w:t>
            </w:r>
          </w:p>
        </w:tc>
        <w:tc>
          <w:tcPr>
            <w:tcW w:w="3663" w:type="dxa"/>
            <w:tcBorders/>
            <w:vAlign w:val="center"/>
          </w:tcPr>
          <w:p>
            <w:pPr>
              <w:pStyle w:val="TableHeading"/>
              <w:suppressLineNumbers/>
              <w:bidi w:val="0"/>
              <w:spacing w:before="0" w:after="160"/>
              <w:jc w:val="left"/>
              <w:rPr/>
            </w:pPr>
            <w:r>
              <w:rPr/>
              <w:t>Email Address</w:t>
            </w:r>
          </w:p>
        </w:tc>
      </w:tr>
      <w:tr>
        <w:trPr/>
        <w:tc>
          <w:tcPr>
            <w:tcW w:w="1403" w:type="dxa"/>
            <w:tcBorders/>
            <w:vAlign w:val="center"/>
          </w:tcPr>
          <w:p>
            <w:pPr>
              <w:pStyle w:val="TableContents"/>
              <w:bidi w:val="0"/>
              <w:spacing w:before="0" w:after="160"/>
              <w:jc w:val="left"/>
              <w:rPr/>
            </w:pPr>
            <w:r>
              <w:rPr/>
              <w:t>Zeeshan Jamal</w:t>
            </w:r>
          </w:p>
        </w:tc>
        <w:tc>
          <w:tcPr>
            <w:tcW w:w="1117" w:type="dxa"/>
            <w:tcBorders/>
            <w:vAlign w:val="center"/>
          </w:tcPr>
          <w:p>
            <w:pPr>
              <w:pStyle w:val="TableContents"/>
              <w:bidi w:val="0"/>
              <w:spacing w:before="0" w:after="160"/>
              <w:jc w:val="left"/>
              <w:rPr/>
            </w:pPr>
            <w:r>
              <w:rPr/>
              <w:t>60761</w:t>
            </w:r>
          </w:p>
        </w:tc>
        <w:tc>
          <w:tcPr>
            <w:tcW w:w="1141" w:type="dxa"/>
            <w:tcBorders/>
            <w:vAlign w:val="center"/>
          </w:tcPr>
          <w:p>
            <w:pPr>
              <w:pStyle w:val="TableContents"/>
              <w:bidi w:val="0"/>
              <w:spacing w:before="0" w:after="160"/>
              <w:jc w:val="left"/>
              <w:rPr/>
            </w:pPr>
            <w:r>
              <w:rPr/>
              <w:t>BSDS</w:t>
            </w:r>
          </w:p>
        </w:tc>
        <w:tc>
          <w:tcPr>
            <w:tcW w:w="1702" w:type="dxa"/>
            <w:tcBorders/>
            <w:vAlign w:val="center"/>
          </w:tcPr>
          <w:p>
            <w:pPr>
              <w:pStyle w:val="TableContents"/>
              <w:bidi w:val="0"/>
              <w:spacing w:before="0" w:after="160"/>
              <w:jc w:val="left"/>
              <w:rPr/>
            </w:pPr>
            <w:r>
              <w:rPr/>
              <w:t>03085218981</w:t>
            </w:r>
          </w:p>
        </w:tc>
        <w:tc>
          <w:tcPr>
            <w:tcW w:w="3663" w:type="dxa"/>
            <w:tcBorders/>
            <w:vAlign w:val="center"/>
          </w:tcPr>
          <w:p>
            <w:pPr>
              <w:pStyle w:val="TableContents"/>
              <w:bidi w:val="0"/>
              <w:spacing w:before="0" w:after="160"/>
              <w:jc w:val="left"/>
              <w:rPr/>
            </w:pPr>
            <w:r>
              <w:rPr/>
              <w:t>60761@students.riphah.edu.pk</w:t>
            </w:r>
          </w:p>
        </w:tc>
      </w:tr>
      <w:tr>
        <w:trPr/>
        <w:tc>
          <w:tcPr>
            <w:tcW w:w="1403" w:type="dxa"/>
            <w:tcBorders/>
            <w:vAlign w:val="center"/>
          </w:tcPr>
          <w:p>
            <w:pPr>
              <w:pStyle w:val="TableContents"/>
              <w:bidi w:val="0"/>
              <w:spacing w:before="0" w:after="160"/>
              <w:jc w:val="left"/>
              <w:rPr/>
            </w:pPr>
            <w:r>
              <w:rPr/>
              <w:t>Arfa Khalid</w:t>
            </w:r>
          </w:p>
        </w:tc>
        <w:tc>
          <w:tcPr>
            <w:tcW w:w="1117" w:type="dxa"/>
            <w:tcBorders/>
            <w:vAlign w:val="center"/>
          </w:tcPr>
          <w:p>
            <w:pPr>
              <w:pStyle w:val="TableContents"/>
              <w:bidi w:val="0"/>
              <w:spacing w:before="0" w:after="160"/>
              <w:jc w:val="left"/>
              <w:rPr/>
            </w:pPr>
            <w:r>
              <w:rPr/>
              <w:t>61265</w:t>
            </w:r>
          </w:p>
        </w:tc>
        <w:tc>
          <w:tcPr>
            <w:tcW w:w="1141" w:type="dxa"/>
            <w:tcBorders/>
            <w:vAlign w:val="center"/>
          </w:tcPr>
          <w:p>
            <w:pPr>
              <w:pStyle w:val="TableContents"/>
              <w:bidi w:val="0"/>
              <w:spacing w:before="0" w:after="160"/>
              <w:jc w:val="left"/>
              <w:rPr/>
            </w:pPr>
            <w:r>
              <w:rPr/>
              <w:t>BSDS</w:t>
            </w:r>
          </w:p>
        </w:tc>
        <w:tc>
          <w:tcPr>
            <w:tcW w:w="1702" w:type="dxa"/>
            <w:tcBorders/>
            <w:vAlign w:val="center"/>
          </w:tcPr>
          <w:p>
            <w:pPr>
              <w:pStyle w:val="TableContents"/>
              <w:bidi w:val="0"/>
              <w:spacing w:before="0" w:after="160"/>
              <w:jc w:val="left"/>
              <w:rPr/>
            </w:pPr>
            <w:r>
              <w:rPr/>
              <w:t>03261357524</w:t>
            </w:r>
          </w:p>
        </w:tc>
        <w:tc>
          <w:tcPr>
            <w:tcW w:w="3663" w:type="dxa"/>
            <w:tcBorders/>
            <w:vAlign w:val="center"/>
          </w:tcPr>
          <w:p>
            <w:pPr>
              <w:pStyle w:val="TableContents"/>
              <w:bidi w:val="0"/>
              <w:spacing w:before="0" w:after="160"/>
              <w:jc w:val="left"/>
              <w:rPr/>
            </w:pPr>
            <w:r>
              <w:rPr/>
              <w:t>61265@students.riphah.edu.pk</w:t>
            </w:r>
          </w:p>
        </w:tc>
      </w:tr>
      <w:tr>
        <w:trPr/>
        <w:tc>
          <w:tcPr>
            <w:tcW w:w="1403" w:type="dxa"/>
            <w:tcBorders/>
            <w:vAlign w:val="center"/>
          </w:tcPr>
          <w:p>
            <w:pPr>
              <w:pStyle w:val="TableContents"/>
              <w:bidi w:val="0"/>
              <w:spacing w:before="0" w:after="160"/>
              <w:jc w:val="left"/>
              <w:rPr/>
            </w:pPr>
            <w:r>
              <w:rPr/>
              <w:t>[Member 3 — if any]</w:t>
            </w:r>
          </w:p>
        </w:tc>
        <w:tc>
          <w:tcPr>
            <w:tcW w:w="1117" w:type="dxa"/>
            <w:tcBorders/>
            <w:vAlign w:val="center"/>
          </w:tcPr>
          <w:p>
            <w:pPr>
              <w:pStyle w:val="TableContents"/>
              <w:bidi w:val="0"/>
              <w:spacing w:before="0" w:after="160"/>
              <w:jc w:val="left"/>
              <w:rPr/>
            </w:pPr>
            <w:r>
              <w:rPr/>
              <w:t>[ID]</w:t>
            </w:r>
          </w:p>
        </w:tc>
        <w:tc>
          <w:tcPr>
            <w:tcW w:w="1141" w:type="dxa"/>
            <w:tcBorders/>
            <w:vAlign w:val="center"/>
          </w:tcPr>
          <w:p>
            <w:pPr>
              <w:pStyle w:val="TableContents"/>
              <w:bidi w:val="0"/>
              <w:spacing w:before="0" w:after="160"/>
              <w:jc w:val="left"/>
              <w:rPr/>
            </w:pPr>
            <w:r>
              <w:rPr/>
              <w:t>BSDS</w:t>
            </w:r>
          </w:p>
        </w:tc>
        <w:tc>
          <w:tcPr>
            <w:tcW w:w="1702" w:type="dxa"/>
            <w:tcBorders/>
            <w:vAlign w:val="center"/>
          </w:tcPr>
          <w:p>
            <w:pPr>
              <w:pStyle w:val="TableContents"/>
              <w:bidi w:val="0"/>
              <w:spacing w:before="0" w:after="160"/>
              <w:jc w:val="left"/>
              <w:rPr/>
            </w:pPr>
            <w:r>
              <w:rPr/>
              <w:t>[Phone]</w:t>
            </w:r>
          </w:p>
        </w:tc>
        <w:tc>
          <w:tcPr>
            <w:tcW w:w="3663" w:type="dxa"/>
            <w:tcBorders/>
            <w:vAlign w:val="center"/>
          </w:tcPr>
          <w:p>
            <w:pPr>
              <w:pStyle w:val="TableContents"/>
              <w:bidi w:val="0"/>
              <w:spacing w:before="0" w:after="160"/>
              <w:jc w:val="left"/>
              <w:rPr/>
            </w:pPr>
            <w:r>
              <w:rPr/>
              <w:t>[Email]</w:t>
            </w:r>
          </w:p>
        </w:tc>
      </w:tr>
    </w:tbl>
    <w:p>
      <w:pPr>
        <w:pStyle w:val="BodyTextmeta"/>
        <w:bidi w:val="0"/>
        <w:spacing w:before="40" w:after="40"/>
        <w:ind w:left="40" w:right="40"/>
        <w:jc w:val="left"/>
        <w:rPr/>
      </w:pPr>
      <w:r>
        <w:rPr>
          <w:rStyle w:val="Strong"/>
        </w:rPr>
        <w:t>Project Type:</w:t>
      </w:r>
      <w:r>
        <w:rPr/>
        <w:t xml:space="preserve"> Research Project (primary); Innovative &amp; Entrepreneurial Project — Artificial Intelligence (secondary / product deliverable)</w:t>
      </w:r>
    </w:p>
    <w:p>
      <w:pPr>
        <w:pStyle w:val="BodyTextmeta"/>
        <w:bidi w:val="0"/>
        <w:spacing w:before="40" w:after="40"/>
        <w:ind w:left="40" w:right="40"/>
        <w:jc w:val="left"/>
        <w:rPr/>
      </w:pPr>
      <w:r>
        <w:rPr>
          <w:rStyle w:val="Strong"/>
        </w:rPr>
        <w:t>SDGs Addressed:</w:t>
      </w:r>
      <w:r>
        <w:rPr/>
        <w:t xml:space="preserve"> Goal 3 (Good Health and Well-being); Goal 9 (Industry, Innovation and Infrastructure)</w:t>
      </w:r>
    </w:p>
    <w:p>
      <w:pPr>
        <w:pStyle w:val="BodyTextmeta"/>
        <w:bidi w:val="0"/>
        <w:spacing w:before="40" w:after="40"/>
        <w:ind w:left="40" w:right="40"/>
        <w:jc w:val="left"/>
        <w:rPr/>
      </w:pPr>
      <w:r>
        <w:rPr>
          <w:rStyle w:val="Strong"/>
        </w:rPr>
        <w:t>Semester of Enrollment:</w:t>
      </w:r>
      <w:r>
        <w:rPr/>
        <w:t xml:space="preserve"> Fall 2026</w:t>
      </w:r>
    </w:p>
    <w:p>
      <w:pPr>
        <w:pStyle w:val="BodyTextmeta"/>
        <w:bidi w:val="0"/>
        <w:spacing w:before="40" w:after="40"/>
        <w:ind w:left="40" w:right="40"/>
        <w:jc w:val="left"/>
        <w:rPr/>
      </w:pPr>
      <w:r>
        <w:rPr>
          <w:rStyle w:val="Strong"/>
        </w:rPr>
        <w:t>Program:</w:t>
      </w:r>
      <w:r>
        <w:rPr/>
        <w:t xml:space="preserve"> BSDS (BS Data Science)</w:t>
      </w:r>
    </w:p>
    <w:p>
      <w:pPr>
        <w:pStyle w:val="BodyTextmeta"/>
        <w:bidi w:val="0"/>
        <w:spacing w:before="40" w:after="40"/>
        <w:ind w:left="40" w:right="40"/>
        <w:jc w:val="left"/>
        <w:rPr/>
      </w:pPr>
      <w:r>
        <w:rPr>
          <w:rStyle w:val="Strong"/>
        </w:rPr>
        <w:t>Project Supervisor:</w:t>
      </w:r>
      <w:r>
        <w:rPr/>
        <w:t xml:space="preserve"> Dr. Jamal ud Din</w:t>
      </w:r>
    </w:p>
    <w:p>
      <w:pPr>
        <w:pStyle w:val="BodyTextmeta"/>
        <w:bidi w:val="0"/>
        <w:spacing w:before="40" w:after="40"/>
        <w:ind w:left="40" w:right="40"/>
        <w:jc w:val="left"/>
        <w:rPr/>
      </w:pPr>
      <w:r>
        <w:rPr>
          <w:rStyle w:val="Strong"/>
        </w:rPr>
        <w:t>Designation:</w:t>
      </w:r>
      <w:r>
        <w:rPr/>
        <w:t xml:space="preserve"> HOD (BSDS, BSAI)</w:t>
      </w:r>
    </w:p>
    <w:p>
      <w:pPr>
        <w:pStyle w:val="BodyTextmeta"/>
        <w:bidi w:val="0"/>
        <w:spacing w:before="40" w:after="40"/>
        <w:ind w:left="40" w:right="40"/>
        <w:jc w:val="left"/>
        <w:rPr/>
      </w:pPr>
      <w:r>
        <w:rPr>
          <w:rStyle w:val="Strong"/>
        </w:rPr>
        <w:t>Co-Supervisor:</w:t>
      </w:r>
      <w:r>
        <w:rPr/>
        <w:t xml:space="preserve"> [TO BE CONFIRMED — biology / pharmacy / bioinformatics co-advisor recommended]</w:t>
      </w:r>
    </w:p>
    <w:p>
      <w:pPr>
        <w:pStyle w:val="BodyTextmeta"/>
        <w:bidi w:val="0"/>
        <w:spacing w:before="40" w:after="40"/>
        <w:ind w:left="40" w:right="40"/>
        <w:jc w:val="left"/>
        <w:rPr/>
      </w:pPr>
      <w:r>
        <w:rPr>
          <w:rStyle w:val="Strong"/>
        </w:rPr>
        <w:t>Industry Advisor:</w:t>
      </w:r>
      <w:r>
        <w:rPr/>
        <w:t xml:space="preserve"> [If applicable — leave blank if none]</w:t>
      </w:r>
    </w:p>
    <w:p>
      <w:pPr>
        <w:pStyle w:val="Heading2"/>
        <w:keepNext w:val="true"/>
        <w:numPr>
          <w:ilvl w:val="0"/>
          <w:numId w:val="0"/>
        </w:numPr>
        <w:bidi w:val="0"/>
        <w:spacing w:before="280" w:after="120"/>
        <w:ind w:left="280" w:right="280"/>
        <w:jc w:val="left"/>
        <w:rPr/>
      </w:pPr>
      <w:r>
        <w:rPr/>
        <w:t>Change Record</w:t>
      </w:r>
    </w:p>
    <w:tbl>
      <w:tblPr>
        <w:tblW w:w="9026" w:type="dxa"/>
        <w:jc w:val="left"/>
        <w:tblInd w:w="0" w:type="dxa"/>
        <w:tblLayout w:type="fixed"/>
        <w:tblCellMar>
          <w:top w:w="28" w:type="dxa"/>
          <w:left w:w="28" w:type="dxa"/>
          <w:bottom w:w="28" w:type="dxa"/>
          <w:right w:w="28" w:type="dxa"/>
        </w:tblCellMar>
      </w:tblPr>
      <w:tblGrid>
        <w:gridCol w:w="1937"/>
        <w:gridCol w:w="1006"/>
        <w:gridCol w:w="987"/>
        <w:gridCol w:w="2970"/>
        <w:gridCol w:w="2126"/>
      </w:tblGrid>
      <w:tr>
        <w:trPr/>
        <w:tc>
          <w:tcPr>
            <w:tcW w:w="1937" w:type="dxa"/>
            <w:tcBorders/>
            <w:vAlign w:val="center"/>
          </w:tcPr>
          <w:p>
            <w:pPr>
              <w:pStyle w:val="TableHeading"/>
              <w:suppressLineNumbers/>
              <w:bidi w:val="0"/>
              <w:spacing w:before="0" w:after="160"/>
              <w:jc w:val="left"/>
              <w:rPr/>
            </w:pPr>
            <w:r>
              <w:rPr/>
              <w:t>Author(s)</w:t>
            </w:r>
          </w:p>
        </w:tc>
        <w:tc>
          <w:tcPr>
            <w:tcW w:w="1006" w:type="dxa"/>
            <w:tcBorders/>
            <w:vAlign w:val="center"/>
          </w:tcPr>
          <w:p>
            <w:pPr>
              <w:pStyle w:val="TableHeading"/>
              <w:suppressLineNumbers/>
              <w:bidi w:val="0"/>
              <w:spacing w:before="0" w:after="160"/>
              <w:jc w:val="left"/>
              <w:rPr/>
            </w:pPr>
            <w:r>
              <w:rPr/>
              <w:t>Version</w:t>
            </w:r>
          </w:p>
        </w:tc>
        <w:tc>
          <w:tcPr>
            <w:tcW w:w="987" w:type="dxa"/>
            <w:tcBorders/>
            <w:vAlign w:val="center"/>
          </w:tcPr>
          <w:p>
            <w:pPr>
              <w:pStyle w:val="TableHeading"/>
              <w:suppressLineNumbers/>
              <w:bidi w:val="0"/>
              <w:spacing w:before="0" w:after="160"/>
              <w:jc w:val="left"/>
              <w:rPr/>
            </w:pPr>
            <w:r>
              <w:rPr/>
              <w:t>Date</w:t>
            </w:r>
          </w:p>
        </w:tc>
        <w:tc>
          <w:tcPr>
            <w:tcW w:w="2970" w:type="dxa"/>
            <w:tcBorders/>
            <w:vAlign w:val="center"/>
          </w:tcPr>
          <w:p>
            <w:pPr>
              <w:pStyle w:val="TableHeading"/>
              <w:suppressLineNumbers/>
              <w:bidi w:val="0"/>
              <w:spacing w:before="0" w:after="160"/>
              <w:jc w:val="left"/>
              <w:rPr/>
            </w:pPr>
            <w:r>
              <w:rPr/>
              <w:t>Notes</w:t>
            </w:r>
          </w:p>
        </w:tc>
        <w:tc>
          <w:tcPr>
            <w:tcW w:w="2126" w:type="dxa"/>
            <w:tcBorders/>
            <w:vAlign w:val="center"/>
          </w:tcPr>
          <w:p>
            <w:pPr>
              <w:pStyle w:val="TableHeading"/>
              <w:suppressLineNumbers/>
              <w:bidi w:val="0"/>
              <w:spacing w:before="0" w:after="160"/>
              <w:jc w:val="left"/>
              <w:rPr/>
            </w:pPr>
            <w:r>
              <w:rPr/>
              <w:t>Supervisor’s Signature</w:t>
            </w:r>
          </w:p>
        </w:tc>
      </w:tr>
      <w:tr>
        <w:trPr/>
        <w:tc>
          <w:tcPr>
            <w:tcW w:w="1937" w:type="dxa"/>
            <w:tcBorders/>
            <w:vAlign w:val="center"/>
          </w:tcPr>
          <w:p>
            <w:pPr>
              <w:pStyle w:val="TableContents"/>
              <w:bidi w:val="0"/>
              <w:spacing w:before="0" w:after="160"/>
              <w:jc w:val="left"/>
              <w:rPr/>
            </w:pPr>
            <w:r>
              <w:rPr/>
              <w:t>Zeeshan Jamal, Arfa Khalid</w:t>
            </w:r>
          </w:p>
        </w:tc>
        <w:tc>
          <w:tcPr>
            <w:tcW w:w="1006" w:type="dxa"/>
            <w:tcBorders/>
            <w:vAlign w:val="center"/>
          </w:tcPr>
          <w:p>
            <w:pPr>
              <w:pStyle w:val="TableContents"/>
              <w:bidi w:val="0"/>
              <w:spacing w:before="0" w:after="160"/>
              <w:jc w:val="left"/>
              <w:rPr/>
            </w:pPr>
            <w:r>
              <w:rPr/>
              <w:t>1.0</w:t>
            </w:r>
          </w:p>
        </w:tc>
        <w:tc>
          <w:tcPr>
            <w:tcW w:w="987" w:type="dxa"/>
            <w:tcBorders/>
            <w:vAlign w:val="center"/>
          </w:tcPr>
          <w:p>
            <w:pPr>
              <w:pStyle w:val="TableContents"/>
              <w:bidi w:val="0"/>
              <w:spacing w:before="0" w:after="160"/>
              <w:jc w:val="left"/>
              <w:rPr/>
            </w:pPr>
            <w:r>
              <w:rPr/>
              <w:t>2026-09-08</w:t>
            </w:r>
          </w:p>
        </w:tc>
        <w:tc>
          <w:tcPr>
            <w:tcW w:w="2970" w:type="dxa"/>
            <w:tcBorders/>
            <w:vAlign w:val="center"/>
          </w:tcPr>
          <w:p>
            <w:pPr>
              <w:pStyle w:val="TableContents"/>
              <w:bidi w:val="0"/>
              <w:spacing w:before="0" w:after="160"/>
              <w:jc w:val="left"/>
              <w:rPr/>
            </w:pPr>
            <w:r>
              <w:rPr/>
              <w:t>Original Draft</w:t>
            </w:r>
          </w:p>
        </w:tc>
        <w:tc>
          <w:tcPr>
            <w:tcW w:w="2126" w:type="dxa"/>
            <w:tcBorders/>
            <w:vAlign w:val="center"/>
          </w:tcPr>
          <w:p>
            <w:pPr>
              <w:pStyle w:val="TableContents"/>
              <w:bidi w:val="0"/>
              <w:spacing w:before="0" w:after="160"/>
              <w:jc w:val="left"/>
              <w:rPr>
                <w:sz w:val="4"/>
                <w:szCs w:val="4"/>
              </w:rPr>
            </w:pPr>
            <w:r>
              <w:rPr>
                <w:sz w:val="4"/>
                <w:szCs w:val="4"/>
              </w:rPr>
            </w:r>
          </w:p>
        </w:tc>
      </w:tr>
      <w:tr>
        <w:trPr/>
        <w:tc>
          <w:tcPr>
            <w:tcW w:w="1937" w:type="dxa"/>
            <w:tcBorders/>
            <w:vAlign w:val="center"/>
          </w:tcPr>
          <w:p>
            <w:pPr>
              <w:pStyle w:val="TableContents"/>
              <w:bidi w:val="0"/>
              <w:spacing w:before="0" w:after="160"/>
              <w:jc w:val="left"/>
              <w:rPr>
                <w:sz w:val="4"/>
                <w:szCs w:val="4"/>
              </w:rPr>
            </w:pPr>
            <w:r>
              <w:rPr>
                <w:sz w:val="4"/>
                <w:szCs w:val="4"/>
              </w:rPr>
            </w:r>
          </w:p>
        </w:tc>
        <w:tc>
          <w:tcPr>
            <w:tcW w:w="1006" w:type="dxa"/>
            <w:tcBorders/>
            <w:vAlign w:val="center"/>
          </w:tcPr>
          <w:p>
            <w:pPr>
              <w:pStyle w:val="TableContents"/>
              <w:bidi w:val="0"/>
              <w:spacing w:before="0" w:after="160"/>
              <w:jc w:val="left"/>
              <w:rPr>
                <w:sz w:val="4"/>
                <w:szCs w:val="4"/>
              </w:rPr>
            </w:pPr>
            <w:r>
              <w:rPr>
                <w:sz w:val="4"/>
                <w:szCs w:val="4"/>
              </w:rPr>
            </w:r>
          </w:p>
        </w:tc>
        <w:tc>
          <w:tcPr>
            <w:tcW w:w="987" w:type="dxa"/>
            <w:tcBorders/>
            <w:vAlign w:val="center"/>
          </w:tcPr>
          <w:p>
            <w:pPr>
              <w:pStyle w:val="TableContents"/>
              <w:bidi w:val="0"/>
              <w:spacing w:before="0" w:after="160"/>
              <w:jc w:val="left"/>
              <w:rPr>
                <w:sz w:val="4"/>
                <w:szCs w:val="4"/>
              </w:rPr>
            </w:pPr>
            <w:r>
              <w:rPr>
                <w:sz w:val="4"/>
                <w:szCs w:val="4"/>
              </w:rPr>
            </w:r>
          </w:p>
        </w:tc>
        <w:tc>
          <w:tcPr>
            <w:tcW w:w="2970" w:type="dxa"/>
            <w:tcBorders/>
            <w:vAlign w:val="center"/>
          </w:tcPr>
          <w:p>
            <w:pPr>
              <w:pStyle w:val="TableContents"/>
              <w:bidi w:val="0"/>
              <w:spacing w:before="0" w:after="160"/>
              <w:jc w:val="left"/>
              <w:rPr/>
            </w:pPr>
            <w:r>
              <w:rPr/>
              <w:t>Changes Based on Feedback from Supervisor</w:t>
            </w:r>
          </w:p>
        </w:tc>
        <w:tc>
          <w:tcPr>
            <w:tcW w:w="2126" w:type="dxa"/>
            <w:tcBorders/>
            <w:vAlign w:val="center"/>
          </w:tcPr>
          <w:p>
            <w:pPr>
              <w:pStyle w:val="TableContents"/>
              <w:bidi w:val="0"/>
              <w:spacing w:before="0" w:after="160"/>
              <w:jc w:val="left"/>
              <w:rPr>
                <w:sz w:val="4"/>
                <w:szCs w:val="4"/>
              </w:rPr>
            </w:pPr>
            <w:r>
              <w:rPr>
                <w:sz w:val="4"/>
                <w:szCs w:val="4"/>
              </w:rPr>
            </w:r>
          </w:p>
        </w:tc>
      </w:tr>
      <w:tr>
        <w:trPr/>
        <w:tc>
          <w:tcPr>
            <w:tcW w:w="1937" w:type="dxa"/>
            <w:tcBorders/>
            <w:vAlign w:val="center"/>
          </w:tcPr>
          <w:p>
            <w:pPr>
              <w:pStyle w:val="TableContents"/>
              <w:bidi w:val="0"/>
              <w:spacing w:before="0" w:after="160"/>
              <w:jc w:val="left"/>
              <w:rPr>
                <w:sz w:val="4"/>
                <w:szCs w:val="4"/>
              </w:rPr>
            </w:pPr>
            <w:r>
              <w:rPr>
                <w:sz w:val="4"/>
                <w:szCs w:val="4"/>
              </w:rPr>
            </w:r>
          </w:p>
        </w:tc>
        <w:tc>
          <w:tcPr>
            <w:tcW w:w="1006" w:type="dxa"/>
            <w:tcBorders/>
            <w:vAlign w:val="center"/>
          </w:tcPr>
          <w:p>
            <w:pPr>
              <w:pStyle w:val="TableContents"/>
              <w:bidi w:val="0"/>
              <w:spacing w:before="0" w:after="160"/>
              <w:jc w:val="left"/>
              <w:rPr>
                <w:sz w:val="4"/>
                <w:szCs w:val="4"/>
              </w:rPr>
            </w:pPr>
            <w:r>
              <w:rPr>
                <w:sz w:val="4"/>
                <w:szCs w:val="4"/>
              </w:rPr>
            </w:r>
          </w:p>
        </w:tc>
        <w:tc>
          <w:tcPr>
            <w:tcW w:w="987" w:type="dxa"/>
            <w:tcBorders/>
            <w:vAlign w:val="center"/>
          </w:tcPr>
          <w:p>
            <w:pPr>
              <w:pStyle w:val="TableContents"/>
              <w:bidi w:val="0"/>
              <w:spacing w:before="0" w:after="160"/>
              <w:jc w:val="left"/>
              <w:rPr>
                <w:sz w:val="4"/>
                <w:szCs w:val="4"/>
              </w:rPr>
            </w:pPr>
            <w:r>
              <w:rPr>
                <w:sz w:val="4"/>
                <w:szCs w:val="4"/>
              </w:rPr>
            </w:r>
          </w:p>
        </w:tc>
        <w:tc>
          <w:tcPr>
            <w:tcW w:w="2970" w:type="dxa"/>
            <w:tcBorders/>
            <w:vAlign w:val="center"/>
          </w:tcPr>
          <w:p>
            <w:pPr>
              <w:pStyle w:val="TableContents"/>
              <w:bidi w:val="0"/>
              <w:spacing w:before="0" w:after="160"/>
              <w:jc w:val="left"/>
              <w:rPr/>
            </w:pPr>
            <w:r>
              <w:rPr/>
              <w:t>Changes Based on Feedback From Faculty</w:t>
            </w:r>
          </w:p>
        </w:tc>
        <w:tc>
          <w:tcPr>
            <w:tcW w:w="2126" w:type="dxa"/>
            <w:tcBorders/>
            <w:vAlign w:val="center"/>
          </w:tcPr>
          <w:p>
            <w:pPr>
              <w:pStyle w:val="TableContents"/>
              <w:bidi w:val="0"/>
              <w:spacing w:before="0" w:after="160"/>
              <w:jc w:val="left"/>
              <w:rPr>
                <w:sz w:val="4"/>
                <w:szCs w:val="4"/>
              </w:rPr>
            </w:pPr>
            <w:r>
              <w:rPr>
                <w:sz w:val="4"/>
                <w:szCs w:val="4"/>
              </w:rPr>
            </w:r>
          </w:p>
        </w:tc>
      </w:tr>
      <w:tr>
        <w:trPr/>
        <w:tc>
          <w:tcPr>
            <w:tcW w:w="1937" w:type="dxa"/>
            <w:tcBorders/>
            <w:vAlign w:val="center"/>
          </w:tcPr>
          <w:p>
            <w:pPr>
              <w:pStyle w:val="TableContents"/>
              <w:bidi w:val="0"/>
              <w:spacing w:before="0" w:after="160"/>
              <w:jc w:val="left"/>
              <w:rPr>
                <w:sz w:val="4"/>
                <w:szCs w:val="4"/>
              </w:rPr>
            </w:pPr>
            <w:r>
              <w:rPr>
                <w:sz w:val="4"/>
                <w:szCs w:val="4"/>
              </w:rPr>
            </w:r>
          </w:p>
        </w:tc>
        <w:tc>
          <w:tcPr>
            <w:tcW w:w="1006" w:type="dxa"/>
            <w:tcBorders/>
            <w:vAlign w:val="center"/>
          </w:tcPr>
          <w:p>
            <w:pPr>
              <w:pStyle w:val="TableContents"/>
              <w:bidi w:val="0"/>
              <w:spacing w:before="0" w:after="160"/>
              <w:jc w:val="left"/>
              <w:rPr>
                <w:sz w:val="4"/>
                <w:szCs w:val="4"/>
              </w:rPr>
            </w:pPr>
            <w:r>
              <w:rPr>
                <w:sz w:val="4"/>
                <w:szCs w:val="4"/>
              </w:rPr>
            </w:r>
          </w:p>
        </w:tc>
        <w:tc>
          <w:tcPr>
            <w:tcW w:w="987" w:type="dxa"/>
            <w:tcBorders/>
            <w:vAlign w:val="center"/>
          </w:tcPr>
          <w:p>
            <w:pPr>
              <w:pStyle w:val="TableContents"/>
              <w:bidi w:val="0"/>
              <w:spacing w:before="0" w:after="160"/>
              <w:jc w:val="left"/>
              <w:rPr>
                <w:sz w:val="4"/>
                <w:szCs w:val="4"/>
              </w:rPr>
            </w:pPr>
            <w:r>
              <w:rPr>
                <w:sz w:val="4"/>
                <w:szCs w:val="4"/>
              </w:rPr>
            </w:r>
          </w:p>
        </w:tc>
        <w:tc>
          <w:tcPr>
            <w:tcW w:w="2970" w:type="dxa"/>
            <w:tcBorders/>
            <w:vAlign w:val="center"/>
          </w:tcPr>
          <w:p>
            <w:pPr>
              <w:pStyle w:val="TableContents"/>
              <w:bidi w:val="0"/>
              <w:spacing w:before="0" w:after="160"/>
              <w:jc w:val="left"/>
              <w:rPr/>
            </w:pPr>
            <w:r>
              <w:rPr/>
              <w:t>Added Project Plan</w:t>
            </w:r>
          </w:p>
        </w:tc>
        <w:tc>
          <w:tcPr>
            <w:tcW w:w="2126" w:type="dxa"/>
            <w:tcBorders/>
            <w:vAlign w:val="center"/>
          </w:tcPr>
          <w:p>
            <w:pPr>
              <w:pStyle w:val="TableContents"/>
              <w:bidi w:val="0"/>
              <w:spacing w:before="0" w:after="160"/>
              <w:jc w:val="left"/>
              <w:rPr>
                <w:sz w:val="4"/>
                <w:szCs w:val="4"/>
              </w:rPr>
            </w:pPr>
            <w:r>
              <w:rPr>
                <w:sz w:val="4"/>
                <w:szCs w:val="4"/>
              </w:rPr>
            </w:r>
          </w:p>
        </w:tc>
      </w:tr>
      <w:tr>
        <w:trPr/>
        <w:tc>
          <w:tcPr>
            <w:tcW w:w="1937" w:type="dxa"/>
            <w:tcBorders/>
            <w:vAlign w:val="center"/>
          </w:tcPr>
          <w:p>
            <w:pPr>
              <w:pStyle w:val="TableContents"/>
              <w:bidi w:val="0"/>
              <w:spacing w:before="0" w:after="160"/>
              <w:jc w:val="left"/>
              <w:rPr>
                <w:sz w:val="4"/>
                <w:szCs w:val="4"/>
              </w:rPr>
            </w:pPr>
            <w:r>
              <w:rPr>
                <w:sz w:val="4"/>
                <w:szCs w:val="4"/>
              </w:rPr>
            </w:r>
          </w:p>
        </w:tc>
        <w:tc>
          <w:tcPr>
            <w:tcW w:w="1006" w:type="dxa"/>
            <w:tcBorders/>
            <w:vAlign w:val="center"/>
          </w:tcPr>
          <w:p>
            <w:pPr>
              <w:pStyle w:val="TableContents"/>
              <w:bidi w:val="0"/>
              <w:spacing w:before="0" w:after="160"/>
              <w:jc w:val="left"/>
              <w:rPr>
                <w:sz w:val="4"/>
                <w:szCs w:val="4"/>
              </w:rPr>
            </w:pPr>
            <w:r>
              <w:rPr>
                <w:sz w:val="4"/>
                <w:szCs w:val="4"/>
              </w:rPr>
            </w:r>
          </w:p>
        </w:tc>
        <w:tc>
          <w:tcPr>
            <w:tcW w:w="987" w:type="dxa"/>
            <w:tcBorders/>
            <w:vAlign w:val="center"/>
          </w:tcPr>
          <w:p>
            <w:pPr>
              <w:pStyle w:val="TableContents"/>
              <w:bidi w:val="0"/>
              <w:spacing w:before="0" w:after="160"/>
              <w:jc w:val="left"/>
              <w:rPr>
                <w:sz w:val="4"/>
                <w:szCs w:val="4"/>
              </w:rPr>
            </w:pPr>
            <w:r>
              <w:rPr>
                <w:sz w:val="4"/>
                <w:szCs w:val="4"/>
              </w:rPr>
            </w:r>
          </w:p>
        </w:tc>
        <w:tc>
          <w:tcPr>
            <w:tcW w:w="2970" w:type="dxa"/>
            <w:tcBorders/>
            <w:vAlign w:val="center"/>
          </w:tcPr>
          <w:p>
            <w:pPr>
              <w:pStyle w:val="TableContents"/>
              <w:bidi w:val="0"/>
              <w:spacing w:before="0" w:after="160"/>
              <w:jc w:val="left"/>
              <w:rPr/>
            </w:pPr>
            <w:r>
              <w:rPr/>
              <w:t>Changes Based on Feedback from Supervisor</w:t>
            </w:r>
          </w:p>
        </w:tc>
        <w:tc>
          <w:tcPr>
            <w:tcW w:w="2126" w:type="dxa"/>
            <w:tcBorders/>
            <w:vAlign w:val="center"/>
          </w:tcPr>
          <w:p>
            <w:pPr>
              <w:pStyle w:val="TableContents"/>
              <w:bidi w:val="0"/>
              <w:spacing w:before="0" w:after="160"/>
              <w:jc w:val="left"/>
              <w:rPr>
                <w:sz w:val="4"/>
                <w:szCs w:val="4"/>
              </w:rPr>
            </w:pPr>
            <w:r>
              <w:rPr>
                <w:sz w:val="4"/>
                <w:szCs w:val="4"/>
              </w:rPr>
            </w:r>
          </w:p>
        </w:tc>
      </w:tr>
    </w:tbl>
    <w:p>
      <w:pPr>
        <w:pStyle w:val="Heading1"/>
        <w:bidi w:val="0"/>
        <w:ind w:hanging="0" w:left="0" w:right="0"/>
        <w:jc w:val="left"/>
        <w:rPr/>
      </w:pPr>
      <w:r>
        <w:rPr/>
        <w:t>Project Proposal</w:t>
      </w:r>
    </w:p>
    <w:p>
      <w:pPr>
        <w:pStyle w:val="Heading2"/>
        <w:keepNext w:val="true"/>
        <w:numPr>
          <w:ilvl w:val="0"/>
          <w:numId w:val="0"/>
        </w:numPr>
        <w:bidi w:val="0"/>
        <w:spacing w:before="280" w:after="120"/>
        <w:ind w:left="280" w:right="280"/>
        <w:jc w:val="left"/>
        <w:rPr/>
      </w:pPr>
      <w:r>
        <w:rPr/>
        <w:t>Project Title</w:t>
      </w:r>
    </w:p>
    <w:p>
      <w:pPr>
        <w:pStyle w:val="BodyText"/>
        <w:bidi w:val="0"/>
        <w:ind w:hanging="0" w:left="0" w:right="0"/>
        <w:rPr>
          <w:b/>
          <w:sz w:val="28"/>
        </w:rPr>
      </w:pPr>
      <w:r>
        <w:rPr>
          <w:b/>
          <w:sz w:val="28"/>
        </w:rPr>
        <w:t>AI-Based Autonomous Literature Discovery Engine for Drug Repurposing</w:t>
      </w:r>
    </w:p>
    <w:p>
      <w:pPr>
        <w:pStyle w:val="BodyText"/>
        <w:bidi w:val="0"/>
        <w:spacing w:before="0" w:after="160"/>
        <w:jc w:val="both"/>
        <w:rPr/>
      </w:pPr>
      <w:r>
        <w:rPr>
          <w:rStyle w:val="Emphasis"/>
        </w:rPr>
        <w:t>Technical focus: biomedical knowledge graphs, Graph Neural Networks (GNNs) for drug–disease link prediction, Large Language Models with Retrieval-Augmented Generation (RAG) for evidence-backed explanation, and sandboxed computational molecular docking for pre-clinical hypothesis prioritization.</w:t>
      </w:r>
    </w:p>
    <w:p>
      <w:pPr>
        <w:pStyle w:val="Heading2"/>
        <w:keepNext w:val="true"/>
        <w:numPr>
          <w:ilvl w:val="0"/>
          <w:numId w:val="0"/>
        </w:numPr>
        <w:bidi w:val="0"/>
        <w:spacing w:before="280" w:after="120"/>
        <w:ind w:left="280" w:right="280"/>
        <w:jc w:val="left"/>
        <w:rPr/>
      </w:pPr>
      <w:r>
        <w:rPr/>
        <w:t>1. Executive Summary</w:t>
      </w:r>
    </w:p>
    <w:p>
      <w:pPr>
        <w:pStyle w:val="BodyText"/>
        <w:bidi w:val="0"/>
        <w:spacing w:before="0" w:after="160"/>
        <w:jc w:val="both"/>
        <w:rPr/>
      </w:pPr>
      <w:r>
        <w:rPr/>
        <w:t xml:space="preserve">This Final Year Project proposes an integrated research-and-engineering system that generates </w:t>
      </w:r>
      <w:r>
        <w:rPr>
          <w:rStyle w:val="Strong"/>
        </w:rPr>
        <w:t>computationally supported drug-repurposing hypotheses</w:t>
      </w:r>
      <w:r>
        <w:rPr/>
        <w:t xml:space="preserve"> from biomedical knowledge, rather than discovering new molecular entities or claiming clinical cures. Traditional de novo drug development routinely exceeds a decade and has been estimated at approximately </w:t>
      </w:r>
      <w:r>
        <w:rPr>
          <w:rStyle w:val="Strong"/>
        </w:rPr>
        <w:t>USD 2.6 billion</w:t>
      </w:r>
      <w:r>
        <w:rPr/>
        <w:t xml:space="preserve"> (capitalized pre-approval cost, 2013 USD) per approved compound [1]. Drug repurposing reduces that burden by seeking new indications for already-approved drugs with known safety profiles, but the evidence needed to prioritize candidates is fragmented across curated databases and millions of PubMed records.</w:t>
      </w:r>
    </w:p>
    <w:p>
      <w:pPr>
        <w:pStyle w:val="BodyText"/>
        <w:bidi w:val="0"/>
        <w:spacing w:before="0" w:after="160"/>
        <w:jc w:val="both"/>
        <w:rPr/>
      </w:pPr>
      <w:r>
        <w:rPr/>
        <w:t xml:space="preserve">Existing approaches each solve only part of the problem. Classic Literature-Based Discovery (LBD) methods (e.g., Arrowsmith-style ABC co-occurrence) lack modern semantic and multi-hop graph reasoning [2]. Curated biomedical knowledge graphs such as </w:t>
      </w:r>
      <w:r>
        <w:rPr>
          <w:rStyle w:val="Strong"/>
        </w:rPr>
        <w:t>Hetionet</w:t>
      </w:r>
      <w:r>
        <w:rPr/>
        <w:t xml:space="preserve"> [3] and </w:t>
      </w:r>
      <w:r>
        <w:rPr>
          <w:rStyle w:val="Strong"/>
        </w:rPr>
        <w:t>PrimeKG</w:t>
      </w:r>
      <w:r>
        <w:rPr/>
        <w:t xml:space="preserve"> [4] enable structured prediction but are </w:t>
      </w:r>
      <w:r>
        <w:rPr>
          <w:rStyle w:val="Strong"/>
        </w:rPr>
        <w:t>static snapshots</w:t>
      </w:r>
      <w:r>
        <w:rPr/>
        <w:t xml:space="preserve"> and do not, by themselves, retrieve fresh literature evidence or run physical-plausibility checks. Graph foundation models such as </w:t>
      </w:r>
      <w:r>
        <w:rPr>
          <w:rStyle w:val="Strong"/>
        </w:rPr>
        <w:t>TxGNN</w:t>
      </w:r>
      <w:r>
        <w:rPr/>
        <w:t xml:space="preserve"> demonstrate strong zero-shot indication/contraindication ranking on medical knowledge graphs [5], yet they are not packaged as a closed-loop student-deployable pipeline that pairs predictions with PubMed-cited explanations, docking scores, and downloadable dossiers. AI literature tools (e.g., abstract search/summarization products) remain largely </w:t>
      </w:r>
      <w:r>
        <w:rPr>
          <w:rStyle w:val="Strong"/>
        </w:rPr>
        <w:t>passive</w:t>
      </w:r>
      <w:r>
        <w:rPr/>
        <w:t>: they retrieve or summarize text but do not maintain a predictive graph layer or computational binding evaluation.</w:t>
      </w:r>
    </w:p>
    <w:p>
      <w:pPr>
        <w:pStyle w:val="BodyText"/>
        <w:bidi w:val="0"/>
        <w:spacing w:before="0" w:after="160"/>
        <w:jc w:val="both"/>
        <w:rPr/>
      </w:pPr>
      <w:r>
        <w:rPr>
          <w:rStyle w:val="Strong"/>
        </w:rPr>
        <w:t>Research problem.</w:t>
      </w:r>
      <w:r>
        <w:rPr/>
        <w:t xml:space="preserve"> Can an integrated pipeline that (i) performs GNN-based drug–disease link prediction on a public biomedical knowledge graph, (ii) retrieves and cites PubMed/PMC evidence via RAG, (iii) optionally enriches the graph with a </w:t>
      </w:r>
      <w:r>
        <w:rPr>
          <w:rStyle w:val="Strong"/>
        </w:rPr>
        <w:t>bounded</w:t>
      </w:r>
      <w:r>
        <w:rPr/>
        <w:t xml:space="preserve"> literature-extraction corpus, and (iv) computationally docks only top-ranked candidates, produce ranked, explainable, and computationally screened repurposing hypotheses that outperform isolated baselines on held-out link-prediction metrics and qualitative case studies?</w:t>
      </w:r>
    </w:p>
    <w:p>
      <w:pPr>
        <w:pStyle w:val="BodyText"/>
        <w:bidi w:val="0"/>
        <w:spacing w:before="0" w:after="160"/>
        <w:jc w:val="both"/>
        <w:rPr/>
      </w:pPr>
      <w:r>
        <w:rPr>
          <w:rStyle w:val="Strong"/>
        </w:rPr>
        <w:t>Theoretical / methodological framework.</w:t>
      </w:r>
      <w:r>
        <w:rPr/>
        <w:t xml:space="preserve"> The work combines heterogeneous knowledge-graph link prediction (relational GNN / graph neural architectures), retrieval-augmented generation for grounded explanation, and in-silico molecular docking (AutoDock Vina) [6] as a </w:t>
      </w:r>
      <w:r>
        <w:rPr>
          <w:rStyle w:val="Strong"/>
        </w:rPr>
        <w:t>computational sanity check</w:t>
      </w:r>
      <w:r>
        <w:rPr/>
        <w:t>—not clinical proof.</w:t>
      </w:r>
    </w:p>
    <w:p>
      <w:pPr>
        <w:pStyle w:val="BodyText"/>
        <w:bidi w:val="0"/>
        <w:spacing w:before="0" w:after="160"/>
        <w:jc w:val="both"/>
        <w:rPr/>
      </w:pPr>
      <w:r>
        <w:rPr>
          <w:rStyle w:val="Strong"/>
        </w:rPr>
        <w:t>Datasets and experiments.</w:t>
      </w:r>
      <w:r>
        <w:rPr/>
        <w:t xml:space="preserve"> Primary graph: </w:t>
      </w:r>
      <w:r>
        <w:rPr>
          <w:rStyle w:val="Strong"/>
        </w:rPr>
        <w:t>PrimeKG</w:t>
      </w:r>
      <w:r>
        <w:rPr/>
        <w:t xml:space="preserve"> (≈129k nodes, ≈4.05M relationships across 20 resources; disease-centric multimodal KG) [4]. Evaluation: held-out drug–disease indication edges using ranking metrics (AUROC, AUPRC, MRR / Hits@K), comparison against non-GNN baselines, recovery of known repurposing case studies, and ablation of RAG grounding vs. ungrounded LLM text. Optional enrichment: NER/relation extraction on a </w:t>
      </w:r>
      <w:r>
        <w:rPr>
          <w:rStyle w:val="Strong"/>
        </w:rPr>
        <w:t>capped</w:t>
      </w:r>
      <w:r>
        <w:rPr/>
        <w:t xml:space="preserve"> PubMed abstract set (one therapeutic area; target order </w:t>
      </w:r>
      <w:r>
        <w:rPr>
          <w:rStyle w:val="Strong"/>
        </w:rPr>
        <w:t>500–2,000</w:t>
      </w:r>
      <w:r>
        <w:rPr/>
        <w:t xml:space="preserve"> abstracts)—not full-scale PubMed ingestion.</w:t>
      </w:r>
    </w:p>
    <w:p>
      <w:pPr>
        <w:pStyle w:val="BodyText"/>
        <w:bidi w:val="0"/>
        <w:spacing w:before="0" w:after="160"/>
        <w:jc w:val="both"/>
        <w:rPr/>
      </w:pPr>
      <w:r>
        <w:rPr>
          <w:rStyle w:val="Strong"/>
        </w:rPr>
        <w:t>Scope boundary (critical).</w:t>
      </w:r>
      <w:r>
        <w:rPr/>
        <w:t xml:space="preserve"> We </w:t>
      </w:r>
      <w:r>
        <w:rPr>
          <w:rStyle w:val="Strong"/>
        </w:rPr>
        <w:t>do not</w:t>
      </w:r>
      <w:r>
        <w:rPr/>
        <w:t xml:space="preserve"> rebuild PrimeKG from scratch and </w:t>
      </w:r>
      <w:r>
        <w:rPr>
          <w:rStyle w:val="Strong"/>
        </w:rPr>
        <w:t>do not</w:t>
      </w:r>
      <w:r>
        <w:rPr/>
        <w:t xml:space="preserve"> claim continuous worldwide literature ingestion. Timeliness of evidence is handled primarily by </w:t>
      </w:r>
      <w:r>
        <w:rPr>
          <w:rStyle w:val="Strong"/>
        </w:rPr>
        <w:t>query-time RAG</w:t>
      </w:r>
      <w:r>
        <w:rPr/>
        <w:t xml:space="preserve"> over NCBI PubMed abstracts (and PMC Open Access full text when available). Focused graph enrichment is a </w:t>
      </w:r>
      <w:r>
        <w:rPr>
          <w:rStyle w:val="Strong"/>
        </w:rPr>
        <w:t>Semester-2 / stretch</w:t>
      </w:r>
      <w:r>
        <w:rPr/>
        <w:t xml:space="preserve"> contribution under strict volume and domain caps. Outputs are </w:t>
      </w:r>
      <w:r>
        <w:rPr>
          <w:rStyle w:val="Strong"/>
        </w:rPr>
        <w:t>pre-clinical research hypotheses</w:t>
      </w:r>
      <w:r>
        <w:rPr/>
        <w:t xml:space="preserve"> for further laboratory investigation.</w:t>
      </w:r>
    </w:p>
    <w:p>
      <w:pPr>
        <w:pStyle w:val="BodyText"/>
        <w:bidi w:val="0"/>
        <w:spacing w:before="0" w:after="160"/>
        <w:jc w:val="both"/>
        <w:rPr/>
      </w:pPr>
      <w:r>
        <w:rPr>
          <w:rStyle w:val="Strong"/>
        </w:rPr>
        <w:t>Deliverables.</w:t>
      </w:r>
      <w:r>
        <w:rPr/>
        <w:t xml:space="preserve"> (1) Trained link-prediction model and evaluation report; (2) RAG explanation module with PMID citations; (3) Docker-sandboxed AutoDock Vina docking for top-N candidates; (4) Streamlit dashboard; (5) LaTeX/PDF “Pre-clinical Repurposing Dossier”; (6) safety/ADME flagging layer (rule-based first; LLM-assisted where reliable). Academic impact: a reproducible, end-to-end methodology for hypothesis prioritization that bridges structural graph learning and literature-grounded explanation under realistic FYP constraints.</w:t>
      </w:r>
    </w:p>
    <w:p>
      <w:pPr>
        <w:pStyle w:val="Heading2"/>
        <w:keepNext w:val="true"/>
        <w:numPr>
          <w:ilvl w:val="0"/>
          <w:numId w:val="0"/>
        </w:numPr>
        <w:bidi w:val="0"/>
        <w:spacing w:before="280" w:after="120"/>
        <w:ind w:left="280" w:right="280"/>
        <w:jc w:val="left"/>
        <w:rPr/>
      </w:pPr>
      <w:r>
        <w:rPr/>
        <w:t>2. Introduction</w:t>
      </w:r>
    </w:p>
    <w:p>
      <w:pPr>
        <w:pStyle w:val="BodyText"/>
        <w:bidi w:val="0"/>
        <w:spacing w:before="0" w:after="160"/>
        <w:jc w:val="both"/>
        <w:rPr/>
      </w:pPr>
      <w:r>
        <w:rPr/>
        <w:t>Biomedical researchers, computational biologists, and pharmacy/informatics trainees need better ways to prioritize which approved drugs might be worth investigating for a new disease indication. Every year, millions of papers describe how drugs, proteins, pathways, and diseases interconnect, yet those facts remain scattered across databases and publications. No human team can manually read and reconcile that corpus at scale.</w:t>
      </w:r>
    </w:p>
    <w:p>
      <w:pPr>
        <w:pStyle w:val="BodyText"/>
        <w:bidi w:val="0"/>
        <w:spacing w:before="0" w:after="160"/>
        <w:jc w:val="both"/>
        <w:rPr/>
      </w:pPr>
      <w:r>
        <w:rPr>
          <w:rStyle w:val="Strong"/>
        </w:rPr>
        <w:t>Drug repurposing</w:t>
      </w:r>
      <w:r>
        <w:rPr/>
        <w:t xml:space="preserve"> (finding a new therapeutic use for an existing approved drug) is attractive because safety and manufacturing knowledge already exist, shortening the path relative to de novo discovery [1],[7]. </w:t>
      </w:r>
      <w:r>
        <w:rPr>
          <w:rStyle w:val="Strong"/>
        </w:rPr>
        <w:t>Literature-Based Discovery (LBD)</w:t>
      </w:r>
      <w:r>
        <w:rPr/>
        <w:t xml:space="preserve"> formalizes the idea that relationships published in separate papers can be combined to suggest a novel scientific link (classically: if A relates to B and B relates to C, then A may relate to C) [2]. Modern practice extends this idea with </w:t>
      </w:r>
      <w:r>
        <w:rPr>
          <w:rStyle w:val="Strong"/>
        </w:rPr>
        <w:t>knowledge graphs</w:t>
      </w:r>
      <w:r>
        <w:rPr/>
        <w:t xml:space="preserve"> and machine learning.</w:t>
      </w:r>
    </w:p>
    <w:p>
      <w:pPr>
        <w:pStyle w:val="BodyText"/>
        <w:bidi w:val="0"/>
        <w:spacing w:before="0" w:after="160"/>
        <w:jc w:val="both"/>
        <w:rPr/>
      </w:pPr>
      <w:r>
        <w:rPr/>
        <w:t xml:space="preserve">This project builds an </w:t>
      </w:r>
      <w:r>
        <w:rPr>
          <w:rStyle w:val="Strong"/>
        </w:rPr>
        <w:t>autonomous literature-assisted discovery engine</w:t>
      </w:r>
      <w:r>
        <w:rPr/>
        <w:t xml:space="preserve"> for end users who are researchers and analysts—not patients and not prescribing clinicians. The system maps a user-selected disease (or drug) to a node in a biomedical knowledge graph, predicts missing drug–disease associations with a GNN, retrieves supporting abstracts via PubMed, explains multi-hop pathways with an LLM constrained to retrieved text, optionally docks the drug against intermediate protein targets using AutoDock Vina inside Docker, and exports a structured research dossier. The intended relevance is </w:t>
      </w:r>
      <w:r>
        <w:rPr>
          <w:rStyle w:val="Strong"/>
        </w:rPr>
        <w:t>hypothesis generation and prioritization</w:t>
      </w:r>
      <w:r>
        <w:rPr/>
        <w:t xml:space="preserve"> aligned with SDG 3 (health) and SDG 9 (innovation infrastructure), within a defensible two-semester BSDS FYP scope.</w:t>
      </w:r>
    </w:p>
    <w:p>
      <w:pPr>
        <w:pStyle w:val="Heading2"/>
        <w:keepNext w:val="true"/>
        <w:numPr>
          <w:ilvl w:val="0"/>
          <w:numId w:val="0"/>
        </w:numPr>
        <w:bidi w:val="0"/>
        <w:spacing w:before="280" w:after="120"/>
        <w:ind w:left="280" w:right="280"/>
        <w:jc w:val="left"/>
        <w:rPr/>
      </w:pPr>
      <w:r>
        <w:rPr/>
        <w:t>3. Existing System / Competitive Analysis</w:t>
      </w:r>
    </w:p>
    <w:p>
      <w:pPr>
        <w:pStyle w:val="Heading3"/>
        <w:keepNext w:val="true"/>
        <w:numPr>
          <w:ilvl w:val="0"/>
          <w:numId w:val="0"/>
        </w:numPr>
        <w:bidi w:val="0"/>
        <w:spacing w:before="240" w:after="80"/>
        <w:ind w:left="240" w:right="240"/>
        <w:jc w:val="left"/>
        <w:rPr/>
      </w:pPr>
      <w:r>
        <w:rPr/>
        <w:t>3.1 Literature review and gap analysis</w:t>
      </w:r>
    </w:p>
    <w:p>
      <w:pPr>
        <w:pStyle w:val="BodyText"/>
        <w:bidi w:val="0"/>
        <w:spacing w:before="0" w:after="160"/>
        <w:jc w:val="both"/>
        <w:rPr/>
      </w:pPr>
      <w:r>
        <w:rPr>
          <w:rStyle w:val="Strong"/>
        </w:rPr>
        <w:t>1. Classic LBD systems.</w:t>
      </w:r>
      <w:r>
        <w:rPr/>
        <w:t xml:space="preserve"> Swanson’s ABC paradigm and tools in the Arrowsmith lineage demonstrated that undiscovered public knowledge can be mined from bibliographic co-occurrence [2]. These systems established the scientific motivation for automated discovery but typically rely on keyword/co-occurrence logic, require substantial manual query crafting, and do not provide end-to-end computational validation (e.g., docking) or modern graph neural predictors.</w:t>
      </w:r>
    </w:p>
    <w:p>
      <w:pPr>
        <w:pStyle w:val="BodyText"/>
        <w:bidi w:val="0"/>
        <w:spacing w:before="0" w:after="160"/>
        <w:jc w:val="both"/>
        <w:rPr/>
      </w:pPr>
      <w:r>
        <w:rPr>
          <w:rStyle w:val="Strong"/>
        </w:rPr>
        <w:t>2. Biomedical knowledge graphs for repurposing.</w:t>
      </w:r>
      <w:r>
        <w:rPr/>
        <w:t xml:space="preserve"> Hetionet v1.0 integrates 29 public resources into a heterogeneous network (≈47k nodes, ≈2.25M relationships) and powered Project Rephetio’s compound–disease treatment prediction [3]. PrimeKG further expands disease coverage and multimodal context (≈129,375 nodes; ≈4,050,249 relationships from 20 resources), including indication / contraindication / off-label drug–disease edges suited to AI analyses [4]. </w:t>
      </w:r>
      <w:r>
        <w:rPr>
          <w:rStyle w:val="Strong"/>
        </w:rPr>
        <w:t>Limitation:</w:t>
      </w:r>
      <w:r>
        <w:rPr/>
        <w:t xml:space="preserve"> public releases are </w:t>
      </w:r>
      <w:r>
        <w:rPr>
          <w:rStyle w:val="Strong"/>
        </w:rPr>
        <w:t>curated snapshots</w:t>
      </w:r>
      <w:r>
        <w:rPr/>
        <w:t xml:space="preserve">, not live literature feeds. Edges largely originate from databases (DrugBank, ontologies, etc.) rather than continuous PubMed ingestion; therefore “latest paper tonight” is </w:t>
      </w:r>
      <w:r>
        <w:rPr>
          <w:rStyle w:val="Strong"/>
        </w:rPr>
        <w:t>not</w:t>
      </w:r>
      <w:r>
        <w:rPr/>
        <w:t xml:space="preserve"> automatically reflected in the graph [4].</w:t>
      </w:r>
    </w:p>
    <w:p>
      <w:pPr>
        <w:pStyle w:val="BodyText"/>
        <w:bidi w:val="0"/>
        <w:spacing w:before="0" w:after="160"/>
        <w:jc w:val="both"/>
        <w:rPr/>
      </w:pPr>
      <w:r>
        <w:rPr>
          <w:rStyle w:val="Strong"/>
        </w:rPr>
        <w:t>3. GNN / foundation models for therapeutic prediction.</w:t>
      </w:r>
      <w:r>
        <w:rPr/>
        <w:t xml:space="preserve"> TxGNN shows that a graph foundation model trained on a medical KG can rank indications and contraindications across 17,080 diseases, including stronger zero-shot settings, and can expose multi-hop rationales [5]. Related student-accessible implementations (e.g., RGCN-style link prediction on PrimeKG) demonstrate that GNN baselines are feasible for project-scale work. </w:t>
      </w:r>
      <w:r>
        <w:rPr>
          <w:rStyle w:val="Strong"/>
        </w:rPr>
        <w:t>Limitation for our gap:</w:t>
      </w:r>
      <w:r>
        <w:rPr/>
        <w:t xml:space="preserve"> published models emphasize prediction (and sometimes path explanation) but do not typically ship a full student-maintainable loop of </w:t>
      </w:r>
      <w:r>
        <w:rPr>
          <w:rStyle w:val="Strong"/>
        </w:rPr>
        <w:t>live literature RAG + sandboxed docking + dossier generation</w:t>
      </w:r>
      <w:r>
        <w:rPr/>
        <w:t>.</w:t>
      </w:r>
    </w:p>
    <w:p>
      <w:pPr>
        <w:pStyle w:val="BodyText"/>
        <w:bidi w:val="0"/>
        <w:spacing w:before="0" w:after="160"/>
        <w:jc w:val="both"/>
        <w:rPr/>
      </w:pPr>
      <w:r>
        <w:rPr>
          <w:rStyle w:val="Strong"/>
        </w:rPr>
        <w:t>4. AI literature search / summarization tools.</w:t>
      </w:r>
      <w:r>
        <w:rPr/>
        <w:t xml:space="preserve"> Commercial and research tools that embed PubMed and summarize with LLMs improve retrieval UX. </w:t>
      </w:r>
      <w:r>
        <w:rPr>
          <w:rStyle w:val="Strong"/>
        </w:rPr>
        <w:t>Limitation:</w:t>
      </w:r>
      <w:r>
        <w:rPr/>
        <w:t xml:space="preserve"> they are predominantly </w:t>
      </w:r>
      <w:r>
        <w:rPr>
          <w:rStyle w:val="Strong"/>
        </w:rPr>
        <w:t>passive search/summarization</w:t>
      </w:r>
      <w:r>
        <w:rPr/>
        <w:t xml:space="preserve"> interfaces. Without a structured predictive graph layer, they do not systematically forecast missing drug–disease links; without retrieval constraints, LLMs risk unsupported biological claims.</w:t>
      </w:r>
    </w:p>
    <w:p>
      <w:pPr>
        <w:pStyle w:val="BodyText"/>
        <w:bidi w:val="0"/>
        <w:spacing w:before="0" w:after="160"/>
        <w:jc w:val="both"/>
        <w:rPr/>
      </w:pPr>
      <w:r>
        <w:rPr>
          <w:rStyle w:val="Strong"/>
        </w:rPr>
        <w:t>5. Molecular docking as computational triage.</w:t>
      </w:r>
      <w:r>
        <w:rPr/>
        <w:t xml:space="preserve"> AutoDock Vina is a widely used docking engine for estimating ligand–receptor binding poses/scores in silico [6]. </w:t>
      </w:r>
      <w:r>
        <w:rPr>
          <w:rStyle w:val="Strong"/>
        </w:rPr>
        <w:t>Limitation if used alone:</w:t>
      </w:r>
      <w:r>
        <w:rPr/>
        <w:t xml:space="preserve"> docking does not replace clinical evidence; used alone it does not discover literature-supported hypotheses. In this project it is positioned strictly as a </w:t>
      </w:r>
      <w:r>
        <w:rPr>
          <w:rStyle w:val="Strong"/>
        </w:rPr>
        <w:t>physical-plausibility screen</w:t>
      </w:r>
      <w:r>
        <w:rPr/>
        <w:t xml:space="preserve"> on a small top-N set.</w:t>
      </w:r>
    </w:p>
    <w:p>
      <w:pPr>
        <w:pStyle w:val="Heading3"/>
        <w:keepNext w:val="true"/>
        <w:numPr>
          <w:ilvl w:val="0"/>
          <w:numId w:val="0"/>
        </w:numPr>
        <w:bidi w:val="0"/>
        <w:spacing w:before="240" w:after="80"/>
        <w:ind w:left="240" w:right="240"/>
        <w:jc w:val="left"/>
        <w:rPr/>
      </w:pPr>
      <w:r>
        <w:rPr/>
        <w:t>3.2 Competitive / related-product comparison</w:t>
      </w:r>
    </w:p>
    <w:tbl>
      <w:tblPr>
        <w:tblW w:w="9696" w:type="dxa"/>
        <w:jc w:val="left"/>
        <w:tblInd w:w="0" w:type="dxa"/>
        <w:tblLayout w:type="fixed"/>
        <w:tblCellMar>
          <w:top w:w="28" w:type="dxa"/>
          <w:left w:w="28" w:type="dxa"/>
          <w:bottom w:w="28" w:type="dxa"/>
          <w:right w:w="28" w:type="dxa"/>
        </w:tblCellMar>
      </w:tblPr>
      <w:tblGrid>
        <w:gridCol w:w="2041"/>
        <w:gridCol w:w="1396"/>
        <w:gridCol w:w="1726"/>
        <w:gridCol w:w="1591"/>
        <w:gridCol w:w="1246"/>
        <w:gridCol w:w="1696"/>
      </w:tblGrid>
      <w:tr>
        <w:trPr/>
        <w:tc>
          <w:tcPr>
            <w:tcW w:w="2041" w:type="dxa"/>
            <w:tcBorders/>
            <w:vAlign w:val="center"/>
          </w:tcPr>
          <w:p>
            <w:pPr>
              <w:pStyle w:val="TableHeading"/>
              <w:suppressLineNumbers/>
              <w:bidi w:val="0"/>
              <w:spacing w:before="0" w:after="160"/>
              <w:jc w:val="left"/>
              <w:rPr/>
            </w:pPr>
            <w:r>
              <w:rPr/>
              <w:t>System / Approach</w:t>
            </w:r>
          </w:p>
        </w:tc>
        <w:tc>
          <w:tcPr>
            <w:tcW w:w="1396" w:type="dxa"/>
            <w:tcBorders/>
            <w:vAlign w:val="center"/>
          </w:tcPr>
          <w:p>
            <w:pPr>
              <w:pStyle w:val="TableHeading"/>
              <w:suppressLineNumbers/>
              <w:bidi w:val="0"/>
              <w:spacing w:before="0" w:after="160"/>
              <w:jc w:val="left"/>
              <w:rPr/>
            </w:pPr>
            <w:r>
              <w:rPr/>
              <w:t>Structured KG</w:t>
            </w:r>
          </w:p>
        </w:tc>
        <w:tc>
          <w:tcPr>
            <w:tcW w:w="1726" w:type="dxa"/>
            <w:tcBorders/>
            <w:vAlign w:val="center"/>
          </w:tcPr>
          <w:p>
            <w:pPr>
              <w:pStyle w:val="TableHeading"/>
              <w:suppressLineNumbers/>
              <w:bidi w:val="0"/>
              <w:spacing w:before="0" w:after="160"/>
              <w:jc w:val="left"/>
              <w:rPr/>
            </w:pPr>
            <w:r>
              <w:rPr/>
              <w:t>Predictive link ranking</w:t>
            </w:r>
          </w:p>
        </w:tc>
        <w:tc>
          <w:tcPr>
            <w:tcW w:w="1591" w:type="dxa"/>
            <w:tcBorders/>
            <w:vAlign w:val="center"/>
          </w:tcPr>
          <w:p>
            <w:pPr>
              <w:pStyle w:val="TableHeading"/>
              <w:suppressLineNumbers/>
              <w:bidi w:val="0"/>
              <w:spacing w:before="0" w:after="160"/>
              <w:jc w:val="left"/>
              <w:rPr/>
            </w:pPr>
            <w:r>
              <w:rPr/>
              <w:t>Live literature evidence</w:t>
            </w:r>
          </w:p>
        </w:tc>
        <w:tc>
          <w:tcPr>
            <w:tcW w:w="1246" w:type="dxa"/>
            <w:tcBorders/>
            <w:vAlign w:val="center"/>
          </w:tcPr>
          <w:p>
            <w:pPr>
              <w:pStyle w:val="TableHeading"/>
              <w:suppressLineNumbers/>
              <w:bidi w:val="0"/>
              <w:spacing w:before="0" w:after="160"/>
              <w:jc w:val="left"/>
              <w:rPr/>
            </w:pPr>
            <w:r>
              <w:rPr/>
              <w:t>Docking / physical check</w:t>
            </w:r>
          </w:p>
        </w:tc>
        <w:tc>
          <w:tcPr>
            <w:tcW w:w="1696" w:type="dxa"/>
            <w:tcBorders/>
            <w:vAlign w:val="center"/>
          </w:tcPr>
          <w:p>
            <w:pPr>
              <w:pStyle w:val="TableHeading"/>
              <w:suppressLineNumbers/>
              <w:bidi w:val="0"/>
              <w:spacing w:before="0" w:after="160"/>
              <w:jc w:val="left"/>
              <w:rPr/>
            </w:pPr>
            <w:r>
              <w:rPr/>
              <w:t>Research dossier UI</w:t>
            </w:r>
          </w:p>
        </w:tc>
      </w:tr>
      <w:tr>
        <w:trPr/>
        <w:tc>
          <w:tcPr>
            <w:tcW w:w="2041" w:type="dxa"/>
            <w:tcBorders/>
            <w:vAlign w:val="center"/>
          </w:tcPr>
          <w:p>
            <w:pPr>
              <w:pStyle w:val="TableContents"/>
              <w:bidi w:val="0"/>
              <w:spacing w:before="0" w:after="160"/>
              <w:jc w:val="left"/>
              <w:rPr/>
            </w:pPr>
            <w:r>
              <w:rPr/>
              <w:t>Arrowsmith-style LBD</w:t>
            </w:r>
          </w:p>
        </w:tc>
        <w:tc>
          <w:tcPr>
            <w:tcW w:w="1396" w:type="dxa"/>
            <w:tcBorders/>
            <w:vAlign w:val="center"/>
          </w:tcPr>
          <w:p>
            <w:pPr>
              <w:pStyle w:val="TableContents"/>
              <w:bidi w:val="0"/>
              <w:spacing w:before="0" w:after="160"/>
              <w:jc w:val="left"/>
              <w:rPr/>
            </w:pPr>
            <w:r>
              <w:rPr/>
              <w:t>Limited</w:t>
            </w:r>
          </w:p>
        </w:tc>
        <w:tc>
          <w:tcPr>
            <w:tcW w:w="1726" w:type="dxa"/>
            <w:tcBorders/>
            <w:vAlign w:val="center"/>
          </w:tcPr>
          <w:p>
            <w:pPr>
              <w:pStyle w:val="TableContents"/>
              <w:bidi w:val="0"/>
              <w:spacing w:before="0" w:after="160"/>
              <w:jc w:val="left"/>
              <w:rPr/>
            </w:pPr>
            <w:r>
              <w:rPr/>
              <w:t>Co-occurrence / ABC</w:t>
            </w:r>
          </w:p>
        </w:tc>
        <w:tc>
          <w:tcPr>
            <w:tcW w:w="1591" w:type="dxa"/>
            <w:tcBorders/>
            <w:vAlign w:val="center"/>
          </w:tcPr>
          <w:p>
            <w:pPr>
              <w:pStyle w:val="TableContents"/>
              <w:bidi w:val="0"/>
              <w:spacing w:before="0" w:after="160"/>
              <w:jc w:val="left"/>
              <w:rPr/>
            </w:pPr>
            <w:r>
              <w:rPr/>
              <w:t>Bibliographic</w:t>
            </w:r>
          </w:p>
        </w:tc>
        <w:tc>
          <w:tcPr>
            <w:tcW w:w="1246" w:type="dxa"/>
            <w:tcBorders/>
            <w:vAlign w:val="center"/>
          </w:tcPr>
          <w:p>
            <w:pPr>
              <w:pStyle w:val="TableContents"/>
              <w:bidi w:val="0"/>
              <w:spacing w:before="0" w:after="160"/>
              <w:jc w:val="left"/>
              <w:rPr/>
            </w:pPr>
            <w:r>
              <w:rPr/>
              <w:t>No</w:t>
            </w:r>
          </w:p>
        </w:tc>
        <w:tc>
          <w:tcPr>
            <w:tcW w:w="1696" w:type="dxa"/>
            <w:tcBorders/>
            <w:vAlign w:val="center"/>
          </w:tcPr>
          <w:p>
            <w:pPr>
              <w:pStyle w:val="TableContents"/>
              <w:bidi w:val="0"/>
              <w:spacing w:before="0" w:after="160"/>
              <w:jc w:val="left"/>
              <w:rPr/>
            </w:pPr>
            <w:r>
              <w:rPr/>
              <w:t>Limited</w:t>
            </w:r>
          </w:p>
        </w:tc>
      </w:tr>
      <w:tr>
        <w:trPr/>
        <w:tc>
          <w:tcPr>
            <w:tcW w:w="2041" w:type="dxa"/>
            <w:tcBorders/>
            <w:vAlign w:val="center"/>
          </w:tcPr>
          <w:p>
            <w:pPr>
              <w:pStyle w:val="TableContents"/>
              <w:bidi w:val="0"/>
              <w:spacing w:before="0" w:after="160"/>
              <w:jc w:val="left"/>
              <w:rPr/>
            </w:pPr>
            <w:r>
              <w:rPr/>
              <w:t>Hetionet / Rephetio</w:t>
            </w:r>
          </w:p>
        </w:tc>
        <w:tc>
          <w:tcPr>
            <w:tcW w:w="1396" w:type="dxa"/>
            <w:tcBorders/>
            <w:vAlign w:val="center"/>
          </w:tcPr>
          <w:p>
            <w:pPr>
              <w:pStyle w:val="TableContents"/>
              <w:bidi w:val="0"/>
              <w:spacing w:before="0" w:after="160"/>
              <w:jc w:val="left"/>
              <w:rPr/>
            </w:pPr>
            <w:r>
              <w:rPr/>
              <w:t>Yes</w:t>
            </w:r>
          </w:p>
        </w:tc>
        <w:tc>
          <w:tcPr>
            <w:tcW w:w="1726" w:type="dxa"/>
            <w:tcBorders/>
            <w:vAlign w:val="center"/>
          </w:tcPr>
          <w:p>
            <w:pPr>
              <w:pStyle w:val="TableContents"/>
              <w:bidi w:val="0"/>
              <w:spacing w:before="0" w:after="160"/>
              <w:jc w:val="left"/>
              <w:rPr/>
            </w:pPr>
            <w:r>
              <w:rPr/>
              <w:t>Yes (path / ML)</w:t>
            </w:r>
          </w:p>
        </w:tc>
        <w:tc>
          <w:tcPr>
            <w:tcW w:w="1591" w:type="dxa"/>
            <w:tcBorders/>
            <w:vAlign w:val="center"/>
          </w:tcPr>
          <w:p>
            <w:pPr>
              <w:pStyle w:val="TableContents"/>
              <w:bidi w:val="0"/>
              <w:spacing w:before="0" w:after="160"/>
              <w:jc w:val="left"/>
              <w:rPr/>
            </w:pPr>
            <w:r>
              <w:rPr/>
              <w:t>Indirect via sources</w:t>
            </w:r>
          </w:p>
        </w:tc>
        <w:tc>
          <w:tcPr>
            <w:tcW w:w="1246" w:type="dxa"/>
            <w:tcBorders/>
            <w:vAlign w:val="center"/>
          </w:tcPr>
          <w:p>
            <w:pPr>
              <w:pStyle w:val="TableContents"/>
              <w:bidi w:val="0"/>
              <w:spacing w:before="0" w:after="160"/>
              <w:jc w:val="left"/>
              <w:rPr/>
            </w:pPr>
            <w:r>
              <w:rPr/>
              <w:t>No</w:t>
            </w:r>
          </w:p>
        </w:tc>
        <w:tc>
          <w:tcPr>
            <w:tcW w:w="1696" w:type="dxa"/>
            <w:tcBorders/>
            <w:vAlign w:val="center"/>
          </w:tcPr>
          <w:p>
            <w:pPr>
              <w:pStyle w:val="TableContents"/>
              <w:bidi w:val="0"/>
              <w:spacing w:before="0" w:after="160"/>
              <w:jc w:val="left"/>
              <w:rPr/>
            </w:pPr>
            <w:r>
              <w:rPr/>
              <w:t>Research artifact</w:t>
            </w:r>
          </w:p>
        </w:tc>
      </w:tr>
      <w:tr>
        <w:trPr/>
        <w:tc>
          <w:tcPr>
            <w:tcW w:w="2041" w:type="dxa"/>
            <w:tcBorders/>
            <w:vAlign w:val="center"/>
          </w:tcPr>
          <w:p>
            <w:pPr>
              <w:pStyle w:val="TableContents"/>
              <w:bidi w:val="0"/>
              <w:spacing w:before="0" w:after="160"/>
              <w:jc w:val="left"/>
              <w:rPr/>
            </w:pPr>
            <w:r>
              <w:rPr/>
              <w:t>PrimeKG (+ TxGNN-style models)</w:t>
            </w:r>
          </w:p>
        </w:tc>
        <w:tc>
          <w:tcPr>
            <w:tcW w:w="1396" w:type="dxa"/>
            <w:tcBorders/>
            <w:vAlign w:val="center"/>
          </w:tcPr>
          <w:p>
            <w:pPr>
              <w:pStyle w:val="TableContents"/>
              <w:bidi w:val="0"/>
              <w:spacing w:before="0" w:after="160"/>
              <w:jc w:val="left"/>
              <w:rPr/>
            </w:pPr>
            <w:r>
              <w:rPr/>
              <w:t>Yes</w:t>
            </w:r>
          </w:p>
        </w:tc>
        <w:tc>
          <w:tcPr>
            <w:tcW w:w="1726" w:type="dxa"/>
            <w:tcBorders/>
            <w:vAlign w:val="center"/>
          </w:tcPr>
          <w:p>
            <w:pPr>
              <w:pStyle w:val="TableContents"/>
              <w:bidi w:val="0"/>
              <w:spacing w:before="0" w:after="160"/>
              <w:jc w:val="left"/>
              <w:rPr/>
            </w:pPr>
            <w:r>
              <w:rPr/>
              <w:t>Yes (GNN)</w:t>
            </w:r>
          </w:p>
        </w:tc>
        <w:tc>
          <w:tcPr>
            <w:tcW w:w="1591" w:type="dxa"/>
            <w:tcBorders/>
            <w:vAlign w:val="center"/>
          </w:tcPr>
          <w:p>
            <w:pPr>
              <w:pStyle w:val="TableContents"/>
              <w:bidi w:val="0"/>
              <w:spacing w:before="0" w:after="160"/>
              <w:jc w:val="left"/>
              <w:rPr/>
            </w:pPr>
            <w:r>
              <w:rPr/>
              <w:t>Not query-time PubMed</w:t>
            </w:r>
          </w:p>
        </w:tc>
        <w:tc>
          <w:tcPr>
            <w:tcW w:w="1246" w:type="dxa"/>
            <w:tcBorders/>
            <w:vAlign w:val="center"/>
          </w:tcPr>
          <w:p>
            <w:pPr>
              <w:pStyle w:val="TableContents"/>
              <w:bidi w:val="0"/>
              <w:spacing w:before="0" w:after="160"/>
              <w:jc w:val="left"/>
              <w:rPr/>
            </w:pPr>
            <w:r>
              <w:rPr/>
              <w:t>No (by default)</w:t>
            </w:r>
          </w:p>
        </w:tc>
        <w:tc>
          <w:tcPr>
            <w:tcW w:w="1696" w:type="dxa"/>
            <w:tcBorders/>
            <w:vAlign w:val="center"/>
          </w:tcPr>
          <w:p>
            <w:pPr>
              <w:pStyle w:val="TableContents"/>
              <w:bidi w:val="0"/>
              <w:spacing w:before="0" w:after="160"/>
              <w:jc w:val="left"/>
              <w:rPr/>
            </w:pPr>
            <w:r>
              <w:rPr/>
              <w:t>Model-centric</w:t>
            </w:r>
          </w:p>
        </w:tc>
      </w:tr>
      <w:tr>
        <w:trPr/>
        <w:tc>
          <w:tcPr>
            <w:tcW w:w="2041" w:type="dxa"/>
            <w:tcBorders/>
            <w:vAlign w:val="center"/>
          </w:tcPr>
          <w:p>
            <w:pPr>
              <w:pStyle w:val="TableContents"/>
              <w:bidi w:val="0"/>
              <w:spacing w:before="0" w:after="160"/>
              <w:jc w:val="left"/>
              <w:rPr/>
            </w:pPr>
            <w:r>
              <w:rPr/>
              <w:t>Elicit / Consensus-like tools</w:t>
            </w:r>
          </w:p>
        </w:tc>
        <w:tc>
          <w:tcPr>
            <w:tcW w:w="1396" w:type="dxa"/>
            <w:tcBorders/>
            <w:vAlign w:val="center"/>
          </w:tcPr>
          <w:p>
            <w:pPr>
              <w:pStyle w:val="TableContents"/>
              <w:bidi w:val="0"/>
              <w:spacing w:before="0" w:after="160"/>
              <w:jc w:val="left"/>
              <w:rPr/>
            </w:pPr>
            <w:r>
              <w:rPr/>
              <w:t>No</w:t>
            </w:r>
          </w:p>
        </w:tc>
        <w:tc>
          <w:tcPr>
            <w:tcW w:w="1726" w:type="dxa"/>
            <w:tcBorders/>
            <w:vAlign w:val="center"/>
          </w:tcPr>
          <w:p>
            <w:pPr>
              <w:pStyle w:val="TableContents"/>
              <w:bidi w:val="0"/>
              <w:spacing w:before="0" w:after="160"/>
              <w:jc w:val="left"/>
              <w:rPr/>
            </w:pPr>
            <w:r>
              <w:rPr/>
              <w:t>No</w:t>
            </w:r>
          </w:p>
        </w:tc>
        <w:tc>
          <w:tcPr>
            <w:tcW w:w="1591" w:type="dxa"/>
            <w:tcBorders/>
            <w:vAlign w:val="center"/>
          </w:tcPr>
          <w:p>
            <w:pPr>
              <w:pStyle w:val="TableContents"/>
              <w:bidi w:val="0"/>
              <w:spacing w:before="0" w:after="160"/>
              <w:jc w:val="left"/>
              <w:rPr/>
            </w:pPr>
            <w:r>
              <w:rPr/>
              <w:t>Yes (search/summary)</w:t>
            </w:r>
          </w:p>
        </w:tc>
        <w:tc>
          <w:tcPr>
            <w:tcW w:w="1246" w:type="dxa"/>
            <w:tcBorders/>
            <w:vAlign w:val="center"/>
          </w:tcPr>
          <w:p>
            <w:pPr>
              <w:pStyle w:val="TableContents"/>
              <w:bidi w:val="0"/>
              <w:spacing w:before="0" w:after="160"/>
              <w:jc w:val="left"/>
              <w:rPr/>
            </w:pPr>
            <w:r>
              <w:rPr/>
              <w:t>No</w:t>
            </w:r>
          </w:p>
        </w:tc>
        <w:tc>
          <w:tcPr>
            <w:tcW w:w="1696" w:type="dxa"/>
            <w:tcBorders/>
            <w:vAlign w:val="center"/>
          </w:tcPr>
          <w:p>
            <w:pPr>
              <w:pStyle w:val="TableContents"/>
              <w:bidi w:val="0"/>
              <w:spacing w:before="0" w:after="160"/>
              <w:jc w:val="left"/>
              <w:rPr/>
            </w:pPr>
            <w:r>
              <w:rPr/>
              <w:t>Chat/report UX</w:t>
            </w:r>
          </w:p>
        </w:tc>
      </w:tr>
      <w:tr>
        <w:trPr/>
        <w:tc>
          <w:tcPr>
            <w:tcW w:w="2041" w:type="dxa"/>
            <w:tcBorders/>
            <w:vAlign w:val="center"/>
          </w:tcPr>
          <w:p>
            <w:pPr>
              <w:pStyle w:val="TableContents"/>
              <w:bidi w:val="0"/>
              <w:spacing w:before="0" w:after="160"/>
              <w:jc w:val="left"/>
              <w:rPr/>
            </w:pPr>
            <w:r>
              <w:rPr>
                <w:rStyle w:val="Strong"/>
              </w:rPr>
              <w:t>Proposed system</w:t>
            </w:r>
          </w:p>
        </w:tc>
        <w:tc>
          <w:tcPr>
            <w:tcW w:w="1396" w:type="dxa"/>
            <w:tcBorders/>
            <w:vAlign w:val="center"/>
          </w:tcPr>
          <w:p>
            <w:pPr>
              <w:pStyle w:val="TableContents"/>
              <w:bidi w:val="0"/>
              <w:spacing w:before="0" w:after="160"/>
              <w:jc w:val="left"/>
              <w:rPr/>
            </w:pPr>
            <w:r>
              <w:rPr/>
              <w:t>PrimeKG base (+ optional capped enrichment)</w:t>
            </w:r>
          </w:p>
        </w:tc>
        <w:tc>
          <w:tcPr>
            <w:tcW w:w="1726" w:type="dxa"/>
            <w:tcBorders/>
            <w:vAlign w:val="center"/>
          </w:tcPr>
          <w:p>
            <w:pPr>
              <w:pStyle w:val="TableContents"/>
              <w:bidi w:val="0"/>
              <w:spacing w:before="0" w:after="160"/>
              <w:jc w:val="left"/>
              <w:rPr/>
            </w:pPr>
            <w:r>
              <w:rPr/>
              <w:t>GNN drug–disease prediction</w:t>
            </w:r>
          </w:p>
        </w:tc>
        <w:tc>
          <w:tcPr>
            <w:tcW w:w="1591" w:type="dxa"/>
            <w:tcBorders/>
            <w:vAlign w:val="center"/>
          </w:tcPr>
          <w:p>
            <w:pPr>
              <w:pStyle w:val="TableContents"/>
              <w:bidi w:val="0"/>
              <w:spacing w:before="0" w:after="160"/>
              <w:jc w:val="left"/>
              <w:rPr/>
            </w:pPr>
            <w:r>
              <w:rPr/>
              <w:t>PubMed/PMC RAG with PMIDs</w:t>
            </w:r>
          </w:p>
        </w:tc>
        <w:tc>
          <w:tcPr>
            <w:tcW w:w="1246" w:type="dxa"/>
            <w:tcBorders/>
            <w:vAlign w:val="center"/>
          </w:tcPr>
          <w:p>
            <w:pPr>
              <w:pStyle w:val="TableContents"/>
              <w:bidi w:val="0"/>
              <w:spacing w:before="0" w:after="160"/>
              <w:jc w:val="left"/>
              <w:rPr/>
            </w:pPr>
            <w:r>
              <w:rPr/>
              <w:t>AutoDock Vina (top-N, Docker)</w:t>
            </w:r>
          </w:p>
        </w:tc>
        <w:tc>
          <w:tcPr>
            <w:tcW w:w="1696" w:type="dxa"/>
            <w:tcBorders/>
            <w:vAlign w:val="center"/>
          </w:tcPr>
          <w:p>
            <w:pPr>
              <w:pStyle w:val="TableContents"/>
              <w:bidi w:val="0"/>
              <w:spacing w:before="0" w:after="160"/>
              <w:jc w:val="left"/>
              <w:rPr/>
            </w:pPr>
            <w:r>
              <w:rPr/>
              <w:t>Streamlit + PDF dossier</w:t>
            </w:r>
          </w:p>
        </w:tc>
      </w:tr>
    </w:tbl>
    <w:p>
      <w:pPr>
        <w:pStyle w:val="BodyText"/>
        <w:bidi w:val="0"/>
        <w:spacing w:before="0" w:after="160"/>
        <w:jc w:val="both"/>
        <w:rPr/>
      </w:pPr>
      <w:r>
        <w:rPr>
          <w:rStyle w:val="Strong"/>
        </w:rPr>
        <w:t>Gap this FYP addresses:</w:t>
      </w:r>
      <w:r>
        <w:rPr/>
        <w:t xml:space="preserve"> an </w:t>
      </w:r>
      <w:r>
        <w:rPr>
          <w:rStyle w:val="Strong"/>
        </w:rPr>
        <w:t>integrated closed loop</w:t>
      </w:r>
      <w:r>
        <w:rPr/>
        <w:t>—graph prediction → literature-grounded explanation → computational binding triage → safety flags → downloadable dossier—under explicit scope control (no full PubMed-to-KG rebuild).</w:t>
      </w:r>
    </w:p>
    <w:p>
      <w:pPr>
        <w:pStyle w:val="Heading2"/>
        <w:keepNext w:val="true"/>
        <w:numPr>
          <w:ilvl w:val="0"/>
          <w:numId w:val="0"/>
        </w:numPr>
        <w:bidi w:val="0"/>
        <w:spacing w:before="280" w:after="120"/>
        <w:ind w:left="280" w:right="280"/>
        <w:jc w:val="left"/>
        <w:rPr/>
      </w:pPr>
      <w:r>
        <w:rPr/>
        <w:t>4. Problem Statement</w:t>
      </w:r>
    </w:p>
    <w:p>
      <w:pPr>
        <w:pStyle w:val="BodyText"/>
        <w:bidi w:val="0"/>
        <w:spacing w:before="0" w:after="160"/>
        <w:jc w:val="both"/>
        <w:rPr/>
      </w:pPr>
      <w:r>
        <w:rPr/>
        <w:t>Traditional drug discovery is lengthy and costly [1], while the scientific clues for repurposing are dispersed across static knowledge bases and an ever-growing literature corpus. Researchers face three concrete computing problems:</w:t>
      </w:r>
    </w:p>
    <w:p>
      <w:pPr>
        <w:pStyle w:val="BodyText"/>
        <w:numPr>
          <w:ilvl w:val="0"/>
          <w:numId w:val="2"/>
        </w:numPr>
        <w:tabs>
          <w:tab w:val="clear" w:pos="1134"/>
          <w:tab w:val="left" w:pos="709" w:leader="none"/>
        </w:tabs>
        <w:bidi w:val="0"/>
        <w:spacing w:before="0" w:after="0"/>
        <w:ind w:hanging="283" w:left="709"/>
        <w:rPr/>
      </w:pPr>
      <w:r>
        <w:rPr>
          <w:rStyle w:val="Strong"/>
        </w:rPr>
        <w:t>Passive retrieval</w:t>
      </w:r>
      <w:r>
        <w:rPr/>
        <w:t xml:space="preserve"> tools return documents but do not systematically propose ranked missing drug–disease associations from a structured biomedical graph. </w:t>
      </w:r>
    </w:p>
    <w:p>
      <w:pPr>
        <w:pStyle w:val="BodyText"/>
        <w:numPr>
          <w:ilvl w:val="0"/>
          <w:numId w:val="2"/>
        </w:numPr>
        <w:tabs>
          <w:tab w:val="clear" w:pos="1134"/>
          <w:tab w:val="left" w:pos="709" w:leader="none"/>
        </w:tabs>
        <w:bidi w:val="0"/>
        <w:spacing w:before="0" w:after="0"/>
        <w:ind w:hanging="283" w:left="709"/>
        <w:rPr/>
      </w:pPr>
      <w:r>
        <w:rPr>
          <w:rStyle w:val="Strong"/>
        </w:rPr>
        <w:t>Static KGs</w:t>
      </w:r>
      <w:r>
        <w:rPr/>
        <w:t xml:space="preserve"> enable learning but lag current publications; without a complementary evidence layer, predictions lack fresh, citable support. </w:t>
      </w:r>
    </w:p>
    <w:p>
      <w:pPr>
        <w:pStyle w:val="BodyText"/>
        <w:numPr>
          <w:ilvl w:val="0"/>
          <w:numId w:val="2"/>
        </w:numPr>
        <w:tabs>
          <w:tab w:val="clear" w:pos="1134"/>
          <w:tab w:val="left" w:pos="709" w:leader="none"/>
        </w:tabs>
        <w:bidi w:val="0"/>
        <w:ind w:hanging="283" w:left="709"/>
        <w:rPr/>
      </w:pPr>
      <w:r>
        <w:rPr>
          <w:rStyle w:val="Strong"/>
        </w:rPr>
        <w:t>Ungrounded LLM summaries</w:t>
      </w:r>
      <w:r>
        <w:rPr/>
        <w:t xml:space="preserve"> can hallucinate biological mechanisms unless constrained by retrieved sources and additional computational checks. </w:t>
      </w:r>
    </w:p>
    <w:p>
      <w:pPr>
        <w:pStyle w:val="Heading3"/>
        <w:keepNext w:val="true"/>
        <w:numPr>
          <w:ilvl w:val="0"/>
          <w:numId w:val="0"/>
        </w:numPr>
        <w:bidi w:val="0"/>
        <w:spacing w:before="240" w:after="80"/>
        <w:ind w:left="240" w:right="240"/>
        <w:jc w:val="left"/>
        <w:rPr/>
      </w:pPr>
      <w:r>
        <w:rPr/>
        <w:t>4.1 Primary research question</w:t>
      </w:r>
    </w:p>
    <w:p>
      <w:pPr>
        <w:pStyle w:val="BodyText"/>
        <w:bidi w:val="0"/>
        <w:spacing w:before="0" w:after="160"/>
        <w:jc w:val="both"/>
        <w:rPr/>
      </w:pPr>
      <w:r>
        <w:rPr>
          <w:rStyle w:val="Strong"/>
        </w:rPr>
        <w:t>RQ1.</w:t>
      </w:r>
      <w:r>
        <w:rPr/>
        <w:t xml:space="preserve"> On PrimeKG drug–disease indication-style edges, does a relational GNN link-prediction model achieve higher ranking quality (AUROC / AUPRC / MRR / Hits@K) than strong non-GNN baselines (e.g., heuristic neighborhood / embedding baselines agreed with the supervisor), when evaluated under a leakage-controlled held-out protocol?</w:t>
      </w:r>
    </w:p>
    <w:p>
      <w:pPr>
        <w:pStyle w:val="Heading3"/>
        <w:keepNext w:val="true"/>
        <w:numPr>
          <w:ilvl w:val="0"/>
          <w:numId w:val="0"/>
        </w:numPr>
        <w:bidi w:val="0"/>
        <w:spacing w:before="240" w:after="80"/>
        <w:ind w:left="240" w:right="240"/>
        <w:jc w:val="left"/>
        <w:rPr/>
      </w:pPr>
      <w:r>
        <w:rPr/>
        <w:t>4.2 Secondary research questions</w:t>
      </w:r>
    </w:p>
    <w:p>
      <w:pPr>
        <w:pStyle w:val="BodyText"/>
        <w:bidi w:val="0"/>
        <w:spacing w:before="0" w:after="160"/>
        <w:jc w:val="both"/>
        <w:rPr/>
      </w:pPr>
      <w:r>
        <w:rPr>
          <w:rStyle w:val="Strong"/>
        </w:rPr>
        <w:t>RQ2.</w:t>
      </w:r>
      <w:r>
        <w:rPr/>
        <w:t xml:space="preserve"> For top-K novel predictions, does RAG grounded on PubMed abstracts (and PMC OA when available) produce explanations with higher citation faithfulness / lower unsupported-claim rate than the same LLM prompted without retrieval?</w:t>
      </w:r>
    </w:p>
    <w:p>
      <w:pPr>
        <w:pStyle w:val="BodyText"/>
        <w:bidi w:val="0"/>
        <w:spacing w:before="0" w:after="160"/>
        <w:jc w:val="both"/>
        <w:rPr/>
      </w:pPr>
      <w:r>
        <w:rPr>
          <w:rStyle w:val="Strong"/>
        </w:rPr>
        <w:t>RQ3.</w:t>
      </w:r>
      <w:r>
        <w:rPr/>
        <w:t xml:space="preserve"> For a bounded top-N subset, can an automated AutoDock Vina pipeline in Docker successfully return docking scores for resolvable protein targets, and how often must fallbacks (missing PDB structure, failed ligand prep) be applied?</w:t>
      </w:r>
    </w:p>
    <w:p>
      <w:pPr>
        <w:pStyle w:val="BodyText"/>
        <w:bidi w:val="0"/>
        <w:spacing w:before="0" w:after="160"/>
        <w:jc w:val="both"/>
        <w:rPr/>
      </w:pPr>
      <w:r>
        <w:rPr>
          <w:rStyle w:val="Strong"/>
        </w:rPr>
        <w:t>RQ4 (stretch).</w:t>
      </w:r>
      <w:r>
        <w:rPr/>
        <w:t xml:space="preserve"> Does capped literature enrichment (one disease area, ≤2,000 abstracts, high-confidence entity-linked triples only) improve link-prediction metrics versus the unenriched PrimeKG baseline?</w:t>
      </w:r>
    </w:p>
    <w:p>
      <w:pPr>
        <w:pStyle w:val="Heading3"/>
        <w:keepNext w:val="true"/>
        <w:numPr>
          <w:ilvl w:val="0"/>
          <w:numId w:val="0"/>
        </w:numPr>
        <w:bidi w:val="0"/>
        <w:spacing w:before="240" w:after="80"/>
        <w:ind w:left="240" w:right="240"/>
        <w:jc w:val="left"/>
        <w:rPr/>
      </w:pPr>
      <w:r>
        <w:rPr/>
        <w:t>4.3 Hypothesis</w:t>
      </w:r>
    </w:p>
    <w:p>
      <w:pPr>
        <w:pStyle w:val="BodyText"/>
        <w:bidi w:val="0"/>
        <w:spacing w:before="0" w:after="160"/>
        <w:jc w:val="both"/>
        <w:rPr/>
      </w:pPr>
      <w:r>
        <w:rPr>
          <w:rStyle w:val="Strong"/>
        </w:rPr>
        <w:t>H1.</w:t>
      </w:r>
      <w:r>
        <w:rPr/>
        <w:t xml:space="preserve"> A GNN trained for drug–disease link prediction on PrimeKG will outperform non-GNN baselines on held-out ranking metrics.</w:t>
      </w:r>
    </w:p>
    <w:p>
      <w:pPr>
        <w:pStyle w:val="BodyText"/>
        <w:bidi w:val="0"/>
        <w:spacing w:before="0" w:after="160"/>
        <w:jc w:val="both"/>
        <w:rPr/>
      </w:pPr>
      <w:r>
        <w:rPr>
          <w:rStyle w:val="Strong"/>
        </w:rPr>
        <w:t>H2.</w:t>
      </w:r>
      <w:r>
        <w:rPr/>
        <w:t xml:space="preserve"> Retrieval-augmented explanations will show measurably fewer unsupported biological claims than ungrounded LLM outputs on a labeled sample of generated sentences.</w:t>
      </w:r>
    </w:p>
    <w:p>
      <w:pPr>
        <w:pStyle w:val="BodyText"/>
        <w:bidi w:val="0"/>
        <w:spacing w:before="0" w:after="160"/>
        <w:jc w:val="both"/>
        <w:rPr/>
      </w:pPr>
      <w:r>
        <w:rPr>
          <w:rStyle w:val="Strong"/>
        </w:rPr>
        <w:t>H3.</w:t>
      </w:r>
      <w:r>
        <w:rPr/>
        <w:t xml:space="preserve"> Docking will be feasible for a substantial fraction of top-N candidates with resolvable UniProt/PDB and PubChem structures; unresolved cases will be explicitly reported rather than silently skipped.</w:t>
      </w:r>
    </w:p>
    <w:p>
      <w:pPr>
        <w:pStyle w:val="Heading3"/>
        <w:keepNext w:val="true"/>
        <w:numPr>
          <w:ilvl w:val="0"/>
          <w:numId w:val="0"/>
        </w:numPr>
        <w:bidi w:val="0"/>
        <w:spacing w:before="240" w:after="80"/>
        <w:ind w:left="240" w:right="240"/>
        <w:jc w:val="left"/>
        <w:rPr/>
      </w:pPr>
      <w:r>
        <w:rPr/>
        <w:t>4.4 Scope / boundary of answers</w:t>
      </w:r>
    </w:p>
    <w:p>
      <w:pPr>
        <w:pStyle w:val="BodyText"/>
        <w:bidi w:val="0"/>
        <w:spacing w:before="0" w:after="160"/>
        <w:jc w:val="both"/>
        <w:rPr/>
      </w:pPr>
      <w:r>
        <w:rPr/>
        <w:t xml:space="preserve">This research </w:t>
      </w:r>
      <w:r>
        <w:rPr>
          <w:rStyle w:val="Strong"/>
        </w:rPr>
        <w:t>will</w:t>
      </w:r>
      <w:r>
        <w:rPr/>
        <w:t xml:space="preserve"> answer questions about computational hypothesis prioritization quality, explanation grounding, and docking pipeline reliability. It </w:t>
      </w:r>
      <w:r>
        <w:rPr>
          <w:rStyle w:val="Strong"/>
        </w:rPr>
        <w:t>will not</w:t>
      </w:r>
      <w:r>
        <w:rPr/>
        <w:t xml:space="preserve"> answer whether any predicted drug is clinically effective, safe for a new indication in humans, or ready for regulatory submission. No human-subject clinical trials are proposed.</w:t>
      </w:r>
    </w:p>
    <w:p>
      <w:pPr>
        <w:pStyle w:val="Heading2"/>
        <w:keepNext w:val="true"/>
        <w:numPr>
          <w:ilvl w:val="0"/>
          <w:numId w:val="0"/>
        </w:numPr>
        <w:bidi w:val="0"/>
        <w:spacing w:before="280" w:after="120"/>
        <w:ind w:left="280" w:right="280"/>
        <w:jc w:val="left"/>
        <w:rPr/>
      </w:pPr>
      <w:r>
        <w:rPr/>
        <w:t>5. Proposed Solution</w:t>
      </w:r>
    </w:p>
    <w:p>
      <w:pPr>
        <w:pStyle w:val="Heading3"/>
        <w:keepNext w:val="true"/>
        <w:numPr>
          <w:ilvl w:val="0"/>
          <w:numId w:val="0"/>
        </w:numPr>
        <w:bidi w:val="0"/>
        <w:spacing w:before="240" w:after="80"/>
        <w:ind w:left="240" w:right="240"/>
        <w:jc w:val="left"/>
        <w:rPr/>
      </w:pPr>
      <w:r>
        <w:rPr/>
        <w:t>5.1 Research design</w:t>
      </w:r>
    </w:p>
    <w:p>
      <w:pPr>
        <w:pStyle w:val="BodyText"/>
        <w:bidi w:val="0"/>
        <w:spacing w:before="0" w:after="160"/>
        <w:jc w:val="both"/>
        <w:rPr/>
      </w:pPr>
      <w:r>
        <w:rPr/>
        <w:t xml:space="preserve">This is a </w:t>
      </w:r>
      <w:r>
        <w:rPr>
          <w:rStyle w:val="Strong"/>
        </w:rPr>
        <w:t>comparative experimental / systems-research</w:t>
      </w:r>
      <w:r>
        <w:rPr/>
        <w:t xml:space="preserve"> study with an engineering artifact:</w:t>
      </w:r>
    </w:p>
    <w:p>
      <w:pPr>
        <w:pStyle w:val="BodyText"/>
        <w:numPr>
          <w:ilvl w:val="0"/>
          <w:numId w:val="3"/>
        </w:numPr>
        <w:tabs>
          <w:tab w:val="clear" w:pos="1134"/>
          <w:tab w:val="left" w:pos="709" w:leader="none"/>
        </w:tabs>
        <w:bidi w:val="0"/>
        <w:spacing w:before="0" w:after="0"/>
        <w:ind w:hanging="283" w:left="709"/>
        <w:rPr/>
      </w:pPr>
      <w:r>
        <w:rPr>
          <w:rStyle w:val="Strong"/>
        </w:rPr>
        <w:t>Design:</w:t>
      </w:r>
      <w:r>
        <w:rPr/>
        <w:t xml:space="preserve"> comparative evaluation of link-prediction methods on a public KG; ablation of RAG grounding; descriptive evaluation of docking success/failure modes; optional quasi-experimental enrichment study (stretch). </w:t>
      </w:r>
    </w:p>
    <w:p>
      <w:pPr>
        <w:pStyle w:val="BodyText"/>
        <w:numPr>
          <w:ilvl w:val="0"/>
          <w:numId w:val="3"/>
        </w:numPr>
        <w:tabs>
          <w:tab w:val="clear" w:pos="1134"/>
          <w:tab w:val="left" w:pos="709" w:leader="none"/>
        </w:tabs>
        <w:bidi w:val="0"/>
        <w:spacing w:before="0" w:after="0"/>
        <w:ind w:hanging="283" w:left="709"/>
        <w:rPr/>
      </w:pPr>
      <w:r>
        <w:rPr>
          <w:rStyle w:val="Strong"/>
        </w:rPr>
        <w:t>Data sources:</w:t>
      </w:r>
      <w:r>
        <w:rPr/>
        <w:t xml:space="preserve"> PrimeKG public release [4]; NCBI PubMed / PMC via official E-utilities (abstracts always; PMC Open Access full text when linked); UniProt / PDB for receptors; PubChem for ligand structures. </w:t>
      </w:r>
    </w:p>
    <w:p>
      <w:pPr>
        <w:pStyle w:val="BodyText"/>
        <w:numPr>
          <w:ilvl w:val="0"/>
          <w:numId w:val="3"/>
        </w:numPr>
        <w:tabs>
          <w:tab w:val="clear" w:pos="1134"/>
          <w:tab w:val="left" w:pos="709" w:leader="none"/>
        </w:tabs>
        <w:bidi w:val="0"/>
        <w:spacing w:before="0" w:after="0"/>
        <w:ind w:hanging="283" w:left="709"/>
        <w:rPr/>
      </w:pPr>
      <w:r>
        <w:rPr>
          <w:rStyle w:val="Strong"/>
        </w:rPr>
        <w:t>Independent variables (examples):</w:t>
      </w:r>
      <w:r>
        <w:rPr/>
        <w:t xml:space="preserve"> model family (GNN vs baseline); presence/absence of RAG context; presence/absence of capped enrichment. </w:t>
      </w:r>
    </w:p>
    <w:p>
      <w:pPr>
        <w:pStyle w:val="BodyText"/>
        <w:numPr>
          <w:ilvl w:val="0"/>
          <w:numId w:val="3"/>
        </w:numPr>
        <w:tabs>
          <w:tab w:val="clear" w:pos="1134"/>
          <w:tab w:val="left" w:pos="709" w:leader="none"/>
        </w:tabs>
        <w:bidi w:val="0"/>
        <w:spacing w:before="0" w:after="0"/>
        <w:ind w:hanging="283" w:left="709"/>
        <w:rPr/>
      </w:pPr>
      <w:r>
        <w:rPr>
          <w:rStyle w:val="Strong"/>
        </w:rPr>
        <w:t>Dependent variables:</w:t>
      </w:r>
      <w:r>
        <w:rPr/>
        <w:t xml:space="preserve"> AUROC, AUPRC, MRR, Hits@K; citation faithfulness / unsupported-claim rate on sampled explanations; docking completion rate and score reporting. </w:t>
      </w:r>
    </w:p>
    <w:p>
      <w:pPr>
        <w:pStyle w:val="BodyText"/>
        <w:numPr>
          <w:ilvl w:val="0"/>
          <w:numId w:val="3"/>
        </w:numPr>
        <w:tabs>
          <w:tab w:val="clear" w:pos="1134"/>
          <w:tab w:val="left" w:pos="709" w:leader="none"/>
        </w:tabs>
        <w:bidi w:val="0"/>
        <w:spacing w:before="0" w:after="0"/>
        <w:ind w:hanging="283" w:left="709"/>
        <w:rPr/>
      </w:pPr>
      <w:r>
        <w:rPr>
          <w:rStyle w:val="Strong"/>
        </w:rPr>
        <w:t>Analysis:</w:t>
      </w:r>
      <w:r>
        <w:rPr/>
        <w:t xml:space="preserve"> ranking metrics on held-out edges; qualitative case studies of known repurposing successes used as sanity checks; error analysis for entity linking and docking prep failures. </w:t>
      </w:r>
    </w:p>
    <w:p>
      <w:pPr>
        <w:pStyle w:val="BodyText"/>
        <w:numPr>
          <w:ilvl w:val="0"/>
          <w:numId w:val="3"/>
        </w:numPr>
        <w:tabs>
          <w:tab w:val="clear" w:pos="1134"/>
          <w:tab w:val="left" w:pos="709" w:leader="none"/>
        </w:tabs>
        <w:bidi w:val="0"/>
        <w:ind w:hanging="283" w:left="709"/>
        <w:rPr/>
      </w:pPr>
      <w:r>
        <w:rPr>
          <w:rStyle w:val="Strong"/>
        </w:rPr>
        <w:t>Ethics / dual-use:</w:t>
      </w:r>
      <w:r>
        <w:rPr/>
        <w:t xml:space="preserve"> only public biomedical data; outputs framed as hypotheses; basic dual-use / toxicity flagging before display; no paywalled PDF scraping. </w:t>
      </w:r>
    </w:p>
    <w:p>
      <w:pPr>
        <w:pStyle w:val="Heading3"/>
        <w:keepNext w:val="true"/>
        <w:numPr>
          <w:ilvl w:val="0"/>
          <w:numId w:val="0"/>
        </w:numPr>
        <w:bidi w:val="0"/>
        <w:spacing w:before="240" w:after="80"/>
        <w:ind w:left="240" w:right="240"/>
        <w:jc w:val="left"/>
        <w:rPr/>
      </w:pPr>
      <w:r>
        <w:rPr/>
        <w:t>5.2 Solution architecture (closed-loop pipeline)</w:t>
      </w:r>
    </w:p>
    <w:p>
      <w:pPr>
        <w:pStyle w:val="BodyText"/>
        <w:bidi w:val="0"/>
        <w:spacing w:before="0" w:after="160"/>
        <w:jc w:val="both"/>
        <w:rPr/>
      </w:pPr>
      <w:r>
        <w:rPr/>
        <w:t xml:space="preserve">We propose an </w:t>
      </w:r>
      <w:r>
        <w:rPr>
          <w:rStyle w:val="Strong"/>
        </w:rPr>
        <w:t>AI-Based Autonomous Literature Discovery Engine</w:t>
      </w:r>
      <w:r>
        <w:rPr/>
        <w:t xml:space="preserve"> that moves from a user disease/drug query to a ranked, evidence-backed, computationally screened dossier:</w:t>
      </w:r>
    </w:p>
    <w:p>
      <w:pPr>
        <w:pStyle w:val="BodyText"/>
        <w:numPr>
          <w:ilvl w:val="0"/>
          <w:numId w:val="4"/>
        </w:numPr>
        <w:tabs>
          <w:tab w:val="clear" w:pos="1134"/>
          <w:tab w:val="left" w:pos="709" w:leader="none"/>
        </w:tabs>
        <w:bidi w:val="0"/>
        <w:spacing w:before="0" w:after="0"/>
        <w:ind w:hanging="283" w:left="709"/>
        <w:rPr/>
      </w:pPr>
      <w:r>
        <w:rPr>
          <w:rStyle w:val="Strong"/>
        </w:rPr>
        <w:t>Entity linking:</w:t>
      </w:r>
      <w:r>
        <w:rPr/>
        <w:t xml:space="preserve"> map user text to a PrimeKG node via synonym/fuzzy lookup (NER only if input is a full sentence); always confirm the resolved ID before prediction. </w:t>
      </w:r>
    </w:p>
    <w:p>
      <w:pPr>
        <w:pStyle w:val="BodyText"/>
        <w:numPr>
          <w:ilvl w:val="0"/>
          <w:numId w:val="4"/>
        </w:numPr>
        <w:tabs>
          <w:tab w:val="clear" w:pos="1134"/>
          <w:tab w:val="left" w:pos="709" w:leader="none"/>
        </w:tabs>
        <w:bidi w:val="0"/>
        <w:spacing w:before="0" w:after="0"/>
        <w:ind w:hanging="283" w:left="709"/>
        <w:rPr/>
      </w:pPr>
      <w:r>
        <w:rPr>
          <w:rStyle w:val="Strong"/>
        </w:rPr>
        <w:t>KG backbone:</w:t>
      </w:r>
      <w:r>
        <w:rPr/>
        <w:t xml:space="preserve"> load PrimeKG (do </w:t>
      </w:r>
      <w:r>
        <w:rPr>
          <w:rStyle w:val="Strong"/>
        </w:rPr>
        <w:t>not</w:t>
      </w:r>
      <w:r>
        <w:rPr/>
        <w:t xml:space="preserve"> rebuild from scratch). Optional Semester-2 capped enrichment adds high-confidence literature triples for one disease domain. </w:t>
      </w:r>
    </w:p>
    <w:p>
      <w:pPr>
        <w:pStyle w:val="BodyText"/>
        <w:numPr>
          <w:ilvl w:val="0"/>
          <w:numId w:val="4"/>
        </w:numPr>
        <w:tabs>
          <w:tab w:val="clear" w:pos="1134"/>
          <w:tab w:val="left" w:pos="709" w:leader="none"/>
        </w:tabs>
        <w:bidi w:val="0"/>
        <w:spacing w:before="0" w:after="0"/>
        <w:ind w:hanging="283" w:left="709"/>
        <w:rPr/>
      </w:pPr>
      <w:r>
        <w:rPr>
          <w:rStyle w:val="Strong"/>
        </w:rPr>
        <w:t>GNN link prediction:</w:t>
      </w:r>
      <w:r>
        <w:rPr/>
        <w:t xml:space="preserve"> score missing drug–disease associations; return top-K </w:t>
      </w:r>
      <w:r>
        <w:rPr>
          <w:rStyle w:val="Strong"/>
        </w:rPr>
        <w:t>novel</w:t>
      </w:r>
      <w:r>
        <w:rPr/>
        <w:t xml:space="preserve"> candidates (filter known edges). </w:t>
      </w:r>
    </w:p>
    <w:p>
      <w:pPr>
        <w:pStyle w:val="BodyText"/>
        <w:numPr>
          <w:ilvl w:val="0"/>
          <w:numId w:val="4"/>
        </w:numPr>
        <w:tabs>
          <w:tab w:val="clear" w:pos="1134"/>
          <w:tab w:val="left" w:pos="709" w:leader="none"/>
        </w:tabs>
        <w:bidi w:val="0"/>
        <w:spacing w:before="0" w:after="0"/>
        <w:ind w:hanging="283" w:left="709"/>
        <w:rPr/>
      </w:pPr>
      <w:r>
        <w:rPr>
          <w:rStyle w:val="Strong"/>
        </w:rPr>
        <w:t>Path enrichment:</w:t>
      </w:r>
      <w:r>
        <w:rPr/>
        <w:t xml:space="preserve"> extract intermediate Drug → Protein/Gene → Disease (or related) paths from the graph for each candidate. </w:t>
      </w:r>
    </w:p>
    <w:p>
      <w:pPr>
        <w:pStyle w:val="BodyText"/>
        <w:numPr>
          <w:ilvl w:val="0"/>
          <w:numId w:val="4"/>
        </w:numPr>
        <w:tabs>
          <w:tab w:val="clear" w:pos="1134"/>
          <w:tab w:val="left" w:pos="709" w:leader="none"/>
        </w:tabs>
        <w:bidi w:val="0"/>
        <w:spacing w:before="0" w:after="0"/>
        <w:ind w:hanging="283" w:left="709"/>
        <w:rPr/>
      </w:pPr>
      <w:r>
        <w:rPr>
          <w:rStyle w:val="Strong"/>
        </w:rPr>
        <w:t>RAG evidence:</w:t>
      </w:r>
      <w:r>
        <w:rPr/>
        <w:t xml:space="preserve"> query PubMed for drug–disease (and path-aware) queries; embed/retrieve passages; LLM explains </w:t>
      </w:r>
      <w:r>
        <w:rPr>
          <w:rStyle w:val="Strong"/>
        </w:rPr>
        <w:t>only</w:t>
      </w:r>
      <w:r>
        <w:rPr/>
        <w:t xml:space="preserve"> with retrieved text and PMIDs. </w:t>
      </w:r>
    </w:p>
    <w:p>
      <w:pPr>
        <w:pStyle w:val="BodyText"/>
        <w:numPr>
          <w:ilvl w:val="0"/>
          <w:numId w:val="4"/>
        </w:numPr>
        <w:tabs>
          <w:tab w:val="clear" w:pos="1134"/>
          <w:tab w:val="left" w:pos="709" w:leader="none"/>
        </w:tabs>
        <w:bidi w:val="0"/>
        <w:spacing w:before="0" w:after="0"/>
        <w:ind w:hanging="283" w:left="709"/>
        <w:rPr/>
      </w:pPr>
      <w:r>
        <w:rPr>
          <w:rStyle w:val="Strong"/>
        </w:rPr>
        <w:t>Target resolution + docking:</w:t>
      </w:r>
      <w:r>
        <w:rPr/>
        <w:t xml:space="preserve"> map intermediate proteins to UniProt/PDB, ligands to PubChem; run AutoDock Vina in Docker for top-N only; document fallbacks. </w:t>
      </w:r>
    </w:p>
    <w:p>
      <w:pPr>
        <w:pStyle w:val="BodyText"/>
        <w:numPr>
          <w:ilvl w:val="0"/>
          <w:numId w:val="4"/>
        </w:numPr>
        <w:tabs>
          <w:tab w:val="clear" w:pos="1134"/>
          <w:tab w:val="left" w:pos="709" w:leader="none"/>
        </w:tabs>
        <w:bidi w:val="0"/>
        <w:spacing w:before="0" w:after="0"/>
        <w:ind w:hanging="283" w:left="709"/>
        <w:rPr/>
      </w:pPr>
      <w:r>
        <w:rPr>
          <w:rStyle w:val="Strong"/>
        </w:rPr>
        <w:t>Safety / ADME review:</w:t>
      </w:r>
      <w:r>
        <w:rPr/>
        <w:t xml:space="preserve"> attach toxicity / ADME / contraindication flags (rule-based checklist first; LLM-assisted review second). </w:t>
      </w:r>
    </w:p>
    <w:p>
      <w:pPr>
        <w:pStyle w:val="BodyText"/>
        <w:numPr>
          <w:ilvl w:val="0"/>
          <w:numId w:val="4"/>
        </w:numPr>
        <w:tabs>
          <w:tab w:val="clear" w:pos="1134"/>
          <w:tab w:val="left" w:pos="709" w:leader="none"/>
        </w:tabs>
        <w:bidi w:val="0"/>
        <w:ind w:hanging="283" w:left="709"/>
        <w:rPr/>
      </w:pPr>
      <w:r>
        <w:rPr>
          <w:rStyle w:val="Strong"/>
        </w:rPr>
        <w:t>Deliverable layer:</w:t>
      </w:r>
      <w:r>
        <w:rPr/>
        <w:t xml:space="preserve"> Streamlit dashboard + LaTeX/PDF Pre-clinical Repurposing Dossier. </w:t>
      </w:r>
    </w:p>
    <w:p>
      <w:pPr>
        <w:pStyle w:val="BodyText"/>
        <w:bidi w:val="0"/>
        <w:spacing w:before="0" w:after="160"/>
        <w:jc w:val="both"/>
        <w:rPr/>
      </w:pPr>
      <w:r>
        <w:rPr>
          <w:rStyle w:val="Strong"/>
        </w:rPr>
        <w:t>Example:</w:t>
      </w:r>
      <w:r>
        <w:rPr/>
        <w:t xml:space="preserve"> user selects Alzheimer’s disease → GNN ranks novel drug candidates → RAG cites PubMed abstracts for Metformin–Alzheimer’s pathway hypotheses → docking scores Metformin against a resolved protein target when structure exists → dossier states a </w:t>
      </w:r>
      <w:r>
        <w:rPr>
          <w:rStyle w:val="Strong"/>
        </w:rPr>
        <w:t>computationally supported hypothesis</w:t>
      </w:r>
      <w:r>
        <w:rPr/>
        <w:t>, not a cure.</w:t>
      </w:r>
    </w:p>
    <w:p>
      <w:pPr>
        <w:pStyle w:val="Heading3"/>
        <w:keepNext w:val="true"/>
        <w:numPr>
          <w:ilvl w:val="0"/>
          <w:numId w:val="0"/>
        </w:numPr>
        <w:bidi w:val="0"/>
        <w:spacing w:before="240" w:after="80"/>
        <w:ind w:left="240" w:right="240"/>
        <w:jc w:val="left"/>
        <w:rPr/>
      </w:pPr>
      <w:r>
        <w:rPr/>
        <w:t>5.3 Functional requirements (system artifact)</w:t>
      </w:r>
    </w:p>
    <w:tbl>
      <w:tblPr>
        <w:tblW w:w="9026" w:type="dxa"/>
        <w:jc w:val="left"/>
        <w:tblInd w:w="0" w:type="dxa"/>
        <w:tblLayout w:type="fixed"/>
        <w:tblCellMar>
          <w:top w:w="28" w:type="dxa"/>
          <w:left w:w="28" w:type="dxa"/>
          <w:bottom w:w="28" w:type="dxa"/>
          <w:right w:w="28" w:type="dxa"/>
        </w:tblCellMar>
      </w:tblPr>
      <w:tblGrid>
        <w:gridCol w:w="553"/>
        <w:gridCol w:w="8473"/>
      </w:tblGrid>
      <w:tr>
        <w:trPr/>
        <w:tc>
          <w:tcPr>
            <w:tcW w:w="553" w:type="dxa"/>
            <w:tcBorders/>
            <w:vAlign w:val="center"/>
          </w:tcPr>
          <w:p>
            <w:pPr>
              <w:pStyle w:val="TableHeading"/>
              <w:suppressLineNumbers/>
              <w:bidi w:val="0"/>
              <w:spacing w:before="0" w:after="160"/>
              <w:jc w:val="left"/>
              <w:rPr/>
            </w:pPr>
            <w:r>
              <w:rPr/>
              <w:t>ID</w:t>
            </w:r>
          </w:p>
        </w:tc>
        <w:tc>
          <w:tcPr>
            <w:tcW w:w="8473" w:type="dxa"/>
            <w:tcBorders/>
            <w:vAlign w:val="center"/>
          </w:tcPr>
          <w:p>
            <w:pPr>
              <w:pStyle w:val="TableHeading"/>
              <w:suppressLineNumbers/>
              <w:bidi w:val="0"/>
              <w:spacing w:before="0" w:after="160"/>
              <w:jc w:val="left"/>
              <w:rPr/>
            </w:pPr>
            <w:r>
              <w:rPr/>
              <w:t>Requirement</w:t>
            </w:r>
          </w:p>
        </w:tc>
      </w:tr>
      <w:tr>
        <w:trPr/>
        <w:tc>
          <w:tcPr>
            <w:tcW w:w="553" w:type="dxa"/>
            <w:tcBorders/>
            <w:vAlign w:val="center"/>
          </w:tcPr>
          <w:p>
            <w:pPr>
              <w:pStyle w:val="TableContents"/>
              <w:bidi w:val="0"/>
              <w:spacing w:before="0" w:after="160"/>
              <w:jc w:val="left"/>
              <w:rPr/>
            </w:pPr>
            <w:r>
              <w:rPr/>
              <w:t>FR-1</w:t>
            </w:r>
          </w:p>
        </w:tc>
        <w:tc>
          <w:tcPr>
            <w:tcW w:w="8473" w:type="dxa"/>
            <w:tcBorders/>
            <w:vAlign w:val="center"/>
          </w:tcPr>
          <w:p>
            <w:pPr>
              <w:pStyle w:val="TableContents"/>
              <w:bidi w:val="0"/>
              <w:spacing w:before="0" w:after="160"/>
              <w:jc w:val="left"/>
              <w:rPr/>
            </w:pPr>
            <w:r>
              <w:rPr/>
              <w:t>User can search/confirm a disease or drug entity linked to a PrimeKG node ID.</w:t>
            </w:r>
          </w:p>
        </w:tc>
      </w:tr>
      <w:tr>
        <w:trPr/>
        <w:tc>
          <w:tcPr>
            <w:tcW w:w="553" w:type="dxa"/>
            <w:tcBorders/>
            <w:vAlign w:val="center"/>
          </w:tcPr>
          <w:p>
            <w:pPr>
              <w:pStyle w:val="TableContents"/>
              <w:bidi w:val="0"/>
              <w:spacing w:before="0" w:after="160"/>
              <w:jc w:val="left"/>
              <w:rPr/>
            </w:pPr>
            <w:r>
              <w:rPr/>
              <w:t>FR-2</w:t>
            </w:r>
          </w:p>
        </w:tc>
        <w:tc>
          <w:tcPr>
            <w:tcW w:w="8473" w:type="dxa"/>
            <w:tcBorders/>
            <w:vAlign w:val="center"/>
          </w:tcPr>
          <w:p>
            <w:pPr>
              <w:pStyle w:val="TableContents"/>
              <w:bidi w:val="0"/>
              <w:spacing w:before="0" w:after="160"/>
              <w:jc w:val="left"/>
              <w:rPr/>
            </w:pPr>
            <w:r>
              <w:rPr/>
              <w:t>System returns ranked novel drug–disease candidates with GNN scores.</w:t>
            </w:r>
          </w:p>
        </w:tc>
      </w:tr>
      <w:tr>
        <w:trPr/>
        <w:tc>
          <w:tcPr>
            <w:tcW w:w="553" w:type="dxa"/>
            <w:tcBorders/>
            <w:vAlign w:val="center"/>
          </w:tcPr>
          <w:p>
            <w:pPr>
              <w:pStyle w:val="TableContents"/>
              <w:bidi w:val="0"/>
              <w:spacing w:before="0" w:after="160"/>
              <w:jc w:val="left"/>
              <w:rPr/>
            </w:pPr>
            <w:r>
              <w:rPr/>
              <w:t>FR-3</w:t>
            </w:r>
          </w:p>
        </w:tc>
        <w:tc>
          <w:tcPr>
            <w:tcW w:w="8473" w:type="dxa"/>
            <w:tcBorders/>
            <w:vAlign w:val="center"/>
          </w:tcPr>
          <w:p>
            <w:pPr>
              <w:pStyle w:val="TableContents"/>
              <w:bidi w:val="0"/>
              <w:spacing w:before="0" w:after="160"/>
              <w:jc w:val="left"/>
              <w:rPr/>
            </w:pPr>
            <w:r>
              <w:rPr/>
              <w:t>For each top-K candidate, system retrieves PubMed evidence and generates a PMID-cited explanation.</w:t>
            </w:r>
          </w:p>
        </w:tc>
      </w:tr>
      <w:tr>
        <w:trPr/>
        <w:tc>
          <w:tcPr>
            <w:tcW w:w="553" w:type="dxa"/>
            <w:tcBorders/>
            <w:vAlign w:val="center"/>
          </w:tcPr>
          <w:p>
            <w:pPr>
              <w:pStyle w:val="TableContents"/>
              <w:bidi w:val="0"/>
              <w:spacing w:before="0" w:after="160"/>
              <w:jc w:val="left"/>
              <w:rPr/>
            </w:pPr>
            <w:r>
              <w:rPr/>
              <w:t>FR-4</w:t>
            </w:r>
          </w:p>
        </w:tc>
        <w:tc>
          <w:tcPr>
            <w:tcW w:w="8473" w:type="dxa"/>
            <w:tcBorders/>
            <w:vAlign w:val="center"/>
          </w:tcPr>
          <w:p>
            <w:pPr>
              <w:pStyle w:val="TableContents"/>
              <w:bidi w:val="0"/>
              <w:spacing w:before="0" w:after="160"/>
              <w:jc w:val="left"/>
              <w:rPr/>
            </w:pPr>
            <w:r>
              <w:rPr/>
              <w:t>For top-N candidates with resolvable structures, system runs sandboxed docking and records scores/errors.</w:t>
            </w:r>
          </w:p>
        </w:tc>
      </w:tr>
      <w:tr>
        <w:trPr/>
        <w:tc>
          <w:tcPr>
            <w:tcW w:w="553" w:type="dxa"/>
            <w:tcBorders/>
            <w:vAlign w:val="center"/>
          </w:tcPr>
          <w:p>
            <w:pPr>
              <w:pStyle w:val="TableContents"/>
              <w:bidi w:val="0"/>
              <w:spacing w:before="0" w:after="160"/>
              <w:jc w:val="left"/>
              <w:rPr/>
            </w:pPr>
            <w:r>
              <w:rPr/>
              <w:t>FR-5</w:t>
            </w:r>
          </w:p>
        </w:tc>
        <w:tc>
          <w:tcPr>
            <w:tcW w:w="8473" w:type="dxa"/>
            <w:tcBorders/>
            <w:vAlign w:val="center"/>
          </w:tcPr>
          <w:p>
            <w:pPr>
              <w:pStyle w:val="TableContents"/>
              <w:bidi w:val="0"/>
              <w:spacing w:before="0" w:after="160"/>
              <w:jc w:val="left"/>
              <w:rPr/>
            </w:pPr>
            <w:r>
              <w:rPr/>
              <w:t>System exports a PDF dossier and displays results in Streamlit.</w:t>
            </w:r>
          </w:p>
        </w:tc>
      </w:tr>
    </w:tbl>
    <w:p>
      <w:pPr>
        <w:pStyle w:val="BodyText"/>
        <w:bidi w:val="0"/>
        <w:spacing w:before="0" w:after="160"/>
        <w:jc w:val="both"/>
        <w:rPr/>
      </w:pPr>
      <w:r>
        <w:rPr>
          <w:rStyle w:val="Strong"/>
        </w:rPr>
        <w:t>User story examples</w:t>
      </w:r>
    </w:p>
    <w:p>
      <w:pPr>
        <w:pStyle w:val="BodyText"/>
        <w:numPr>
          <w:ilvl w:val="0"/>
          <w:numId w:val="5"/>
        </w:numPr>
        <w:tabs>
          <w:tab w:val="clear" w:pos="1134"/>
          <w:tab w:val="left" w:pos="709" w:leader="none"/>
        </w:tabs>
        <w:bidi w:val="0"/>
        <w:spacing w:before="0" w:after="0"/>
        <w:ind w:hanging="283" w:left="709"/>
        <w:rPr/>
      </w:pPr>
      <w:r>
        <w:rPr>
          <w:rStyle w:val="Emphasis"/>
        </w:rPr>
        <w:t>As a biomedical data-science researcher, I want ranked repurposing candidates for a disease so that I can shortlist drugs for literature follow-up.</w:t>
      </w:r>
      <w:r>
        <w:rPr/>
        <w:t xml:space="preserve"> </w:t>
      </w:r>
    </w:p>
    <w:p>
      <w:pPr>
        <w:pStyle w:val="BodyText"/>
        <w:numPr>
          <w:ilvl w:val="0"/>
          <w:numId w:val="5"/>
        </w:numPr>
        <w:tabs>
          <w:tab w:val="clear" w:pos="1134"/>
          <w:tab w:val="left" w:pos="709" w:leader="none"/>
        </w:tabs>
        <w:bidi w:val="0"/>
        <w:spacing w:before="0" w:after="0"/>
        <w:ind w:hanging="283" w:left="709"/>
        <w:rPr/>
      </w:pPr>
      <w:r>
        <w:rPr>
          <w:rStyle w:val="Emphasis"/>
        </w:rPr>
        <w:t>As a pharmacy student collaborator, I want PMID-cited pathway explanations so that I can judge biological plausibility.</w:t>
      </w:r>
      <w:r>
        <w:rPr/>
        <w:t xml:space="preserve"> </w:t>
      </w:r>
    </w:p>
    <w:p>
      <w:pPr>
        <w:pStyle w:val="BodyText"/>
        <w:numPr>
          <w:ilvl w:val="0"/>
          <w:numId w:val="5"/>
        </w:numPr>
        <w:tabs>
          <w:tab w:val="clear" w:pos="1134"/>
          <w:tab w:val="left" w:pos="709" w:leader="none"/>
        </w:tabs>
        <w:bidi w:val="0"/>
        <w:ind w:hanging="283" w:left="709"/>
        <w:rPr/>
      </w:pPr>
      <w:r>
        <w:rPr>
          <w:rStyle w:val="Emphasis"/>
        </w:rPr>
        <w:t>As a project evaluator, I want docking scores and failure reasons so that I can see which hypotheses passed a computational binding screen.</w:t>
      </w:r>
      <w:r>
        <w:rPr/>
        <w:t xml:space="preserve"> </w:t>
      </w:r>
    </w:p>
    <w:p>
      <w:pPr>
        <w:pStyle w:val="BodyText"/>
        <w:bidi w:val="0"/>
        <w:spacing w:before="0" w:after="160"/>
        <w:jc w:val="both"/>
        <w:rPr/>
      </w:pPr>
      <w:r>
        <w:rPr>
          <w:rStyle w:val="Strong"/>
        </w:rPr>
        <w:t>Non-functional requirements:</w:t>
      </w:r>
      <w:r>
        <w:rPr/>
        <w:t xml:space="preserve"> reproducibility (seeded splits, logged configs); isolation of docking via Docker; rate-limited NCBI API use; clear UI labeling that outputs are </w:t>
      </w:r>
      <w:r>
        <w:rPr>
          <w:rStyle w:val="Strong"/>
        </w:rPr>
        <w:t>hypotheses only</w:t>
      </w:r>
      <w:r>
        <w:rPr/>
        <w:t>.</w:t>
      </w:r>
    </w:p>
    <w:p>
      <w:pPr>
        <w:pStyle w:val="Heading3"/>
        <w:keepNext w:val="true"/>
        <w:numPr>
          <w:ilvl w:val="0"/>
          <w:numId w:val="0"/>
        </w:numPr>
        <w:bidi w:val="0"/>
        <w:spacing w:before="240" w:after="80"/>
        <w:ind w:left="240" w:right="240"/>
        <w:jc w:val="left"/>
        <w:rPr/>
      </w:pPr>
      <w:r>
        <w:rPr/>
        <w:t>5.4 Entrepreneurial note (secondary classification)</w:t>
      </w:r>
    </w:p>
    <w:p>
      <w:pPr>
        <w:pStyle w:val="BodyText"/>
        <w:bidi w:val="0"/>
        <w:spacing w:before="0" w:after="160"/>
        <w:jc w:val="both"/>
        <w:rPr/>
      </w:pPr>
      <w:r>
        <w:rPr/>
        <w:t xml:space="preserve">A full TAM/SAM/SOM market study with primary surveys is </w:t>
      </w:r>
      <w:r>
        <w:rPr>
          <w:rStyle w:val="Strong"/>
        </w:rPr>
        <w:t>not claimed in this draft</w:t>
      </w:r>
      <w:r>
        <w:rPr/>
        <w:t xml:space="preserve"> (no primary market data collected yet). The intended future product positioning—if pursued beyond FYP—is a research-productivity tool for academic labs / computational pharmacology teams (hypothesis dossiers), potentially freemium/API later. Commercial claims remain out of FYP success criteria unless supervisor requests a separate market annex.</w:t>
      </w:r>
    </w:p>
    <w:p>
      <w:pPr>
        <w:pStyle w:val="Heading2"/>
        <w:keepNext w:val="true"/>
        <w:numPr>
          <w:ilvl w:val="0"/>
          <w:numId w:val="0"/>
        </w:numPr>
        <w:bidi w:val="0"/>
        <w:spacing w:before="280" w:after="120"/>
        <w:ind w:left="280" w:right="280"/>
        <w:jc w:val="left"/>
        <w:rPr/>
      </w:pPr>
      <w:r>
        <w:rPr/>
        <w:t>6. Scope of the Project</w:t>
      </w:r>
    </w:p>
    <w:p>
      <w:pPr>
        <w:pStyle w:val="Heading3"/>
        <w:keepNext w:val="true"/>
        <w:numPr>
          <w:ilvl w:val="0"/>
          <w:numId w:val="0"/>
        </w:numPr>
        <w:bidi w:val="0"/>
        <w:spacing w:before="240" w:after="80"/>
        <w:ind w:left="240" w:right="240"/>
        <w:jc w:val="left"/>
        <w:rPr/>
      </w:pPr>
      <w:r>
        <w:rPr/>
        <w:t>6.1 In scope — major modules</w:t>
      </w:r>
    </w:p>
    <w:p>
      <w:pPr>
        <w:pStyle w:val="BodyText"/>
        <w:bidi w:val="0"/>
        <w:spacing w:before="0" w:after="160"/>
        <w:jc w:val="both"/>
        <w:rPr/>
      </w:pPr>
      <w:r>
        <w:rPr>
          <w:rStyle w:val="Strong"/>
        </w:rPr>
        <w:t>Module A — Knowledge Graph Foundation.</w:t>
      </w:r>
      <w:r>
        <w:rPr/>
        <w:t xml:space="preserve"> Load and preprocess PrimeKG; build train/validation/test splits for drug–disease links with leakage controls; provide entity synonym lookup tables for UI linking.</w:t>
      </w:r>
    </w:p>
    <w:p>
      <w:pPr>
        <w:pStyle w:val="BodyText"/>
        <w:bidi w:val="0"/>
        <w:spacing w:before="0" w:after="160"/>
        <w:jc w:val="both"/>
        <w:rPr/>
      </w:pPr>
      <w:r>
        <w:rPr>
          <w:rStyle w:val="Strong"/>
        </w:rPr>
        <w:t>Module B — GNN Link Prediction.</w:t>
      </w:r>
      <w:r>
        <w:rPr/>
        <w:t xml:space="preserve"> Implement and train a relational GNN (e.g., R-GCN / GAT variant as finalized in design phase) for drug–disease association ranking; report metrics and baselines.</w:t>
      </w:r>
    </w:p>
    <w:p>
      <w:pPr>
        <w:pStyle w:val="BodyText"/>
        <w:bidi w:val="0"/>
        <w:spacing w:before="0" w:after="160"/>
        <w:jc w:val="both"/>
        <w:rPr/>
      </w:pPr>
      <w:r>
        <w:rPr>
          <w:rStyle w:val="Strong"/>
        </w:rPr>
        <w:t>Module C — Evidence RAG + Explanation.</w:t>
      </w:r>
      <w:r>
        <w:rPr/>
        <w:t xml:space="preserve"> PubMed retrieval, chunking/embeddings, LLM generation constrained to retrieved passages; citation list per hypothesis.</w:t>
      </w:r>
    </w:p>
    <w:p>
      <w:pPr>
        <w:pStyle w:val="BodyText"/>
        <w:bidi w:val="0"/>
        <w:spacing w:before="0" w:after="160"/>
        <w:jc w:val="both"/>
        <w:rPr/>
      </w:pPr>
      <w:r>
        <w:rPr>
          <w:rStyle w:val="Strong"/>
        </w:rPr>
        <w:t>Module D — Docking Sandbox.</w:t>
      </w:r>
      <w:r>
        <w:rPr/>
        <w:t xml:space="preserve"> Automated ligand/receptor prep where possible; AutoDock Vina in Docker; top-N only (target </w:t>
      </w:r>
      <w:r>
        <w:rPr>
          <w:rStyle w:val="Strong"/>
        </w:rPr>
        <w:t>5–10</w:t>
      </w:r>
      <w:r>
        <w:rPr/>
        <w:t xml:space="preserve"> novel hypotheses per query demo).</w:t>
      </w:r>
    </w:p>
    <w:p>
      <w:pPr>
        <w:pStyle w:val="BodyText"/>
        <w:bidi w:val="0"/>
        <w:spacing w:before="0" w:after="160"/>
        <w:jc w:val="both"/>
        <w:rPr/>
      </w:pPr>
      <w:r>
        <w:rPr>
          <w:rStyle w:val="Strong"/>
        </w:rPr>
        <w:t>Module E — Safety Flags + Reporting UI.</w:t>
      </w:r>
      <w:r>
        <w:rPr/>
        <w:t xml:space="preserve"> ADME/toxicity/dual-use checklist; Streamlit exploration; PDF dossier generation.</w:t>
      </w:r>
    </w:p>
    <w:p>
      <w:pPr>
        <w:pStyle w:val="BodyText"/>
        <w:bidi w:val="0"/>
        <w:spacing w:before="0" w:after="160"/>
        <w:jc w:val="both"/>
        <w:rPr/>
      </w:pPr>
      <w:r>
        <w:rPr>
          <w:rStyle w:val="Strong"/>
        </w:rPr>
        <w:t>Module F — Optional capped enrichment (stretch).</w:t>
      </w:r>
      <w:r>
        <w:rPr/>
        <w:t xml:space="preserve"> For one disease area and ≤2,000 abstracts: NER + relation extraction → entity linking to PrimeKG IDs → append only high-confidence edges → re-evaluate GNN.</w:t>
      </w:r>
    </w:p>
    <w:p>
      <w:pPr>
        <w:pStyle w:val="Heading3"/>
        <w:keepNext w:val="true"/>
        <w:numPr>
          <w:ilvl w:val="0"/>
          <w:numId w:val="0"/>
        </w:numPr>
        <w:bidi w:val="0"/>
        <w:spacing w:before="240" w:after="80"/>
        <w:ind w:left="240" w:right="240"/>
        <w:jc w:val="left"/>
        <w:rPr/>
      </w:pPr>
      <w:r>
        <w:rPr/>
        <w:t>6.2 Explicitly out of scope</w:t>
      </w:r>
    </w:p>
    <w:p>
      <w:pPr>
        <w:pStyle w:val="BodyText"/>
        <w:numPr>
          <w:ilvl w:val="0"/>
          <w:numId w:val="6"/>
        </w:numPr>
        <w:tabs>
          <w:tab w:val="clear" w:pos="1134"/>
          <w:tab w:val="left" w:pos="709" w:leader="none"/>
        </w:tabs>
        <w:bidi w:val="0"/>
        <w:spacing w:before="0" w:after="0"/>
        <w:ind w:hanging="283" w:left="709"/>
        <w:rPr/>
      </w:pPr>
      <w:r>
        <w:rPr/>
        <w:t xml:space="preserve">Building a full PubMed-scale knowledge graph from scratch </w:t>
      </w:r>
    </w:p>
    <w:p>
      <w:pPr>
        <w:pStyle w:val="BodyText"/>
        <w:numPr>
          <w:ilvl w:val="0"/>
          <w:numId w:val="6"/>
        </w:numPr>
        <w:tabs>
          <w:tab w:val="clear" w:pos="1134"/>
          <w:tab w:val="left" w:pos="709" w:leader="none"/>
        </w:tabs>
        <w:bidi w:val="0"/>
        <w:spacing w:before="0" w:after="0"/>
        <w:ind w:hanging="283" w:left="709"/>
        <w:rPr/>
      </w:pPr>
      <w:r>
        <w:rPr/>
        <w:t xml:space="preserve">Continuous ingestion of all new biomedical papers worldwide </w:t>
      </w:r>
    </w:p>
    <w:p>
      <w:pPr>
        <w:pStyle w:val="BodyText"/>
        <w:numPr>
          <w:ilvl w:val="0"/>
          <w:numId w:val="6"/>
        </w:numPr>
        <w:tabs>
          <w:tab w:val="clear" w:pos="1134"/>
          <w:tab w:val="left" w:pos="709" w:leader="none"/>
        </w:tabs>
        <w:bidi w:val="0"/>
        <w:spacing w:before="0" w:after="0"/>
        <w:ind w:hanging="283" w:left="709"/>
        <w:rPr/>
      </w:pPr>
      <w:r>
        <w:rPr/>
        <w:t xml:space="preserve">Wet-lab validation, animal studies, or clinical trials </w:t>
      </w:r>
    </w:p>
    <w:p>
      <w:pPr>
        <w:pStyle w:val="BodyText"/>
        <w:numPr>
          <w:ilvl w:val="0"/>
          <w:numId w:val="6"/>
        </w:numPr>
        <w:tabs>
          <w:tab w:val="clear" w:pos="1134"/>
          <w:tab w:val="left" w:pos="709" w:leader="none"/>
        </w:tabs>
        <w:bidi w:val="0"/>
        <w:spacing w:before="0" w:after="0"/>
        <w:ind w:hanging="283" w:left="709"/>
        <w:rPr/>
      </w:pPr>
      <w:r>
        <w:rPr/>
        <w:t xml:space="preserve">Claiming clinical efficacy / regulatory readiness </w:t>
      </w:r>
    </w:p>
    <w:p>
      <w:pPr>
        <w:pStyle w:val="BodyText"/>
        <w:numPr>
          <w:ilvl w:val="0"/>
          <w:numId w:val="6"/>
        </w:numPr>
        <w:tabs>
          <w:tab w:val="clear" w:pos="1134"/>
          <w:tab w:val="left" w:pos="709" w:leader="none"/>
        </w:tabs>
        <w:bidi w:val="0"/>
        <w:spacing w:before="0" w:after="0"/>
        <w:ind w:hanging="283" w:left="709"/>
        <w:rPr/>
      </w:pPr>
      <w:r>
        <w:rPr/>
        <w:t xml:space="preserve">Scraping paywalled publisher PDFs </w:t>
      </w:r>
    </w:p>
    <w:p>
      <w:pPr>
        <w:pStyle w:val="BodyText"/>
        <w:numPr>
          <w:ilvl w:val="0"/>
          <w:numId w:val="6"/>
        </w:numPr>
        <w:tabs>
          <w:tab w:val="clear" w:pos="1134"/>
          <w:tab w:val="left" w:pos="709" w:leader="none"/>
        </w:tabs>
        <w:bidi w:val="0"/>
        <w:ind w:hanging="283" w:left="709"/>
        <w:rPr/>
      </w:pPr>
      <w:r>
        <w:rPr/>
        <w:t xml:space="preserve">Docking the entire drug library for every disease </w:t>
      </w:r>
    </w:p>
    <w:p>
      <w:pPr>
        <w:pStyle w:val="Heading3"/>
        <w:keepNext w:val="true"/>
        <w:numPr>
          <w:ilvl w:val="0"/>
          <w:numId w:val="0"/>
        </w:numPr>
        <w:bidi w:val="0"/>
        <w:spacing w:before="240" w:after="80"/>
        <w:ind w:left="240" w:right="240"/>
        <w:jc w:val="left"/>
        <w:rPr/>
      </w:pPr>
      <w:r>
        <w:rPr/>
        <w:t>6.3 Threats to validity (research honesty)</w:t>
      </w:r>
    </w:p>
    <w:p>
      <w:pPr>
        <w:pStyle w:val="BodyText"/>
        <w:numPr>
          <w:ilvl w:val="0"/>
          <w:numId w:val="7"/>
        </w:numPr>
        <w:tabs>
          <w:tab w:val="clear" w:pos="1134"/>
          <w:tab w:val="left" w:pos="709" w:leader="none"/>
        </w:tabs>
        <w:bidi w:val="0"/>
        <w:spacing w:before="0" w:after="0"/>
        <w:ind w:hanging="283" w:left="709"/>
        <w:rPr/>
      </w:pPr>
      <w:r>
        <w:rPr>
          <w:rStyle w:val="Strong"/>
        </w:rPr>
        <w:t>Snapshot bias:</w:t>
      </w:r>
      <w:r>
        <w:rPr/>
        <w:t xml:space="preserve"> PrimeKG lags live literature; mitigated by RAG and optional capped enrichment, not eliminated. </w:t>
      </w:r>
    </w:p>
    <w:p>
      <w:pPr>
        <w:pStyle w:val="BodyText"/>
        <w:numPr>
          <w:ilvl w:val="0"/>
          <w:numId w:val="7"/>
        </w:numPr>
        <w:tabs>
          <w:tab w:val="clear" w:pos="1134"/>
          <w:tab w:val="left" w:pos="709" w:leader="none"/>
        </w:tabs>
        <w:bidi w:val="0"/>
        <w:spacing w:before="0" w:after="0"/>
        <w:ind w:hanging="283" w:left="709"/>
        <w:rPr/>
      </w:pPr>
      <w:r>
        <w:rPr>
          <w:rStyle w:val="Strong"/>
        </w:rPr>
        <w:t>Extraction noise (if enrichment enabled):</w:t>
      </w:r>
      <w:r>
        <w:rPr/>
        <w:t xml:space="preserve"> false triples can pollute the graph; mitigated by confidence thresholds and manual spot checks. </w:t>
      </w:r>
    </w:p>
    <w:p>
      <w:pPr>
        <w:pStyle w:val="BodyText"/>
        <w:numPr>
          <w:ilvl w:val="0"/>
          <w:numId w:val="7"/>
        </w:numPr>
        <w:tabs>
          <w:tab w:val="clear" w:pos="1134"/>
          <w:tab w:val="left" w:pos="709" w:leader="none"/>
        </w:tabs>
        <w:bidi w:val="0"/>
        <w:spacing w:before="0" w:after="0"/>
        <w:ind w:hanging="283" w:left="709"/>
        <w:rPr/>
      </w:pPr>
      <w:r>
        <w:rPr>
          <w:rStyle w:val="Strong"/>
        </w:rPr>
        <w:t>Metric ≠ biology:</w:t>
      </w:r>
      <w:r>
        <w:rPr/>
        <w:t xml:space="preserve"> high AUROC does not prove a drug treats a disease. </w:t>
      </w:r>
    </w:p>
    <w:p>
      <w:pPr>
        <w:pStyle w:val="BodyText"/>
        <w:numPr>
          <w:ilvl w:val="0"/>
          <w:numId w:val="7"/>
        </w:numPr>
        <w:tabs>
          <w:tab w:val="clear" w:pos="1134"/>
          <w:tab w:val="left" w:pos="709" w:leader="none"/>
        </w:tabs>
        <w:bidi w:val="0"/>
        <w:spacing w:before="0" w:after="0"/>
        <w:ind w:hanging="283" w:left="709"/>
        <w:rPr/>
      </w:pPr>
      <w:r>
        <w:rPr>
          <w:rStyle w:val="Strong"/>
        </w:rPr>
        <w:t>Docking limitations:</w:t>
      </w:r>
      <w:r>
        <w:rPr/>
        <w:t xml:space="preserve"> scores are in-silico approximations; missing structures cause informative missingness. </w:t>
      </w:r>
    </w:p>
    <w:p>
      <w:pPr>
        <w:pStyle w:val="BodyText"/>
        <w:numPr>
          <w:ilvl w:val="0"/>
          <w:numId w:val="7"/>
        </w:numPr>
        <w:tabs>
          <w:tab w:val="clear" w:pos="1134"/>
          <w:tab w:val="left" w:pos="709" w:leader="none"/>
        </w:tabs>
        <w:bidi w:val="0"/>
        <w:spacing w:before="0" w:after="0"/>
        <w:ind w:hanging="283" w:left="709"/>
        <w:rPr/>
      </w:pPr>
      <w:r>
        <w:rPr>
          <w:rStyle w:val="Strong"/>
        </w:rPr>
        <w:t>LLM residual hallucination:</w:t>
      </w:r>
      <w:r>
        <w:rPr/>
        <w:t xml:space="preserve"> reduced by RAG + citation checks, not zero. </w:t>
      </w:r>
    </w:p>
    <w:p>
      <w:pPr>
        <w:pStyle w:val="BodyText"/>
        <w:numPr>
          <w:ilvl w:val="0"/>
          <w:numId w:val="7"/>
        </w:numPr>
        <w:tabs>
          <w:tab w:val="clear" w:pos="1134"/>
          <w:tab w:val="left" w:pos="709" w:leader="none"/>
        </w:tabs>
        <w:bidi w:val="0"/>
        <w:ind w:hanging="283" w:left="709"/>
        <w:rPr/>
      </w:pPr>
      <w:r>
        <w:rPr>
          <w:rStyle w:val="Strong"/>
        </w:rPr>
        <w:t>Case-study selection bias:</w:t>
      </w:r>
      <w:r>
        <w:rPr/>
        <w:t xml:space="preserve"> known successes (e.g., historically repurposed drugs) are sanity checks, not proof of general discovery power. </w:t>
      </w:r>
    </w:p>
    <w:p>
      <w:pPr>
        <w:pStyle w:val="Heading3"/>
        <w:keepNext w:val="true"/>
        <w:numPr>
          <w:ilvl w:val="0"/>
          <w:numId w:val="0"/>
        </w:numPr>
        <w:bidi w:val="0"/>
        <w:spacing w:before="240" w:after="80"/>
        <w:ind w:left="240" w:right="240"/>
        <w:jc w:val="left"/>
        <w:rPr/>
      </w:pPr>
      <w:r>
        <w:rPr/>
        <w:t>6.4 Expected contribution</w:t>
      </w:r>
    </w:p>
    <w:p>
      <w:pPr>
        <w:pStyle w:val="BodyText"/>
        <w:bidi w:val="0"/>
        <w:spacing w:before="0" w:after="160"/>
        <w:jc w:val="both"/>
        <w:rPr/>
      </w:pPr>
      <w:r>
        <w:rPr/>
        <w:t xml:space="preserve">A validated, reproducible </w:t>
      </w:r>
      <w:r>
        <w:rPr>
          <w:rStyle w:val="Strong"/>
        </w:rPr>
        <w:t>integrated methodology and software artifact</w:t>
      </w:r>
      <w:r>
        <w:rPr/>
        <w:t xml:space="preserve"> for literature-assisted drug-repurposing hypothesis prioritization, with empirical comparison against baselines and transparent reporting of failure modes—suitable for FYP defense and future extension.</w:t>
      </w:r>
    </w:p>
    <w:p>
      <w:pPr>
        <w:pStyle w:val="Heading2"/>
        <w:keepNext w:val="true"/>
        <w:numPr>
          <w:ilvl w:val="0"/>
          <w:numId w:val="0"/>
        </w:numPr>
        <w:bidi w:val="0"/>
        <w:spacing w:before="280" w:after="120"/>
        <w:ind w:left="280" w:right="280"/>
        <w:jc w:val="left"/>
        <w:rPr/>
      </w:pPr>
      <w:r>
        <w:rPr/>
        <w:t>7. System Architectural Design</w:t>
      </w:r>
    </w:p>
    <w:p>
      <w:pPr>
        <w:pStyle w:val="Heading3"/>
        <w:keepNext w:val="true"/>
        <w:numPr>
          <w:ilvl w:val="0"/>
          <w:numId w:val="0"/>
        </w:numPr>
        <w:bidi w:val="0"/>
        <w:spacing w:before="240" w:after="80"/>
        <w:ind w:left="240" w:right="240"/>
        <w:jc w:val="left"/>
        <w:rPr/>
      </w:pPr>
      <w:r>
        <w:rPr/>
        <w:t>7.1 High-level architecture</w:t>
      </w:r>
    </w:p>
    <w:p>
      <w:pPr>
        <w:pStyle w:val="BodyTextnote"/>
        <w:bidi w:val="0"/>
        <w:rPr/>
      </w:pPr>
      <w:r>
        <w:rPr/>
        <w:t>Mermaid source (for your own diagram export) is retained in the companion Markdown file. Leave the box below for the final image.</w:t>
      </w:r>
    </w:p>
    <w:p>
      <w:pPr>
        <w:pStyle w:val="BodyText"/>
        <w:keepLines/>
        <w:bidi w:val="0"/>
        <w:spacing w:before="200" w:after="280"/>
        <w:ind w:hanging="0" w:left="200" w:right="200"/>
        <w:jc w:val="center"/>
        <w:rPr/>
      </w:pPr>
      <w:r>
        <w:rPr>
          <w:rStyle w:val="Strong"/>
          <w:bdr w:val="dashed" w:sz="12" w:space="28" w:color="666666"/>
          <w:shd w:fill="F5F5F5" w:val="clear"/>
        </w:rPr>
        <w:t>[Insert Figure 1 here — System Architecture]</w:t>
      </w:r>
      <w:r>
        <w:rPr>
          <w:bdr w:val="dashed" w:sz="12" w:space="28" w:color="666666"/>
          <w:shd w:fill="F5F5F5" w:val="clear"/>
        </w:rPr>
        <w:br/>
        <w:br/>
      </w:r>
      <w:r>
        <w:rPr>
          <w:rStyle w:val="Emphasis"/>
          <w:bdr w:val="dashed" w:sz="12" w:space="28" w:color="666666"/>
          <w:shd w:fill="F5F5F5" w:val="clear"/>
        </w:rPr>
        <w:t>Export the architecture Mermaid diagram (or redraw in draw.io / PowerPoint) and paste the image in this space.</w:t>
      </w:r>
      <w:r>
        <w:rPr>
          <w:bdr w:val="dashed" w:sz="12" w:space="28" w:color="666666"/>
          <w:shd w:fill="F5F5F5" w:val="clear"/>
        </w:rPr>
        <w:t xml:space="preserve"> </w:t>
      </w:r>
    </w:p>
    <w:p>
      <w:pPr>
        <w:pStyle w:val="Heading3"/>
        <w:keepNext w:val="true"/>
        <w:numPr>
          <w:ilvl w:val="0"/>
          <w:numId w:val="0"/>
        </w:numPr>
        <w:bidi w:val="0"/>
        <w:spacing w:before="240" w:after="80"/>
        <w:ind w:left="240" w:right="240"/>
        <w:jc w:val="left"/>
        <w:rPr/>
      </w:pPr>
      <w:r>
        <w:rPr/>
        <w:t>7.2 End-to-end runtime workflow</w:t>
      </w:r>
    </w:p>
    <w:p>
      <w:pPr>
        <w:pStyle w:val="BodyText"/>
        <w:keepLines/>
        <w:bidi w:val="0"/>
        <w:spacing w:before="200" w:after="280"/>
        <w:ind w:hanging="0" w:left="200" w:right="200"/>
        <w:jc w:val="center"/>
        <w:rPr/>
      </w:pPr>
      <w:r>
        <w:rPr>
          <w:rStyle w:val="Strong"/>
          <w:bdr w:val="dashed" w:sz="12" w:space="28" w:color="666666"/>
          <w:shd w:fill="F5F5F5" w:val="clear"/>
        </w:rPr>
        <w:t>[Insert Figure 2 here — Runtime Workflow]</w:t>
      </w:r>
      <w:r>
        <w:rPr>
          <w:bdr w:val="dashed" w:sz="12" w:space="28" w:color="666666"/>
          <w:shd w:fill="F5F5F5" w:val="clear"/>
        </w:rPr>
        <w:br/>
        <w:br/>
      </w:r>
      <w:r>
        <w:rPr>
          <w:rStyle w:val="Emphasis"/>
          <w:bdr w:val="dashed" w:sz="12" w:space="28" w:color="666666"/>
          <w:shd w:fill="F5F5F5" w:val="clear"/>
        </w:rPr>
        <w:t>Paste exported workflow image here.</w:t>
      </w:r>
      <w:r>
        <w:rPr>
          <w:bdr w:val="dashed" w:sz="12" w:space="28" w:color="666666"/>
          <w:shd w:fill="F5F5F5" w:val="clear"/>
        </w:rPr>
        <w:t xml:space="preserve"> </w:t>
      </w:r>
    </w:p>
    <w:p>
      <w:pPr>
        <w:pStyle w:val="Heading3"/>
        <w:keepNext w:val="true"/>
        <w:numPr>
          <w:ilvl w:val="0"/>
          <w:numId w:val="0"/>
        </w:numPr>
        <w:bidi w:val="0"/>
        <w:spacing w:before="240" w:after="80"/>
        <w:ind w:left="240" w:right="240"/>
        <w:jc w:val="left"/>
        <w:rPr/>
      </w:pPr>
      <w:r>
        <w:rPr/>
        <w:t>7.3 Research methodology framework</w:t>
      </w:r>
    </w:p>
    <w:p>
      <w:pPr>
        <w:pStyle w:val="BodyText"/>
        <w:keepLines/>
        <w:bidi w:val="0"/>
        <w:spacing w:before="200" w:after="280"/>
        <w:ind w:hanging="0" w:left="200" w:right="200"/>
        <w:jc w:val="center"/>
        <w:rPr/>
      </w:pPr>
      <w:r>
        <w:rPr>
          <w:rStyle w:val="Strong"/>
          <w:bdr w:val="dashed" w:sz="12" w:space="28" w:color="666666"/>
          <w:shd w:fill="F5F5F5" w:val="clear"/>
        </w:rPr>
        <w:t>[Insert Figure 3 here — Research Methodology Framework]</w:t>
      </w:r>
      <w:r>
        <w:rPr>
          <w:bdr w:val="dashed" w:sz="12" w:space="28" w:color="666666"/>
          <w:shd w:fill="F5F5F5" w:val="clear"/>
        </w:rPr>
        <w:br/>
        <w:br/>
      </w:r>
      <w:r>
        <w:rPr>
          <w:rStyle w:val="Emphasis"/>
          <w:bdr w:val="dashed" w:sz="12" w:space="28" w:color="666666"/>
          <w:shd w:fill="F5F5F5" w:val="clear"/>
        </w:rPr>
        <w:t>Paste exported methodology diagram here.</w:t>
      </w:r>
      <w:r>
        <w:rPr>
          <w:bdr w:val="dashed" w:sz="12" w:space="28" w:color="666666"/>
          <w:shd w:fill="F5F5F5" w:val="clear"/>
        </w:rPr>
        <w:t xml:space="preserve"> </w:t>
      </w:r>
    </w:p>
    <w:p>
      <w:pPr>
        <w:pStyle w:val="Heading3"/>
        <w:keepNext w:val="true"/>
        <w:numPr>
          <w:ilvl w:val="0"/>
          <w:numId w:val="0"/>
        </w:numPr>
        <w:bidi w:val="0"/>
        <w:spacing w:before="240" w:after="80"/>
        <w:ind w:left="240" w:right="240"/>
        <w:jc w:val="left"/>
        <w:rPr/>
      </w:pPr>
      <w:r>
        <w:rPr/>
        <w:t>7.4 Data / component notes</w:t>
      </w:r>
    </w:p>
    <w:tbl>
      <w:tblPr>
        <w:tblW w:w="9026" w:type="dxa"/>
        <w:jc w:val="left"/>
        <w:tblInd w:w="0" w:type="dxa"/>
        <w:tblLayout w:type="fixed"/>
        <w:tblCellMar>
          <w:top w:w="28" w:type="dxa"/>
          <w:left w:w="28" w:type="dxa"/>
          <w:bottom w:w="28" w:type="dxa"/>
          <w:right w:w="28" w:type="dxa"/>
        </w:tblCellMar>
      </w:tblPr>
      <w:tblGrid>
        <w:gridCol w:w="1725"/>
        <w:gridCol w:w="4821"/>
        <w:gridCol w:w="2480"/>
      </w:tblGrid>
      <w:tr>
        <w:trPr/>
        <w:tc>
          <w:tcPr>
            <w:tcW w:w="1725" w:type="dxa"/>
            <w:tcBorders/>
            <w:vAlign w:val="center"/>
          </w:tcPr>
          <w:p>
            <w:pPr>
              <w:pStyle w:val="TableHeading"/>
              <w:suppressLineNumbers/>
              <w:bidi w:val="0"/>
              <w:spacing w:before="0" w:after="160"/>
              <w:jc w:val="left"/>
              <w:rPr/>
            </w:pPr>
            <w:r>
              <w:rPr/>
              <w:t>Layer</w:t>
            </w:r>
          </w:p>
        </w:tc>
        <w:tc>
          <w:tcPr>
            <w:tcW w:w="4821" w:type="dxa"/>
            <w:tcBorders/>
            <w:vAlign w:val="center"/>
          </w:tcPr>
          <w:p>
            <w:pPr>
              <w:pStyle w:val="TableHeading"/>
              <w:suppressLineNumbers/>
              <w:bidi w:val="0"/>
              <w:spacing w:before="0" w:after="160"/>
              <w:jc w:val="left"/>
              <w:rPr/>
            </w:pPr>
            <w:r>
              <w:rPr/>
              <w:t>Technology (planned)</w:t>
            </w:r>
          </w:p>
        </w:tc>
        <w:tc>
          <w:tcPr>
            <w:tcW w:w="2480" w:type="dxa"/>
            <w:tcBorders/>
            <w:vAlign w:val="center"/>
          </w:tcPr>
          <w:p>
            <w:pPr>
              <w:pStyle w:val="TableHeading"/>
              <w:suppressLineNumbers/>
              <w:bidi w:val="0"/>
              <w:spacing w:before="0" w:after="160"/>
              <w:jc w:val="left"/>
              <w:rPr/>
            </w:pPr>
            <w:r>
              <w:rPr/>
              <w:t>Role</w:t>
            </w:r>
          </w:p>
        </w:tc>
      </w:tr>
      <w:tr>
        <w:trPr/>
        <w:tc>
          <w:tcPr>
            <w:tcW w:w="1725" w:type="dxa"/>
            <w:tcBorders/>
            <w:vAlign w:val="center"/>
          </w:tcPr>
          <w:p>
            <w:pPr>
              <w:pStyle w:val="TableContents"/>
              <w:bidi w:val="0"/>
              <w:spacing w:before="0" w:after="160"/>
              <w:jc w:val="left"/>
              <w:rPr/>
            </w:pPr>
            <w:r>
              <w:rPr/>
              <w:t>Graph store / tensors</w:t>
            </w:r>
          </w:p>
        </w:tc>
        <w:tc>
          <w:tcPr>
            <w:tcW w:w="4821" w:type="dxa"/>
            <w:tcBorders/>
            <w:vAlign w:val="center"/>
          </w:tcPr>
          <w:p>
            <w:pPr>
              <w:pStyle w:val="TableContents"/>
              <w:bidi w:val="0"/>
              <w:spacing w:before="0" w:after="160"/>
              <w:jc w:val="left"/>
              <w:rPr/>
            </w:pPr>
            <w:r>
              <w:rPr/>
              <w:t>PyTorch Geometric (+ NetworkX as needed); optional Neo4j for exploration</w:t>
            </w:r>
          </w:p>
        </w:tc>
        <w:tc>
          <w:tcPr>
            <w:tcW w:w="2480" w:type="dxa"/>
            <w:tcBorders/>
            <w:vAlign w:val="center"/>
          </w:tcPr>
          <w:p>
            <w:pPr>
              <w:pStyle w:val="TableContents"/>
              <w:bidi w:val="0"/>
              <w:spacing w:before="0" w:after="160"/>
              <w:jc w:val="left"/>
              <w:rPr/>
            </w:pPr>
            <w:r>
              <w:rPr/>
              <w:t>Training graphs &amp; queries</w:t>
            </w:r>
          </w:p>
        </w:tc>
      </w:tr>
      <w:tr>
        <w:trPr/>
        <w:tc>
          <w:tcPr>
            <w:tcW w:w="1725" w:type="dxa"/>
            <w:tcBorders/>
            <w:vAlign w:val="center"/>
          </w:tcPr>
          <w:p>
            <w:pPr>
              <w:pStyle w:val="TableContents"/>
              <w:bidi w:val="0"/>
              <w:spacing w:before="0" w:after="160"/>
              <w:jc w:val="left"/>
              <w:rPr/>
            </w:pPr>
            <w:r>
              <w:rPr/>
              <w:t>ML</w:t>
            </w:r>
          </w:p>
        </w:tc>
        <w:tc>
          <w:tcPr>
            <w:tcW w:w="4821" w:type="dxa"/>
            <w:tcBorders/>
            <w:vAlign w:val="center"/>
          </w:tcPr>
          <w:p>
            <w:pPr>
              <w:pStyle w:val="TableContents"/>
              <w:bidi w:val="0"/>
              <w:spacing w:before="0" w:after="160"/>
              <w:jc w:val="left"/>
              <w:rPr/>
            </w:pPr>
            <w:r>
              <w:rPr/>
              <w:t>PyTorch; relational GNN</w:t>
            </w:r>
          </w:p>
        </w:tc>
        <w:tc>
          <w:tcPr>
            <w:tcW w:w="2480" w:type="dxa"/>
            <w:tcBorders/>
            <w:vAlign w:val="center"/>
          </w:tcPr>
          <w:p>
            <w:pPr>
              <w:pStyle w:val="TableContents"/>
              <w:bidi w:val="0"/>
              <w:spacing w:before="0" w:after="160"/>
              <w:jc w:val="left"/>
              <w:rPr/>
            </w:pPr>
            <w:r>
              <w:rPr/>
              <w:t>Link prediction</w:t>
            </w:r>
          </w:p>
        </w:tc>
      </w:tr>
      <w:tr>
        <w:trPr/>
        <w:tc>
          <w:tcPr>
            <w:tcW w:w="1725" w:type="dxa"/>
            <w:tcBorders/>
            <w:vAlign w:val="center"/>
          </w:tcPr>
          <w:p>
            <w:pPr>
              <w:pStyle w:val="TableContents"/>
              <w:bidi w:val="0"/>
              <w:spacing w:before="0" w:after="160"/>
              <w:jc w:val="left"/>
              <w:rPr/>
            </w:pPr>
            <w:r>
              <w:rPr/>
              <w:t>Retrieval</w:t>
            </w:r>
          </w:p>
        </w:tc>
        <w:tc>
          <w:tcPr>
            <w:tcW w:w="4821" w:type="dxa"/>
            <w:tcBorders/>
            <w:vAlign w:val="center"/>
          </w:tcPr>
          <w:p>
            <w:pPr>
              <w:pStyle w:val="TableContents"/>
              <w:bidi w:val="0"/>
              <w:spacing w:before="0" w:after="160"/>
              <w:jc w:val="left"/>
              <w:rPr/>
            </w:pPr>
            <w:r>
              <w:rPr/>
              <w:t>NCBI E-utilities; embeddings store (e.g., FAISS / Chroma)</w:t>
            </w:r>
          </w:p>
        </w:tc>
        <w:tc>
          <w:tcPr>
            <w:tcW w:w="2480" w:type="dxa"/>
            <w:tcBorders/>
            <w:vAlign w:val="center"/>
          </w:tcPr>
          <w:p>
            <w:pPr>
              <w:pStyle w:val="TableContents"/>
              <w:bidi w:val="0"/>
              <w:spacing w:before="0" w:after="160"/>
              <w:jc w:val="left"/>
              <w:rPr/>
            </w:pPr>
            <w:r>
              <w:rPr/>
              <w:t>Evidence RAG</w:t>
            </w:r>
          </w:p>
        </w:tc>
      </w:tr>
      <w:tr>
        <w:trPr/>
        <w:tc>
          <w:tcPr>
            <w:tcW w:w="1725" w:type="dxa"/>
            <w:tcBorders/>
            <w:vAlign w:val="center"/>
          </w:tcPr>
          <w:p>
            <w:pPr>
              <w:pStyle w:val="TableContents"/>
              <w:bidi w:val="0"/>
              <w:spacing w:before="0" w:after="160"/>
              <w:jc w:val="left"/>
              <w:rPr/>
            </w:pPr>
            <w:r>
              <w:rPr/>
              <w:t>LLM</w:t>
            </w:r>
          </w:p>
        </w:tc>
        <w:tc>
          <w:tcPr>
            <w:tcW w:w="4821" w:type="dxa"/>
            <w:tcBorders/>
            <w:vAlign w:val="center"/>
          </w:tcPr>
          <w:p>
            <w:pPr>
              <w:pStyle w:val="TableContents"/>
              <w:bidi w:val="0"/>
              <w:spacing w:before="0" w:after="160"/>
              <w:jc w:val="left"/>
              <w:rPr/>
            </w:pPr>
            <w:r>
              <w:rPr/>
              <w:t>API and/or local open model (cost-dependent)</w:t>
            </w:r>
          </w:p>
        </w:tc>
        <w:tc>
          <w:tcPr>
            <w:tcW w:w="2480" w:type="dxa"/>
            <w:tcBorders/>
            <w:vAlign w:val="center"/>
          </w:tcPr>
          <w:p>
            <w:pPr>
              <w:pStyle w:val="TableContents"/>
              <w:bidi w:val="0"/>
              <w:spacing w:before="0" w:after="160"/>
              <w:jc w:val="left"/>
              <w:rPr/>
            </w:pPr>
            <w:r>
              <w:rPr/>
              <w:t>Grounded explanation + review</w:t>
            </w:r>
          </w:p>
        </w:tc>
      </w:tr>
      <w:tr>
        <w:trPr/>
        <w:tc>
          <w:tcPr>
            <w:tcW w:w="1725" w:type="dxa"/>
            <w:tcBorders/>
            <w:vAlign w:val="center"/>
          </w:tcPr>
          <w:p>
            <w:pPr>
              <w:pStyle w:val="TableContents"/>
              <w:bidi w:val="0"/>
              <w:spacing w:before="0" w:after="160"/>
              <w:jc w:val="left"/>
              <w:rPr/>
            </w:pPr>
            <w:r>
              <w:rPr/>
              <w:t>Docking</w:t>
            </w:r>
          </w:p>
        </w:tc>
        <w:tc>
          <w:tcPr>
            <w:tcW w:w="4821" w:type="dxa"/>
            <w:tcBorders/>
            <w:vAlign w:val="center"/>
          </w:tcPr>
          <w:p>
            <w:pPr>
              <w:pStyle w:val="TableContents"/>
              <w:bidi w:val="0"/>
              <w:spacing w:before="0" w:after="160"/>
              <w:jc w:val="left"/>
              <w:rPr/>
            </w:pPr>
            <w:r>
              <w:rPr/>
              <w:t>AutoDock Vina; Docker</w:t>
            </w:r>
          </w:p>
        </w:tc>
        <w:tc>
          <w:tcPr>
            <w:tcW w:w="2480" w:type="dxa"/>
            <w:tcBorders/>
            <w:vAlign w:val="center"/>
          </w:tcPr>
          <w:p>
            <w:pPr>
              <w:pStyle w:val="TableContents"/>
              <w:bidi w:val="0"/>
              <w:spacing w:before="0" w:after="160"/>
              <w:jc w:val="left"/>
              <w:rPr/>
            </w:pPr>
            <w:r>
              <w:rPr/>
              <w:t>Sandboxed binding screen</w:t>
            </w:r>
          </w:p>
        </w:tc>
      </w:tr>
      <w:tr>
        <w:trPr/>
        <w:tc>
          <w:tcPr>
            <w:tcW w:w="1725" w:type="dxa"/>
            <w:tcBorders/>
            <w:vAlign w:val="center"/>
          </w:tcPr>
          <w:p>
            <w:pPr>
              <w:pStyle w:val="TableContents"/>
              <w:bidi w:val="0"/>
              <w:spacing w:before="0" w:after="160"/>
              <w:jc w:val="left"/>
              <w:rPr/>
            </w:pPr>
            <w:r>
              <w:rPr/>
              <w:t>UI / report</w:t>
            </w:r>
          </w:p>
        </w:tc>
        <w:tc>
          <w:tcPr>
            <w:tcW w:w="4821" w:type="dxa"/>
            <w:tcBorders/>
            <w:vAlign w:val="center"/>
          </w:tcPr>
          <w:p>
            <w:pPr>
              <w:pStyle w:val="TableContents"/>
              <w:bidi w:val="0"/>
              <w:spacing w:before="0" w:after="160"/>
              <w:jc w:val="left"/>
              <w:rPr/>
            </w:pPr>
            <w:r>
              <w:rPr/>
              <w:t>Streamlit; LaTeX or templated PDF</w:t>
            </w:r>
          </w:p>
        </w:tc>
        <w:tc>
          <w:tcPr>
            <w:tcW w:w="2480" w:type="dxa"/>
            <w:tcBorders/>
            <w:vAlign w:val="center"/>
          </w:tcPr>
          <w:p>
            <w:pPr>
              <w:pStyle w:val="TableContents"/>
              <w:bidi w:val="0"/>
              <w:spacing w:before="0" w:after="160"/>
              <w:jc w:val="left"/>
              <w:rPr/>
            </w:pPr>
            <w:r>
              <w:rPr/>
              <w:t>Deliverables</w:t>
            </w:r>
          </w:p>
        </w:tc>
      </w:tr>
    </w:tbl>
    <w:p>
      <w:pPr>
        <w:pStyle w:val="BodyText"/>
        <w:bidi w:val="0"/>
        <w:spacing w:before="0" w:after="160"/>
        <w:jc w:val="both"/>
        <w:rPr/>
      </w:pPr>
      <w:r>
        <w:rPr>
          <w:rStyle w:val="Strong"/>
        </w:rPr>
        <w:t>Hardware:</w:t>
      </w:r>
      <w:r>
        <w:rPr/>
        <w:t xml:space="preserve"> commodity laptop/workstation for development; </w:t>
      </w:r>
      <w:r>
        <w:rPr>
          <w:rStyle w:val="Strong"/>
        </w:rPr>
        <w:t>GPU strongly preferred</w:t>
      </w:r>
      <w:r>
        <w:rPr/>
        <w:t xml:space="preserve"> for GNN training (university lab / cloud Colab or equivalent). Docking batch limited to top-N to keep CPU time feasible.</w:t>
      </w:r>
    </w:p>
    <w:p>
      <w:pPr>
        <w:pStyle w:val="Heading2"/>
        <w:keepNext w:val="true"/>
        <w:numPr>
          <w:ilvl w:val="0"/>
          <w:numId w:val="0"/>
        </w:numPr>
        <w:bidi w:val="0"/>
        <w:spacing w:before="280" w:after="120"/>
        <w:ind w:left="280" w:right="280"/>
        <w:jc w:val="left"/>
        <w:rPr/>
      </w:pPr>
      <w:r>
        <w:rPr/>
        <w:t>8. Implementation Tools and Techniques</w:t>
      </w:r>
    </w:p>
    <w:tbl>
      <w:tblPr>
        <w:tblW w:w="9026" w:type="dxa"/>
        <w:jc w:val="left"/>
        <w:tblInd w:w="0" w:type="dxa"/>
        <w:tblLayout w:type="fixed"/>
        <w:tblCellMar>
          <w:top w:w="28" w:type="dxa"/>
          <w:left w:w="28" w:type="dxa"/>
          <w:bottom w:w="28" w:type="dxa"/>
          <w:right w:w="28" w:type="dxa"/>
        </w:tblCellMar>
      </w:tblPr>
      <w:tblGrid>
        <w:gridCol w:w="1807"/>
        <w:gridCol w:w="7219"/>
      </w:tblGrid>
      <w:tr>
        <w:trPr/>
        <w:tc>
          <w:tcPr>
            <w:tcW w:w="1807" w:type="dxa"/>
            <w:tcBorders/>
            <w:vAlign w:val="center"/>
          </w:tcPr>
          <w:p>
            <w:pPr>
              <w:pStyle w:val="TableHeading"/>
              <w:suppressLineNumbers/>
              <w:bidi w:val="0"/>
              <w:spacing w:before="0" w:after="160"/>
              <w:jc w:val="left"/>
              <w:rPr/>
            </w:pPr>
            <w:r>
              <w:rPr/>
              <w:t>Area</w:t>
            </w:r>
          </w:p>
        </w:tc>
        <w:tc>
          <w:tcPr>
            <w:tcW w:w="7219" w:type="dxa"/>
            <w:tcBorders/>
            <w:vAlign w:val="center"/>
          </w:tcPr>
          <w:p>
            <w:pPr>
              <w:pStyle w:val="TableHeading"/>
              <w:suppressLineNumbers/>
              <w:bidi w:val="0"/>
              <w:spacing w:before="0" w:after="160"/>
              <w:jc w:val="left"/>
              <w:rPr/>
            </w:pPr>
            <w:r>
              <w:rPr/>
              <w:t>Tools / techniques</w:t>
            </w:r>
          </w:p>
        </w:tc>
      </w:tr>
      <w:tr>
        <w:trPr/>
        <w:tc>
          <w:tcPr>
            <w:tcW w:w="1807" w:type="dxa"/>
            <w:tcBorders/>
            <w:vAlign w:val="center"/>
          </w:tcPr>
          <w:p>
            <w:pPr>
              <w:pStyle w:val="TableContents"/>
              <w:bidi w:val="0"/>
              <w:spacing w:before="0" w:after="160"/>
              <w:jc w:val="left"/>
              <w:rPr/>
            </w:pPr>
            <w:r>
              <w:rPr/>
              <w:t>Languages</w:t>
            </w:r>
          </w:p>
        </w:tc>
        <w:tc>
          <w:tcPr>
            <w:tcW w:w="7219" w:type="dxa"/>
            <w:tcBorders/>
            <w:vAlign w:val="center"/>
          </w:tcPr>
          <w:p>
            <w:pPr>
              <w:pStyle w:val="TableContents"/>
              <w:bidi w:val="0"/>
              <w:spacing w:before="0" w:after="160"/>
              <w:jc w:val="left"/>
              <w:rPr/>
            </w:pPr>
            <w:r>
              <w:rPr/>
              <w:t>Python 3.x</w:t>
            </w:r>
          </w:p>
        </w:tc>
      </w:tr>
      <w:tr>
        <w:trPr/>
        <w:tc>
          <w:tcPr>
            <w:tcW w:w="1807" w:type="dxa"/>
            <w:tcBorders/>
            <w:vAlign w:val="center"/>
          </w:tcPr>
          <w:p>
            <w:pPr>
              <w:pStyle w:val="TableContents"/>
              <w:bidi w:val="0"/>
              <w:spacing w:before="0" w:after="160"/>
              <w:jc w:val="left"/>
              <w:rPr/>
            </w:pPr>
            <w:r>
              <w:rPr/>
              <w:t>KG / ML</w:t>
            </w:r>
          </w:p>
        </w:tc>
        <w:tc>
          <w:tcPr>
            <w:tcW w:w="7219" w:type="dxa"/>
            <w:tcBorders/>
            <w:vAlign w:val="center"/>
          </w:tcPr>
          <w:p>
            <w:pPr>
              <w:pStyle w:val="TableContents"/>
              <w:bidi w:val="0"/>
              <w:spacing w:before="0" w:after="160"/>
              <w:jc w:val="left"/>
              <w:rPr/>
            </w:pPr>
            <w:r>
              <w:rPr/>
              <w:t>PyTorch, PyTorch Geometric, scikit-learn, pandas</w:t>
            </w:r>
          </w:p>
        </w:tc>
      </w:tr>
      <w:tr>
        <w:trPr/>
        <w:tc>
          <w:tcPr>
            <w:tcW w:w="1807" w:type="dxa"/>
            <w:tcBorders/>
            <w:vAlign w:val="center"/>
          </w:tcPr>
          <w:p>
            <w:pPr>
              <w:pStyle w:val="TableContents"/>
              <w:bidi w:val="0"/>
              <w:spacing w:before="0" w:after="160"/>
              <w:jc w:val="left"/>
              <w:rPr/>
            </w:pPr>
            <w:r>
              <w:rPr/>
              <w:t>NLP / RAG</w:t>
            </w:r>
          </w:p>
        </w:tc>
        <w:tc>
          <w:tcPr>
            <w:tcW w:w="7219" w:type="dxa"/>
            <w:tcBorders/>
            <w:vAlign w:val="center"/>
          </w:tcPr>
          <w:p>
            <w:pPr>
              <w:pStyle w:val="TableContents"/>
              <w:bidi w:val="0"/>
              <w:spacing w:before="0" w:after="160"/>
              <w:jc w:val="left"/>
              <w:rPr/>
            </w:pPr>
            <w:r>
              <w:rPr/>
              <w:t>Biopython / NCBI API; embedding model; LangChain or LlamaIndex (or equivalent thin custom pipeline)</w:t>
            </w:r>
          </w:p>
        </w:tc>
      </w:tr>
      <w:tr>
        <w:trPr/>
        <w:tc>
          <w:tcPr>
            <w:tcW w:w="1807" w:type="dxa"/>
            <w:tcBorders/>
            <w:vAlign w:val="center"/>
          </w:tcPr>
          <w:p>
            <w:pPr>
              <w:pStyle w:val="TableContents"/>
              <w:bidi w:val="0"/>
              <w:spacing w:before="0" w:after="160"/>
              <w:jc w:val="left"/>
              <w:rPr/>
            </w:pPr>
            <w:r>
              <w:rPr/>
              <w:t>Entity linking</w:t>
            </w:r>
          </w:p>
        </w:tc>
        <w:tc>
          <w:tcPr>
            <w:tcW w:w="7219" w:type="dxa"/>
            <w:tcBorders/>
            <w:vAlign w:val="center"/>
          </w:tcPr>
          <w:p>
            <w:pPr>
              <w:pStyle w:val="TableContents"/>
              <w:bidi w:val="0"/>
              <w:spacing w:before="0" w:after="160"/>
              <w:jc w:val="left"/>
              <w:rPr/>
            </w:pPr>
            <w:r>
              <w:rPr/>
              <w:t>RapidFuzz / synonym tables from PrimeKG labels; SciSpacy only for sentence inputs</w:t>
            </w:r>
          </w:p>
        </w:tc>
      </w:tr>
      <w:tr>
        <w:trPr/>
        <w:tc>
          <w:tcPr>
            <w:tcW w:w="1807" w:type="dxa"/>
            <w:tcBorders/>
            <w:vAlign w:val="center"/>
          </w:tcPr>
          <w:p>
            <w:pPr>
              <w:pStyle w:val="TableContents"/>
              <w:bidi w:val="0"/>
              <w:spacing w:before="0" w:after="160"/>
              <w:jc w:val="left"/>
              <w:rPr/>
            </w:pPr>
            <w:r>
              <w:rPr/>
              <w:t>Docking</w:t>
            </w:r>
          </w:p>
        </w:tc>
        <w:tc>
          <w:tcPr>
            <w:tcW w:w="7219" w:type="dxa"/>
            <w:tcBorders/>
            <w:vAlign w:val="center"/>
          </w:tcPr>
          <w:p>
            <w:pPr>
              <w:pStyle w:val="TableContents"/>
              <w:bidi w:val="0"/>
              <w:spacing w:before="0" w:after="160"/>
              <w:jc w:val="left"/>
              <w:rPr/>
            </w:pPr>
            <w:r>
              <w:rPr/>
              <w:t>AutoDock Vina; Open Babel / Meeko-style prep where applicable; Docker</w:t>
            </w:r>
          </w:p>
        </w:tc>
      </w:tr>
      <w:tr>
        <w:trPr/>
        <w:tc>
          <w:tcPr>
            <w:tcW w:w="1807" w:type="dxa"/>
            <w:tcBorders/>
            <w:vAlign w:val="center"/>
          </w:tcPr>
          <w:p>
            <w:pPr>
              <w:pStyle w:val="TableContents"/>
              <w:bidi w:val="0"/>
              <w:spacing w:before="0" w:after="160"/>
              <w:jc w:val="left"/>
              <w:rPr/>
            </w:pPr>
            <w:r>
              <w:rPr/>
              <w:t>UI</w:t>
            </w:r>
          </w:p>
        </w:tc>
        <w:tc>
          <w:tcPr>
            <w:tcW w:w="7219" w:type="dxa"/>
            <w:tcBorders/>
            <w:vAlign w:val="center"/>
          </w:tcPr>
          <w:p>
            <w:pPr>
              <w:pStyle w:val="TableContents"/>
              <w:bidi w:val="0"/>
              <w:spacing w:before="0" w:after="160"/>
              <w:jc w:val="left"/>
              <w:rPr/>
            </w:pPr>
            <w:r>
              <w:rPr/>
              <w:t>Streamlit</w:t>
            </w:r>
          </w:p>
        </w:tc>
      </w:tr>
      <w:tr>
        <w:trPr/>
        <w:tc>
          <w:tcPr>
            <w:tcW w:w="1807" w:type="dxa"/>
            <w:tcBorders/>
            <w:vAlign w:val="center"/>
          </w:tcPr>
          <w:p>
            <w:pPr>
              <w:pStyle w:val="TableContents"/>
              <w:bidi w:val="0"/>
              <w:spacing w:before="0" w:after="160"/>
              <w:jc w:val="left"/>
              <w:rPr/>
            </w:pPr>
            <w:r>
              <w:rPr/>
              <w:t>Reporting</w:t>
            </w:r>
          </w:p>
        </w:tc>
        <w:tc>
          <w:tcPr>
            <w:tcW w:w="7219" w:type="dxa"/>
            <w:tcBorders/>
            <w:vAlign w:val="center"/>
          </w:tcPr>
          <w:p>
            <w:pPr>
              <w:pStyle w:val="TableContents"/>
              <w:bidi w:val="0"/>
              <w:spacing w:before="0" w:after="160"/>
              <w:jc w:val="left"/>
              <w:rPr/>
            </w:pPr>
            <w:r>
              <w:rPr/>
              <w:t>LaTeX or ReportLab/WeasyPrint (final choice in design phase)</w:t>
            </w:r>
          </w:p>
        </w:tc>
      </w:tr>
      <w:tr>
        <w:trPr/>
        <w:tc>
          <w:tcPr>
            <w:tcW w:w="1807" w:type="dxa"/>
            <w:tcBorders/>
            <w:vAlign w:val="center"/>
          </w:tcPr>
          <w:p>
            <w:pPr>
              <w:pStyle w:val="TableContents"/>
              <w:bidi w:val="0"/>
              <w:spacing w:before="0" w:after="160"/>
              <w:jc w:val="left"/>
              <w:rPr/>
            </w:pPr>
            <w:r>
              <w:rPr/>
              <w:t>VCS / collab</w:t>
            </w:r>
          </w:p>
        </w:tc>
        <w:tc>
          <w:tcPr>
            <w:tcW w:w="7219" w:type="dxa"/>
            <w:tcBorders/>
            <w:vAlign w:val="center"/>
          </w:tcPr>
          <w:p>
            <w:pPr>
              <w:pStyle w:val="TableContents"/>
              <w:bidi w:val="0"/>
              <w:spacing w:before="0" w:after="160"/>
              <w:jc w:val="left"/>
              <w:rPr/>
            </w:pPr>
            <w:r>
              <w:rPr/>
              <w:t>Git + GitHub/GitLab</w:t>
            </w:r>
          </w:p>
        </w:tc>
      </w:tr>
      <w:tr>
        <w:trPr/>
        <w:tc>
          <w:tcPr>
            <w:tcW w:w="1807" w:type="dxa"/>
            <w:tcBorders/>
            <w:vAlign w:val="center"/>
          </w:tcPr>
          <w:p>
            <w:pPr>
              <w:pStyle w:val="TableContents"/>
              <w:bidi w:val="0"/>
              <w:spacing w:before="0" w:after="160"/>
              <w:jc w:val="left"/>
              <w:rPr/>
            </w:pPr>
            <w:r>
              <w:rPr/>
              <w:t>Experiment tracking</w:t>
            </w:r>
          </w:p>
        </w:tc>
        <w:tc>
          <w:tcPr>
            <w:tcW w:w="7219" w:type="dxa"/>
            <w:tcBorders/>
            <w:vAlign w:val="center"/>
          </w:tcPr>
          <w:p>
            <w:pPr>
              <w:pStyle w:val="TableContents"/>
              <w:bidi w:val="0"/>
              <w:spacing w:before="0" w:after="160"/>
              <w:jc w:val="left"/>
              <w:rPr/>
            </w:pPr>
            <w:r>
              <w:rPr/>
              <w:t>Seeded configs; CSV/JSON metric logs; optional Weights &amp; Biases / plain markdown lab notes</w:t>
            </w:r>
          </w:p>
        </w:tc>
      </w:tr>
      <w:tr>
        <w:trPr/>
        <w:tc>
          <w:tcPr>
            <w:tcW w:w="1807" w:type="dxa"/>
            <w:tcBorders/>
            <w:vAlign w:val="center"/>
          </w:tcPr>
          <w:p>
            <w:pPr>
              <w:pStyle w:val="TableContents"/>
              <w:bidi w:val="0"/>
              <w:spacing w:before="0" w:after="160"/>
              <w:jc w:val="left"/>
              <w:rPr/>
            </w:pPr>
            <w:r>
              <w:rPr/>
              <w:t>Testing</w:t>
            </w:r>
          </w:p>
        </w:tc>
        <w:tc>
          <w:tcPr>
            <w:tcW w:w="7219" w:type="dxa"/>
            <w:tcBorders/>
            <w:vAlign w:val="center"/>
          </w:tcPr>
          <w:p>
            <w:pPr>
              <w:pStyle w:val="TableContents"/>
              <w:bidi w:val="0"/>
              <w:spacing w:before="0" w:after="160"/>
              <w:jc w:val="left"/>
              <w:rPr/>
            </w:pPr>
            <w:r>
              <w:rPr/>
              <w:t>Unit tests for entity linking &amp; API adapters; integration test of one disease → top candidates path; docking dry-run container health check</w:t>
            </w:r>
          </w:p>
        </w:tc>
      </w:tr>
    </w:tbl>
    <w:p>
      <w:pPr>
        <w:pStyle w:val="BodyText"/>
        <w:bidi w:val="0"/>
        <w:spacing w:before="0" w:after="160"/>
        <w:jc w:val="both"/>
        <w:rPr/>
      </w:pPr>
      <w:r>
        <w:rPr>
          <w:rStyle w:val="Strong"/>
        </w:rPr>
        <w:t>Methodology summary:</w:t>
      </w:r>
      <w:r>
        <w:rPr/>
        <w:t xml:space="preserve"> iterative vertical-slice delivery—Semester 1 delivers disease → ranked candidates; Semester 2 adds RAG, docking, UI/report, evaluation write-up, and optional enrichment.</w:t>
      </w:r>
    </w:p>
    <w:p>
      <w:pPr>
        <w:pStyle w:val="Heading2"/>
        <w:keepNext w:val="true"/>
        <w:numPr>
          <w:ilvl w:val="0"/>
          <w:numId w:val="0"/>
        </w:numPr>
        <w:bidi w:val="0"/>
        <w:spacing w:before="280" w:after="120"/>
        <w:ind w:left="280" w:right="280"/>
        <w:jc w:val="left"/>
        <w:rPr/>
      </w:pPr>
      <w:r>
        <w:rPr/>
        <w:t>9. Project Plan</w:t>
      </w:r>
    </w:p>
    <w:p>
      <w:pPr>
        <w:pStyle w:val="BodyText"/>
        <w:bidi w:val="0"/>
        <w:spacing w:before="0" w:after="160"/>
        <w:jc w:val="both"/>
        <w:rPr/>
      </w:pPr>
      <w:r>
        <w:rPr/>
        <w:t xml:space="preserve">Project duration assumes </w:t>
      </w:r>
      <w:r>
        <w:rPr>
          <w:rStyle w:val="Strong"/>
        </w:rPr>
        <w:t>FYP-I (Fall 2026)</w:t>
      </w:r>
      <w:r>
        <w:rPr/>
        <w:t xml:space="preserve"> and </w:t>
      </w:r>
      <w:r>
        <w:rPr>
          <w:rStyle w:val="Strong"/>
        </w:rPr>
        <w:t>FYP-II (Spring 2027)</w:t>
      </w:r>
      <w:r>
        <w:rPr/>
        <w:t xml:space="preserve"> from enrollment through final defense. Exact calendar dates follow the university FYP schedule once issued. Weeks below are relative to enrollment (</w:t>
      </w:r>
      <w:r>
        <w:rPr>
          <w:rStyle w:val="Strong"/>
        </w:rPr>
        <w:t>W1…</w:t>
      </w:r>
      <w:r>
        <w:rPr/>
        <w:t>).</w:t>
      </w:r>
    </w:p>
    <w:p>
      <w:pPr>
        <w:pStyle w:val="Heading3"/>
        <w:keepNext w:val="true"/>
        <w:numPr>
          <w:ilvl w:val="0"/>
          <w:numId w:val="0"/>
        </w:numPr>
        <w:bidi w:val="0"/>
        <w:spacing w:before="240" w:after="80"/>
        <w:ind w:left="240" w:right="240"/>
        <w:jc w:val="left"/>
        <w:rPr/>
      </w:pPr>
      <w:r>
        <w:rPr/>
        <w:t>9.1 Work Breakdown Structure (WBS)</w:t>
      </w:r>
    </w:p>
    <w:p>
      <w:pPr>
        <w:pStyle w:val="PreformattedTextcodeblock"/>
        <w:pBdr/>
        <w:bidi w:val="0"/>
        <w:spacing w:before="160" w:after="240"/>
        <w:ind w:left="160" w:right="160"/>
        <w:jc w:val="left"/>
        <w:rPr/>
      </w:pPr>
      <w:r>
        <w:rPr/>
        <w:t>1. Project Management</w:t>
      </w:r>
    </w:p>
    <w:p>
      <w:pPr>
        <w:pStyle w:val="PreformattedTextcodeblock"/>
        <w:pBdr/>
        <w:bidi w:val="0"/>
        <w:spacing w:before="160" w:after="240"/>
        <w:ind w:left="160" w:right="160"/>
        <w:jc w:val="left"/>
        <w:rPr/>
      </w:pPr>
      <w:r>
        <w:rPr/>
        <w:t xml:space="preserve">   </w:t>
      </w:r>
      <w:r>
        <w:rPr/>
        <w:t>1.1 WBS / RACI maintenance</w:t>
      </w:r>
    </w:p>
    <w:p>
      <w:pPr>
        <w:pStyle w:val="PreformattedTextcodeblock"/>
        <w:pBdr/>
        <w:bidi w:val="0"/>
        <w:spacing w:before="160" w:after="240"/>
        <w:ind w:left="160" w:right="160"/>
        <w:jc w:val="left"/>
        <w:rPr/>
      </w:pPr>
      <w:r>
        <w:rPr/>
        <w:t xml:space="preserve">   </w:t>
      </w:r>
      <w:r>
        <w:rPr/>
        <w:t>1.2 Change control &amp; supervisor meetings</w:t>
      </w:r>
    </w:p>
    <w:p>
      <w:pPr>
        <w:pStyle w:val="PreformattedTextcodeblock"/>
        <w:pBdr/>
        <w:bidi w:val="0"/>
        <w:spacing w:before="160" w:after="240"/>
        <w:ind w:left="160" w:right="160"/>
        <w:jc w:val="left"/>
        <w:rPr/>
      </w:pPr>
      <w:r>
        <w:rPr/>
        <w:t xml:space="preserve">   </w:t>
      </w:r>
      <w:r>
        <w:rPr/>
        <w:t>1.3 Risk &amp; compute planning (GPU/Docker)</w:t>
      </w:r>
    </w:p>
    <w:p>
      <w:pPr>
        <w:pStyle w:val="PreformattedTextcodeblock"/>
        <w:pBdr/>
        <w:bidi w:val="0"/>
        <w:spacing w:before="160" w:after="240"/>
        <w:ind w:left="160" w:right="160"/>
        <w:jc w:val="left"/>
        <w:rPr/>
      </w:pPr>
      <w:r>
        <w:rPr/>
        <w:t>2. Documentation</w:t>
      </w:r>
    </w:p>
    <w:p>
      <w:pPr>
        <w:pStyle w:val="PreformattedTextcodeblock"/>
        <w:pBdr/>
        <w:bidi w:val="0"/>
        <w:spacing w:before="160" w:after="240"/>
        <w:ind w:left="160" w:right="160"/>
        <w:jc w:val="left"/>
        <w:rPr/>
      </w:pPr>
      <w:r>
        <w:rPr/>
        <w:t xml:space="preserve">   </w:t>
      </w:r>
      <w:r>
        <w:rPr/>
        <w:t>2.1 Proposal &amp; plan (this document)</w:t>
      </w:r>
    </w:p>
    <w:p>
      <w:pPr>
        <w:pStyle w:val="PreformattedTextcodeblock"/>
        <w:pBdr/>
        <w:bidi w:val="0"/>
        <w:spacing w:before="160" w:after="240"/>
        <w:ind w:left="160" w:right="160"/>
        <w:jc w:val="left"/>
        <w:rPr/>
      </w:pPr>
      <w:r>
        <w:rPr/>
        <w:t xml:space="preserve">   </w:t>
      </w:r>
      <w:r>
        <w:rPr/>
        <w:t>2.2 Literature survey (extended)</w:t>
      </w:r>
    </w:p>
    <w:p>
      <w:pPr>
        <w:pStyle w:val="PreformattedTextcodeblock"/>
        <w:pBdr/>
        <w:bidi w:val="0"/>
        <w:spacing w:before="160" w:after="240"/>
        <w:ind w:left="160" w:right="160"/>
        <w:jc w:val="left"/>
        <w:rPr/>
      </w:pPr>
      <w:r>
        <w:rPr/>
        <w:t xml:space="preserve">   </w:t>
      </w:r>
      <w:r>
        <w:rPr/>
        <w:t>2.3 Design document &amp; API contracts between modules</w:t>
      </w:r>
    </w:p>
    <w:p>
      <w:pPr>
        <w:pStyle w:val="PreformattedTextcodeblock"/>
        <w:pBdr/>
        <w:bidi w:val="0"/>
        <w:spacing w:before="160" w:after="240"/>
        <w:ind w:left="160" w:right="160"/>
        <w:jc w:val="left"/>
        <w:rPr/>
      </w:pPr>
      <w:r>
        <w:rPr/>
        <w:t xml:space="preserve">   </w:t>
      </w:r>
      <w:r>
        <w:rPr/>
        <w:t>2.4 Final thesis chapters / defense slides</w:t>
      </w:r>
    </w:p>
    <w:p>
      <w:pPr>
        <w:pStyle w:val="PreformattedTextcodeblock"/>
        <w:pBdr/>
        <w:bidi w:val="0"/>
        <w:spacing w:before="160" w:after="240"/>
        <w:ind w:left="160" w:right="160"/>
        <w:jc w:val="left"/>
        <w:rPr/>
      </w:pPr>
      <w:r>
        <w:rPr/>
        <w:t xml:space="preserve">   </w:t>
      </w:r>
      <w:r>
        <w:rPr/>
        <w:t>2.5 End-user &amp; admin notes (dashboard usage, how to reproduce experiments)</w:t>
      </w:r>
    </w:p>
    <w:p>
      <w:pPr>
        <w:pStyle w:val="PreformattedTextcodeblock"/>
        <w:pBdr/>
        <w:bidi w:val="0"/>
        <w:spacing w:before="160" w:after="240"/>
        <w:ind w:left="160" w:right="160"/>
        <w:jc w:val="left"/>
        <w:rPr/>
      </w:pPr>
      <w:r>
        <w:rPr/>
        <w:t>3. Requirements &amp; Research Design Finalization</w:t>
      </w:r>
    </w:p>
    <w:p>
      <w:pPr>
        <w:pStyle w:val="PreformattedTextcodeblock"/>
        <w:pBdr/>
        <w:bidi w:val="0"/>
        <w:spacing w:before="160" w:after="240"/>
        <w:ind w:left="160" w:right="160"/>
        <w:jc w:val="left"/>
        <w:rPr/>
      </w:pPr>
      <w:r>
        <w:rPr/>
        <w:t xml:space="preserve">   </w:t>
      </w:r>
      <w:r>
        <w:rPr/>
        <w:t>3.1 Freeze metrics, splits protocol, baselines</w:t>
      </w:r>
    </w:p>
    <w:p>
      <w:pPr>
        <w:pStyle w:val="PreformattedTextcodeblock"/>
        <w:pBdr/>
        <w:bidi w:val="0"/>
        <w:spacing w:before="160" w:after="240"/>
        <w:ind w:left="160" w:right="160"/>
        <w:jc w:val="left"/>
        <w:rPr/>
      </w:pPr>
      <w:r>
        <w:rPr/>
        <w:t xml:space="preserve">   </w:t>
      </w:r>
      <w:r>
        <w:rPr/>
        <w:t>3.2 Confirm disease focus for demos / enrichment</w:t>
      </w:r>
    </w:p>
    <w:p>
      <w:pPr>
        <w:pStyle w:val="PreformattedTextcodeblock"/>
        <w:pBdr/>
        <w:bidi w:val="0"/>
        <w:spacing w:before="160" w:after="240"/>
        <w:ind w:left="160" w:right="160"/>
        <w:jc w:val="left"/>
        <w:rPr/>
      </w:pPr>
      <w:r>
        <w:rPr/>
        <w:t>4. System / Research Environment</w:t>
      </w:r>
    </w:p>
    <w:p>
      <w:pPr>
        <w:pStyle w:val="PreformattedTextcodeblock"/>
        <w:pBdr/>
        <w:bidi w:val="0"/>
        <w:spacing w:before="160" w:after="240"/>
        <w:ind w:left="160" w:right="160"/>
        <w:jc w:val="left"/>
        <w:rPr/>
      </w:pPr>
      <w:r>
        <w:rPr/>
        <w:t xml:space="preserve">   </w:t>
      </w:r>
      <w:r>
        <w:rPr/>
        <w:t>4.1 Repositories, environments, Docker baseline</w:t>
      </w:r>
    </w:p>
    <w:p>
      <w:pPr>
        <w:pStyle w:val="PreformattedTextcodeblock"/>
        <w:pBdr/>
        <w:bidi w:val="0"/>
        <w:spacing w:before="160" w:after="240"/>
        <w:ind w:left="160" w:right="160"/>
        <w:jc w:val="left"/>
        <w:rPr/>
      </w:pPr>
      <w:r>
        <w:rPr/>
        <w:t xml:space="preserve">   </w:t>
      </w:r>
      <w:r>
        <w:rPr/>
        <w:t>4.2 PrimeKG download &amp; schema understanding</w:t>
      </w:r>
    </w:p>
    <w:p>
      <w:pPr>
        <w:pStyle w:val="PreformattedTextcodeblock"/>
        <w:pBdr/>
        <w:bidi w:val="0"/>
        <w:spacing w:before="160" w:after="240"/>
        <w:ind w:left="160" w:right="160"/>
        <w:jc w:val="left"/>
        <w:rPr/>
      </w:pPr>
      <w:r>
        <w:rPr/>
        <w:t>5. Data Management Layer</w:t>
      </w:r>
    </w:p>
    <w:p>
      <w:pPr>
        <w:pStyle w:val="PreformattedTextcodeblock"/>
        <w:pBdr/>
        <w:bidi w:val="0"/>
        <w:spacing w:before="160" w:after="240"/>
        <w:ind w:left="160" w:right="160"/>
        <w:jc w:val="left"/>
        <w:rPr/>
      </w:pPr>
      <w:r>
        <w:rPr/>
        <w:t xml:space="preserve">   </w:t>
      </w:r>
      <w:r>
        <w:rPr/>
        <w:t>5.1 Graph preprocessing &amp; ID maps</w:t>
      </w:r>
    </w:p>
    <w:p>
      <w:pPr>
        <w:pStyle w:val="PreformattedTextcodeblock"/>
        <w:pBdr/>
        <w:bidi w:val="0"/>
        <w:spacing w:before="160" w:after="240"/>
        <w:ind w:left="160" w:right="160"/>
        <w:jc w:val="left"/>
        <w:rPr/>
      </w:pPr>
      <w:r>
        <w:rPr/>
        <w:t xml:space="preserve">   </w:t>
      </w:r>
      <w:r>
        <w:rPr/>
        <w:t>5.2 Train/val/test splits</w:t>
      </w:r>
    </w:p>
    <w:p>
      <w:pPr>
        <w:pStyle w:val="PreformattedTextcodeblock"/>
        <w:pBdr/>
        <w:bidi w:val="0"/>
        <w:spacing w:before="160" w:after="240"/>
        <w:ind w:left="160" w:right="160"/>
        <w:jc w:val="left"/>
        <w:rPr/>
      </w:pPr>
      <w:r>
        <w:rPr/>
        <w:t xml:space="preserve">   </w:t>
      </w:r>
      <w:r>
        <w:rPr/>
        <w:t>5.3 PubMed retrieval cache</w:t>
      </w:r>
    </w:p>
    <w:p>
      <w:pPr>
        <w:pStyle w:val="PreformattedTextcodeblock"/>
        <w:pBdr/>
        <w:bidi w:val="0"/>
        <w:spacing w:before="160" w:after="240"/>
        <w:ind w:left="160" w:right="160"/>
        <w:jc w:val="left"/>
        <w:rPr/>
      </w:pPr>
      <w:r>
        <w:rPr/>
        <w:t>6. Business / ML Logic Layer</w:t>
      </w:r>
    </w:p>
    <w:p>
      <w:pPr>
        <w:pStyle w:val="PreformattedTextcodeblock"/>
        <w:pBdr/>
        <w:bidi w:val="0"/>
        <w:spacing w:before="160" w:after="240"/>
        <w:ind w:left="160" w:right="160"/>
        <w:jc w:val="left"/>
        <w:rPr/>
      </w:pPr>
      <w:r>
        <w:rPr/>
        <w:t xml:space="preserve">   </w:t>
      </w:r>
      <w:r>
        <w:rPr/>
        <w:t>6.1 GNN training &amp; baselines (Sem 1 core)</w:t>
      </w:r>
    </w:p>
    <w:p>
      <w:pPr>
        <w:pStyle w:val="PreformattedTextcodeblock"/>
        <w:pBdr/>
        <w:bidi w:val="0"/>
        <w:spacing w:before="160" w:after="240"/>
        <w:ind w:left="160" w:right="160"/>
        <w:jc w:val="left"/>
        <w:rPr/>
      </w:pPr>
      <w:r>
        <w:rPr/>
        <w:t xml:space="preserve">   </w:t>
      </w:r>
      <w:r>
        <w:rPr/>
        <w:t>6.2 Candidate filter + path extraction</w:t>
      </w:r>
    </w:p>
    <w:p>
      <w:pPr>
        <w:pStyle w:val="PreformattedTextcodeblock"/>
        <w:pBdr/>
        <w:bidi w:val="0"/>
        <w:spacing w:before="160" w:after="240"/>
        <w:ind w:left="160" w:right="160"/>
        <w:jc w:val="left"/>
        <w:rPr/>
      </w:pPr>
      <w:r>
        <w:rPr/>
        <w:t xml:space="preserve">   </w:t>
      </w:r>
      <w:r>
        <w:rPr/>
        <w:t>6.3 RAG + grounded explanation (Sem 2)</w:t>
      </w:r>
    </w:p>
    <w:p>
      <w:pPr>
        <w:pStyle w:val="PreformattedTextcodeblock"/>
        <w:pBdr/>
        <w:bidi w:val="0"/>
        <w:spacing w:before="160" w:after="240"/>
        <w:ind w:left="160" w:right="160"/>
        <w:jc w:val="left"/>
        <w:rPr/>
      </w:pPr>
      <w:r>
        <w:rPr/>
        <w:t xml:space="preserve">   </w:t>
      </w:r>
      <w:r>
        <w:rPr/>
        <w:t>6.4 Docking automation (Sem 2)</w:t>
      </w:r>
    </w:p>
    <w:p>
      <w:pPr>
        <w:pStyle w:val="PreformattedTextcodeblock"/>
        <w:pBdr/>
        <w:bidi w:val="0"/>
        <w:spacing w:before="160" w:after="240"/>
        <w:ind w:left="160" w:right="160"/>
        <w:jc w:val="left"/>
        <w:rPr/>
      </w:pPr>
      <w:r>
        <w:rPr/>
        <w:t xml:space="preserve">   </w:t>
      </w:r>
      <w:r>
        <w:rPr/>
        <w:t>6.5 Safety flag module</w:t>
      </w:r>
    </w:p>
    <w:p>
      <w:pPr>
        <w:pStyle w:val="PreformattedTextcodeblock"/>
        <w:pBdr/>
        <w:bidi w:val="0"/>
        <w:spacing w:before="160" w:after="240"/>
        <w:ind w:left="160" w:right="160"/>
        <w:jc w:val="left"/>
        <w:rPr/>
      </w:pPr>
      <w:r>
        <w:rPr/>
        <w:t xml:space="preserve">   </w:t>
      </w:r>
      <w:r>
        <w:rPr/>
        <w:t>6.6 Optional enrichment pipeline (stretch)</w:t>
      </w:r>
    </w:p>
    <w:p>
      <w:pPr>
        <w:pStyle w:val="PreformattedTextcodeblock"/>
        <w:pBdr/>
        <w:bidi w:val="0"/>
        <w:spacing w:before="160" w:after="240"/>
        <w:ind w:left="160" w:right="160"/>
        <w:jc w:val="left"/>
        <w:rPr/>
      </w:pPr>
      <w:r>
        <w:rPr/>
        <w:t>7. Presentation Layer</w:t>
      </w:r>
    </w:p>
    <w:p>
      <w:pPr>
        <w:pStyle w:val="PreformattedTextcodeblock"/>
        <w:pBdr/>
        <w:bidi w:val="0"/>
        <w:spacing w:before="160" w:after="240"/>
        <w:ind w:left="160" w:right="160"/>
        <w:jc w:val="left"/>
        <w:rPr/>
      </w:pPr>
      <w:r>
        <w:rPr/>
        <w:t xml:space="preserve">   </w:t>
      </w:r>
      <w:r>
        <w:rPr/>
        <w:t>7.1 Streamlit UI (search, confirm entity, results)</w:t>
      </w:r>
    </w:p>
    <w:p>
      <w:pPr>
        <w:pStyle w:val="PreformattedTextcodeblock"/>
        <w:pBdr/>
        <w:bidi w:val="0"/>
        <w:spacing w:before="160" w:after="240"/>
        <w:ind w:left="160" w:right="160"/>
        <w:jc w:val="left"/>
        <w:rPr/>
      </w:pPr>
      <w:r>
        <w:rPr/>
        <w:t xml:space="preserve">   </w:t>
      </w:r>
      <w:r>
        <w:rPr/>
        <w:t>7.2 PDF dossier templates</w:t>
      </w:r>
    </w:p>
    <w:p>
      <w:pPr>
        <w:pStyle w:val="PreformattedTextcodeblock"/>
        <w:pBdr/>
        <w:bidi w:val="0"/>
        <w:spacing w:before="160" w:after="240"/>
        <w:ind w:left="160" w:right="160"/>
        <w:jc w:val="left"/>
        <w:rPr/>
      </w:pPr>
      <w:r>
        <w:rPr/>
        <w:t>8. Testing &amp; Evaluation</w:t>
      </w:r>
    </w:p>
    <w:p>
      <w:pPr>
        <w:pStyle w:val="PreformattedTextcodeblock"/>
        <w:pBdr/>
        <w:bidi w:val="0"/>
        <w:spacing w:before="160" w:after="240"/>
        <w:ind w:left="160" w:right="160"/>
        <w:jc w:val="left"/>
        <w:rPr/>
      </w:pPr>
      <w:r>
        <w:rPr/>
        <w:t xml:space="preserve">   </w:t>
      </w:r>
      <w:r>
        <w:rPr/>
        <w:t>8.1 Metric tables &amp; ablations</w:t>
      </w:r>
    </w:p>
    <w:p>
      <w:pPr>
        <w:pStyle w:val="PreformattedTextcodeblock"/>
        <w:pBdr/>
        <w:bidi w:val="0"/>
        <w:spacing w:before="160" w:after="240"/>
        <w:ind w:left="160" w:right="160"/>
        <w:jc w:val="left"/>
        <w:rPr/>
      </w:pPr>
      <w:r>
        <w:rPr/>
        <w:t xml:space="preserve">   </w:t>
      </w:r>
      <w:r>
        <w:rPr/>
        <w:t>8.2 Case studies &amp; error analysis</w:t>
      </w:r>
    </w:p>
    <w:p>
      <w:pPr>
        <w:pStyle w:val="PreformattedTextcodeblock"/>
        <w:pBdr/>
        <w:bidi w:val="0"/>
        <w:spacing w:before="160" w:after="240"/>
        <w:ind w:left="160" w:right="160"/>
        <w:jc w:val="left"/>
        <w:rPr/>
      </w:pPr>
      <w:r>
        <w:rPr/>
        <w:t xml:space="preserve">   </w:t>
      </w:r>
      <w:r>
        <w:rPr/>
        <w:t>8.3 Usability dry-run of dashboard</w:t>
      </w:r>
    </w:p>
    <w:p>
      <w:pPr>
        <w:pStyle w:val="PreformattedTextcodeblock"/>
        <w:pBdr/>
        <w:bidi w:val="0"/>
        <w:spacing w:before="160" w:after="240"/>
        <w:ind w:left="160" w:right="160"/>
        <w:jc w:val="left"/>
        <w:rPr/>
      </w:pPr>
      <w:r>
        <w:rPr/>
        <w:t>9. Deployment / Demo Packaging</w:t>
      </w:r>
    </w:p>
    <w:p>
      <w:pPr>
        <w:pStyle w:val="PreformattedTextcodeblock"/>
        <w:pBdr/>
        <w:bidi w:val="0"/>
        <w:spacing w:before="160" w:after="240"/>
        <w:ind w:left="160" w:right="160"/>
        <w:jc w:val="left"/>
        <w:rPr/>
      </w:pPr>
      <w:r>
        <w:rPr/>
        <w:t xml:space="preserve">   </w:t>
      </w:r>
      <w:r>
        <w:rPr/>
        <w:t>9.1 Demo script + sample dossiers</w:t>
      </w:r>
    </w:p>
    <w:p>
      <w:pPr>
        <w:pStyle w:val="PreformattedTextcodeblock"/>
        <w:pBdr/>
        <w:bidi w:val="0"/>
        <w:spacing w:before="160" w:after="240"/>
        <w:ind w:left="160" w:right="160"/>
        <w:jc w:val="left"/>
        <w:rPr/>
      </w:pPr>
      <w:r>
        <w:rPr/>
        <w:t xml:space="preserve">   </w:t>
      </w:r>
      <w:r>
        <w:rPr/>
        <w:t>9.2 Reproducibility checklist</w:t>
      </w:r>
    </w:p>
    <w:p>
      <w:pPr>
        <w:pStyle w:val="Heading3"/>
        <w:keepNext w:val="true"/>
        <w:numPr>
          <w:ilvl w:val="0"/>
          <w:numId w:val="0"/>
        </w:numPr>
        <w:bidi w:val="0"/>
        <w:spacing w:before="240" w:after="80"/>
        <w:ind w:left="240" w:right="240"/>
        <w:jc w:val="left"/>
        <w:rPr/>
      </w:pPr>
      <w:r>
        <w:rPr/>
        <w:t>9.2 Roles &amp; Responsibility Matrix</w:t>
      </w:r>
    </w:p>
    <w:p>
      <w:pPr>
        <w:pStyle w:val="BodyTextnote"/>
        <w:bidi w:val="0"/>
        <w:rPr/>
      </w:pPr>
      <w:r>
        <w:rPr/>
        <w:t>Assumes a two-member team (as on the registration form). Rebalance if a third member joins.</w:t>
      </w:r>
    </w:p>
    <w:tbl>
      <w:tblPr>
        <w:tblW w:w="9026" w:type="dxa"/>
        <w:jc w:val="left"/>
        <w:tblInd w:w="0" w:type="dxa"/>
        <w:tblLayout w:type="fixed"/>
        <w:tblCellMar>
          <w:top w:w="28" w:type="dxa"/>
          <w:left w:w="28" w:type="dxa"/>
          <w:bottom w:w="28" w:type="dxa"/>
          <w:right w:w="28" w:type="dxa"/>
        </w:tblCellMar>
      </w:tblPr>
      <w:tblGrid>
        <w:gridCol w:w="668"/>
        <w:gridCol w:w="1715"/>
        <w:gridCol w:w="1043"/>
        <w:gridCol w:w="2675"/>
        <w:gridCol w:w="1254"/>
        <w:gridCol w:w="1671"/>
      </w:tblGrid>
      <w:tr>
        <w:trPr/>
        <w:tc>
          <w:tcPr>
            <w:tcW w:w="668" w:type="dxa"/>
            <w:tcBorders/>
            <w:vAlign w:val="center"/>
          </w:tcPr>
          <w:p>
            <w:pPr>
              <w:pStyle w:val="TableHeading"/>
              <w:suppressLineNumbers/>
              <w:bidi w:val="0"/>
              <w:spacing w:before="0" w:after="160"/>
              <w:jc w:val="left"/>
              <w:rPr/>
            </w:pPr>
            <w:r>
              <w:rPr/>
              <w:t>WBS #</w:t>
            </w:r>
          </w:p>
        </w:tc>
        <w:tc>
          <w:tcPr>
            <w:tcW w:w="1715" w:type="dxa"/>
            <w:tcBorders/>
            <w:vAlign w:val="center"/>
          </w:tcPr>
          <w:p>
            <w:pPr>
              <w:pStyle w:val="TableHeading"/>
              <w:suppressLineNumbers/>
              <w:bidi w:val="0"/>
              <w:spacing w:before="0" w:after="160"/>
              <w:jc w:val="left"/>
              <w:rPr/>
            </w:pPr>
            <w:r>
              <w:rPr/>
              <w:t>WBS Deliverable</w:t>
            </w:r>
          </w:p>
        </w:tc>
        <w:tc>
          <w:tcPr>
            <w:tcW w:w="1043" w:type="dxa"/>
            <w:tcBorders/>
            <w:vAlign w:val="center"/>
          </w:tcPr>
          <w:p>
            <w:pPr>
              <w:pStyle w:val="TableHeading"/>
              <w:suppressLineNumbers/>
              <w:bidi w:val="0"/>
              <w:spacing w:before="0" w:after="160"/>
              <w:jc w:val="left"/>
              <w:rPr/>
            </w:pPr>
            <w:r>
              <w:rPr/>
              <w:t>Activity #</w:t>
            </w:r>
          </w:p>
        </w:tc>
        <w:tc>
          <w:tcPr>
            <w:tcW w:w="2675" w:type="dxa"/>
            <w:tcBorders/>
            <w:vAlign w:val="center"/>
          </w:tcPr>
          <w:p>
            <w:pPr>
              <w:pStyle w:val="TableHeading"/>
              <w:suppressLineNumbers/>
              <w:bidi w:val="0"/>
              <w:spacing w:before="0" w:after="160"/>
              <w:jc w:val="left"/>
              <w:rPr/>
            </w:pPr>
            <w:r>
              <w:rPr/>
              <w:t>Activity</w:t>
            </w:r>
          </w:p>
        </w:tc>
        <w:tc>
          <w:tcPr>
            <w:tcW w:w="1254" w:type="dxa"/>
            <w:tcBorders/>
            <w:vAlign w:val="center"/>
          </w:tcPr>
          <w:p>
            <w:pPr>
              <w:pStyle w:val="TableHeading"/>
              <w:suppressLineNumbers/>
              <w:bidi w:val="0"/>
              <w:spacing w:before="0" w:after="160"/>
              <w:jc w:val="left"/>
              <w:rPr/>
            </w:pPr>
            <w:r>
              <w:rPr/>
              <w:t>Duration (days)</w:t>
            </w:r>
          </w:p>
        </w:tc>
        <w:tc>
          <w:tcPr>
            <w:tcW w:w="1671" w:type="dxa"/>
            <w:tcBorders/>
            <w:vAlign w:val="center"/>
          </w:tcPr>
          <w:p>
            <w:pPr>
              <w:pStyle w:val="TableHeading"/>
              <w:suppressLineNumbers/>
              <w:bidi w:val="0"/>
              <w:spacing w:before="0" w:after="160"/>
              <w:jc w:val="left"/>
              <w:rPr/>
            </w:pPr>
            <w:r>
              <w:rPr/>
              <w:t>Responsible</w:t>
            </w:r>
          </w:p>
        </w:tc>
      </w:tr>
      <w:tr>
        <w:trPr/>
        <w:tc>
          <w:tcPr>
            <w:tcW w:w="668" w:type="dxa"/>
            <w:tcBorders/>
            <w:vAlign w:val="center"/>
          </w:tcPr>
          <w:p>
            <w:pPr>
              <w:pStyle w:val="TableContents"/>
              <w:bidi w:val="0"/>
              <w:spacing w:before="0" w:after="160"/>
              <w:jc w:val="left"/>
              <w:rPr/>
            </w:pPr>
            <w:r>
              <w:rPr/>
              <w:t>1.1</w:t>
            </w:r>
          </w:p>
        </w:tc>
        <w:tc>
          <w:tcPr>
            <w:tcW w:w="1715" w:type="dxa"/>
            <w:tcBorders/>
            <w:vAlign w:val="center"/>
          </w:tcPr>
          <w:p>
            <w:pPr>
              <w:pStyle w:val="TableContents"/>
              <w:bidi w:val="0"/>
              <w:spacing w:before="0" w:after="160"/>
              <w:jc w:val="left"/>
              <w:rPr/>
            </w:pPr>
            <w:r>
              <w:rPr/>
              <w:t>Project plan</w:t>
            </w:r>
          </w:p>
        </w:tc>
        <w:tc>
          <w:tcPr>
            <w:tcW w:w="1043" w:type="dxa"/>
            <w:tcBorders/>
            <w:vAlign w:val="center"/>
          </w:tcPr>
          <w:p>
            <w:pPr>
              <w:pStyle w:val="TableContents"/>
              <w:bidi w:val="0"/>
              <w:spacing w:before="0" w:after="160"/>
              <w:jc w:val="left"/>
              <w:rPr/>
            </w:pPr>
            <w:r>
              <w:rPr/>
              <w:t>A1</w:t>
            </w:r>
          </w:p>
        </w:tc>
        <w:tc>
          <w:tcPr>
            <w:tcW w:w="2675" w:type="dxa"/>
            <w:tcBorders/>
            <w:vAlign w:val="center"/>
          </w:tcPr>
          <w:p>
            <w:pPr>
              <w:pStyle w:val="TableContents"/>
              <w:bidi w:val="0"/>
              <w:spacing w:before="0" w:after="160"/>
              <w:jc w:val="left"/>
              <w:rPr/>
            </w:pPr>
            <w:r>
              <w:rPr/>
              <w:t>Maintain WBS/Gantt weekly</w:t>
            </w:r>
          </w:p>
        </w:tc>
        <w:tc>
          <w:tcPr>
            <w:tcW w:w="1254" w:type="dxa"/>
            <w:tcBorders/>
            <w:vAlign w:val="center"/>
          </w:tcPr>
          <w:p>
            <w:pPr>
              <w:pStyle w:val="TableContents"/>
              <w:bidi w:val="0"/>
              <w:spacing w:before="0" w:after="160"/>
              <w:jc w:val="left"/>
              <w:rPr/>
            </w:pPr>
            <w:r>
              <w:rPr/>
              <w:t>Ongoing</w:t>
            </w:r>
          </w:p>
        </w:tc>
        <w:tc>
          <w:tcPr>
            <w:tcW w:w="1671" w:type="dxa"/>
            <w:tcBorders/>
            <w:vAlign w:val="center"/>
          </w:tcPr>
          <w:p>
            <w:pPr>
              <w:pStyle w:val="TableContents"/>
              <w:bidi w:val="0"/>
              <w:spacing w:before="0" w:after="160"/>
              <w:jc w:val="left"/>
              <w:rPr/>
            </w:pPr>
            <w:r>
              <w:rPr/>
              <w:t>Zeeshan (Lead), Arfa</w:t>
            </w:r>
          </w:p>
        </w:tc>
      </w:tr>
      <w:tr>
        <w:trPr/>
        <w:tc>
          <w:tcPr>
            <w:tcW w:w="668" w:type="dxa"/>
            <w:tcBorders/>
            <w:vAlign w:val="center"/>
          </w:tcPr>
          <w:p>
            <w:pPr>
              <w:pStyle w:val="TableContents"/>
              <w:bidi w:val="0"/>
              <w:spacing w:before="0" w:after="160"/>
              <w:jc w:val="left"/>
              <w:rPr/>
            </w:pPr>
            <w:r>
              <w:rPr/>
              <w:t>2.1</w:t>
            </w:r>
          </w:p>
        </w:tc>
        <w:tc>
          <w:tcPr>
            <w:tcW w:w="1715" w:type="dxa"/>
            <w:tcBorders/>
            <w:vAlign w:val="center"/>
          </w:tcPr>
          <w:p>
            <w:pPr>
              <w:pStyle w:val="TableContents"/>
              <w:bidi w:val="0"/>
              <w:spacing w:before="0" w:after="160"/>
              <w:jc w:val="left"/>
              <w:rPr/>
            </w:pPr>
            <w:r>
              <w:rPr/>
              <w:t>Proposal</w:t>
            </w:r>
          </w:p>
        </w:tc>
        <w:tc>
          <w:tcPr>
            <w:tcW w:w="1043" w:type="dxa"/>
            <w:tcBorders/>
            <w:vAlign w:val="center"/>
          </w:tcPr>
          <w:p>
            <w:pPr>
              <w:pStyle w:val="TableContents"/>
              <w:bidi w:val="0"/>
              <w:spacing w:before="0" w:after="160"/>
              <w:jc w:val="left"/>
              <w:rPr/>
            </w:pPr>
            <w:r>
              <w:rPr/>
              <w:t>A2</w:t>
            </w:r>
          </w:p>
        </w:tc>
        <w:tc>
          <w:tcPr>
            <w:tcW w:w="2675" w:type="dxa"/>
            <w:tcBorders/>
            <w:vAlign w:val="center"/>
          </w:tcPr>
          <w:p>
            <w:pPr>
              <w:pStyle w:val="TableContents"/>
              <w:bidi w:val="0"/>
              <w:spacing w:before="0" w:after="160"/>
              <w:jc w:val="left"/>
              <w:rPr/>
            </w:pPr>
            <w:r>
              <w:rPr/>
              <w:t>Draft/revise Template-03 document</w:t>
            </w:r>
          </w:p>
        </w:tc>
        <w:tc>
          <w:tcPr>
            <w:tcW w:w="1254" w:type="dxa"/>
            <w:tcBorders/>
            <w:vAlign w:val="center"/>
          </w:tcPr>
          <w:p>
            <w:pPr>
              <w:pStyle w:val="TableContents"/>
              <w:bidi w:val="0"/>
              <w:spacing w:before="0" w:after="160"/>
              <w:jc w:val="left"/>
              <w:rPr/>
            </w:pPr>
            <w:r>
              <w:rPr/>
              <w:t>10</w:t>
            </w:r>
          </w:p>
        </w:tc>
        <w:tc>
          <w:tcPr>
            <w:tcW w:w="1671" w:type="dxa"/>
            <w:tcBorders/>
            <w:vAlign w:val="center"/>
          </w:tcPr>
          <w:p>
            <w:pPr>
              <w:pStyle w:val="TableContents"/>
              <w:bidi w:val="0"/>
              <w:spacing w:before="0" w:after="160"/>
              <w:jc w:val="left"/>
              <w:rPr/>
            </w:pPr>
            <w:r>
              <w:rPr/>
              <w:t>Both</w:t>
            </w:r>
          </w:p>
        </w:tc>
      </w:tr>
      <w:tr>
        <w:trPr/>
        <w:tc>
          <w:tcPr>
            <w:tcW w:w="668" w:type="dxa"/>
            <w:tcBorders/>
            <w:vAlign w:val="center"/>
          </w:tcPr>
          <w:p>
            <w:pPr>
              <w:pStyle w:val="TableContents"/>
              <w:bidi w:val="0"/>
              <w:spacing w:before="0" w:after="160"/>
              <w:jc w:val="left"/>
              <w:rPr/>
            </w:pPr>
            <w:r>
              <w:rPr/>
              <w:t>2.2</w:t>
            </w:r>
          </w:p>
        </w:tc>
        <w:tc>
          <w:tcPr>
            <w:tcW w:w="1715" w:type="dxa"/>
            <w:tcBorders/>
            <w:vAlign w:val="center"/>
          </w:tcPr>
          <w:p>
            <w:pPr>
              <w:pStyle w:val="TableContents"/>
              <w:bidi w:val="0"/>
              <w:spacing w:before="0" w:after="160"/>
              <w:jc w:val="left"/>
              <w:rPr/>
            </w:pPr>
            <w:r>
              <w:rPr/>
              <w:t>Literature survey</w:t>
            </w:r>
          </w:p>
        </w:tc>
        <w:tc>
          <w:tcPr>
            <w:tcW w:w="1043" w:type="dxa"/>
            <w:tcBorders/>
            <w:vAlign w:val="center"/>
          </w:tcPr>
          <w:p>
            <w:pPr>
              <w:pStyle w:val="TableContents"/>
              <w:bidi w:val="0"/>
              <w:spacing w:before="0" w:after="160"/>
              <w:jc w:val="left"/>
              <w:rPr/>
            </w:pPr>
            <w:r>
              <w:rPr/>
              <w:t>A3</w:t>
            </w:r>
          </w:p>
        </w:tc>
        <w:tc>
          <w:tcPr>
            <w:tcW w:w="2675" w:type="dxa"/>
            <w:tcBorders/>
            <w:vAlign w:val="center"/>
          </w:tcPr>
          <w:p>
            <w:pPr>
              <w:pStyle w:val="TableContents"/>
              <w:bidi w:val="0"/>
              <w:spacing w:before="0" w:after="160"/>
              <w:jc w:val="left"/>
              <w:rPr/>
            </w:pPr>
            <w:r>
              <w:rPr/>
              <w:t>Expand related-work notes &amp; citations</w:t>
            </w:r>
          </w:p>
        </w:tc>
        <w:tc>
          <w:tcPr>
            <w:tcW w:w="1254" w:type="dxa"/>
            <w:tcBorders/>
            <w:vAlign w:val="center"/>
          </w:tcPr>
          <w:p>
            <w:pPr>
              <w:pStyle w:val="TableContents"/>
              <w:bidi w:val="0"/>
              <w:spacing w:before="0" w:after="160"/>
              <w:jc w:val="left"/>
              <w:rPr/>
            </w:pPr>
            <w:r>
              <w:rPr/>
              <w:t>14</w:t>
            </w:r>
          </w:p>
        </w:tc>
        <w:tc>
          <w:tcPr>
            <w:tcW w:w="1671" w:type="dxa"/>
            <w:tcBorders/>
            <w:vAlign w:val="center"/>
          </w:tcPr>
          <w:p>
            <w:pPr>
              <w:pStyle w:val="TableContents"/>
              <w:bidi w:val="0"/>
              <w:spacing w:before="0" w:after="160"/>
              <w:jc w:val="left"/>
              <w:rPr/>
            </w:pPr>
            <w:r>
              <w:rPr/>
              <w:t>Arfa (lead), Zeeshan</w:t>
            </w:r>
          </w:p>
        </w:tc>
      </w:tr>
      <w:tr>
        <w:trPr/>
        <w:tc>
          <w:tcPr>
            <w:tcW w:w="668" w:type="dxa"/>
            <w:tcBorders/>
            <w:vAlign w:val="center"/>
          </w:tcPr>
          <w:p>
            <w:pPr>
              <w:pStyle w:val="TableContents"/>
              <w:bidi w:val="0"/>
              <w:spacing w:before="0" w:after="160"/>
              <w:jc w:val="left"/>
              <w:rPr/>
            </w:pPr>
            <w:r>
              <w:rPr/>
              <w:t>3.1</w:t>
            </w:r>
          </w:p>
        </w:tc>
        <w:tc>
          <w:tcPr>
            <w:tcW w:w="1715" w:type="dxa"/>
            <w:tcBorders/>
            <w:vAlign w:val="center"/>
          </w:tcPr>
          <w:p>
            <w:pPr>
              <w:pStyle w:val="TableContents"/>
              <w:bidi w:val="0"/>
              <w:spacing w:before="0" w:after="160"/>
              <w:jc w:val="left"/>
              <w:rPr/>
            </w:pPr>
            <w:r>
              <w:rPr/>
              <w:t>Eval protocol</w:t>
            </w:r>
          </w:p>
        </w:tc>
        <w:tc>
          <w:tcPr>
            <w:tcW w:w="1043" w:type="dxa"/>
            <w:tcBorders/>
            <w:vAlign w:val="center"/>
          </w:tcPr>
          <w:p>
            <w:pPr>
              <w:pStyle w:val="TableContents"/>
              <w:bidi w:val="0"/>
              <w:spacing w:before="0" w:after="160"/>
              <w:jc w:val="left"/>
              <w:rPr/>
            </w:pPr>
            <w:r>
              <w:rPr/>
              <w:t>A4</w:t>
            </w:r>
          </w:p>
        </w:tc>
        <w:tc>
          <w:tcPr>
            <w:tcW w:w="2675" w:type="dxa"/>
            <w:tcBorders/>
            <w:vAlign w:val="center"/>
          </w:tcPr>
          <w:p>
            <w:pPr>
              <w:pStyle w:val="TableContents"/>
              <w:bidi w:val="0"/>
              <w:spacing w:before="0" w:after="160"/>
              <w:jc w:val="left"/>
              <w:rPr/>
            </w:pPr>
            <w:r>
              <w:rPr/>
              <w:t>Freeze splits/metrics/baselines with supervisor</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4.1</w:t>
            </w:r>
          </w:p>
        </w:tc>
        <w:tc>
          <w:tcPr>
            <w:tcW w:w="1715" w:type="dxa"/>
            <w:tcBorders/>
            <w:vAlign w:val="center"/>
          </w:tcPr>
          <w:p>
            <w:pPr>
              <w:pStyle w:val="TableContents"/>
              <w:bidi w:val="0"/>
              <w:spacing w:before="0" w:after="160"/>
              <w:jc w:val="left"/>
              <w:rPr/>
            </w:pPr>
            <w:r>
              <w:rPr/>
              <w:t>Dev environment</w:t>
            </w:r>
          </w:p>
        </w:tc>
        <w:tc>
          <w:tcPr>
            <w:tcW w:w="1043" w:type="dxa"/>
            <w:tcBorders/>
            <w:vAlign w:val="center"/>
          </w:tcPr>
          <w:p>
            <w:pPr>
              <w:pStyle w:val="TableContents"/>
              <w:bidi w:val="0"/>
              <w:spacing w:before="0" w:after="160"/>
              <w:jc w:val="left"/>
              <w:rPr/>
            </w:pPr>
            <w:r>
              <w:rPr/>
              <w:t>A5</w:t>
            </w:r>
          </w:p>
        </w:tc>
        <w:tc>
          <w:tcPr>
            <w:tcW w:w="2675" w:type="dxa"/>
            <w:tcBorders/>
            <w:vAlign w:val="center"/>
          </w:tcPr>
          <w:p>
            <w:pPr>
              <w:pStyle w:val="TableContents"/>
              <w:bidi w:val="0"/>
              <w:spacing w:before="0" w:after="160"/>
              <w:jc w:val="left"/>
              <w:rPr/>
            </w:pPr>
            <w:r>
              <w:rPr/>
              <w:t>Git repo, conda/venv, Docker hello-Vina</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4.2</w:t>
            </w:r>
          </w:p>
        </w:tc>
        <w:tc>
          <w:tcPr>
            <w:tcW w:w="1715" w:type="dxa"/>
            <w:tcBorders/>
            <w:vAlign w:val="center"/>
          </w:tcPr>
          <w:p>
            <w:pPr>
              <w:pStyle w:val="TableContents"/>
              <w:bidi w:val="0"/>
              <w:spacing w:before="0" w:after="160"/>
              <w:jc w:val="left"/>
              <w:rPr/>
            </w:pPr>
            <w:r>
              <w:rPr/>
              <w:t>KG readiness</w:t>
            </w:r>
          </w:p>
        </w:tc>
        <w:tc>
          <w:tcPr>
            <w:tcW w:w="1043" w:type="dxa"/>
            <w:tcBorders/>
            <w:vAlign w:val="center"/>
          </w:tcPr>
          <w:p>
            <w:pPr>
              <w:pStyle w:val="TableContents"/>
              <w:bidi w:val="0"/>
              <w:spacing w:before="0" w:after="160"/>
              <w:jc w:val="left"/>
              <w:rPr/>
            </w:pPr>
            <w:r>
              <w:rPr/>
              <w:t>A6</w:t>
            </w:r>
          </w:p>
        </w:tc>
        <w:tc>
          <w:tcPr>
            <w:tcW w:w="2675" w:type="dxa"/>
            <w:tcBorders/>
            <w:vAlign w:val="center"/>
          </w:tcPr>
          <w:p>
            <w:pPr>
              <w:pStyle w:val="TableContents"/>
              <w:bidi w:val="0"/>
              <w:spacing w:before="0" w:after="160"/>
              <w:jc w:val="left"/>
              <w:rPr/>
            </w:pPr>
            <w:r>
              <w:rPr/>
              <w:t>Download PrimeKG; document schema/stats</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5.1</w:t>
            </w:r>
          </w:p>
        </w:tc>
        <w:tc>
          <w:tcPr>
            <w:tcW w:w="1715" w:type="dxa"/>
            <w:tcBorders/>
            <w:vAlign w:val="center"/>
          </w:tcPr>
          <w:p>
            <w:pPr>
              <w:pStyle w:val="TableContents"/>
              <w:bidi w:val="0"/>
              <w:spacing w:before="0" w:after="160"/>
              <w:jc w:val="left"/>
              <w:rPr/>
            </w:pPr>
            <w:r>
              <w:rPr/>
              <w:t>Preprocessed graph</w:t>
            </w:r>
          </w:p>
        </w:tc>
        <w:tc>
          <w:tcPr>
            <w:tcW w:w="1043" w:type="dxa"/>
            <w:tcBorders/>
            <w:vAlign w:val="center"/>
          </w:tcPr>
          <w:p>
            <w:pPr>
              <w:pStyle w:val="TableContents"/>
              <w:bidi w:val="0"/>
              <w:spacing w:before="0" w:after="160"/>
              <w:jc w:val="left"/>
              <w:rPr/>
            </w:pPr>
            <w:r>
              <w:rPr/>
              <w:t>A7</w:t>
            </w:r>
          </w:p>
        </w:tc>
        <w:tc>
          <w:tcPr>
            <w:tcW w:w="2675" w:type="dxa"/>
            <w:tcBorders/>
            <w:vAlign w:val="center"/>
          </w:tcPr>
          <w:p>
            <w:pPr>
              <w:pStyle w:val="TableContents"/>
              <w:bidi w:val="0"/>
              <w:spacing w:before="0" w:after="160"/>
              <w:jc w:val="left"/>
              <w:rPr/>
            </w:pPr>
            <w:r>
              <w:rPr/>
              <w:t>Build PyG graphs + synonym lookup</w:t>
            </w:r>
          </w:p>
        </w:tc>
        <w:tc>
          <w:tcPr>
            <w:tcW w:w="1254" w:type="dxa"/>
            <w:tcBorders/>
            <w:vAlign w:val="center"/>
          </w:tcPr>
          <w:p>
            <w:pPr>
              <w:pStyle w:val="TableContents"/>
              <w:bidi w:val="0"/>
              <w:spacing w:before="0" w:after="160"/>
              <w:jc w:val="left"/>
              <w:rPr/>
            </w:pPr>
            <w:r>
              <w:rPr/>
              <w:t>14</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5.2</w:t>
            </w:r>
          </w:p>
        </w:tc>
        <w:tc>
          <w:tcPr>
            <w:tcW w:w="1715" w:type="dxa"/>
            <w:tcBorders/>
            <w:vAlign w:val="center"/>
          </w:tcPr>
          <w:p>
            <w:pPr>
              <w:pStyle w:val="TableContents"/>
              <w:bidi w:val="0"/>
              <w:spacing w:before="0" w:after="160"/>
              <w:jc w:val="left"/>
              <w:rPr/>
            </w:pPr>
            <w:r>
              <w:rPr/>
              <w:t>Splits</w:t>
            </w:r>
          </w:p>
        </w:tc>
        <w:tc>
          <w:tcPr>
            <w:tcW w:w="1043" w:type="dxa"/>
            <w:tcBorders/>
            <w:vAlign w:val="center"/>
          </w:tcPr>
          <w:p>
            <w:pPr>
              <w:pStyle w:val="TableContents"/>
              <w:bidi w:val="0"/>
              <w:spacing w:before="0" w:after="160"/>
              <w:jc w:val="left"/>
              <w:rPr/>
            </w:pPr>
            <w:r>
              <w:rPr/>
              <w:t>A8</w:t>
            </w:r>
          </w:p>
        </w:tc>
        <w:tc>
          <w:tcPr>
            <w:tcW w:w="2675" w:type="dxa"/>
            <w:tcBorders/>
            <w:vAlign w:val="center"/>
          </w:tcPr>
          <w:p>
            <w:pPr>
              <w:pStyle w:val="TableContents"/>
              <w:bidi w:val="0"/>
              <w:spacing w:before="0" w:after="160"/>
              <w:jc w:val="left"/>
              <w:rPr/>
            </w:pPr>
            <w:r>
              <w:rPr/>
              <w:t>Create leakage-controlled edge splits</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6.1</w:t>
            </w:r>
          </w:p>
        </w:tc>
        <w:tc>
          <w:tcPr>
            <w:tcW w:w="1715" w:type="dxa"/>
            <w:tcBorders/>
            <w:vAlign w:val="center"/>
          </w:tcPr>
          <w:p>
            <w:pPr>
              <w:pStyle w:val="TableContents"/>
              <w:bidi w:val="0"/>
              <w:spacing w:before="0" w:after="160"/>
              <w:jc w:val="left"/>
              <w:rPr/>
            </w:pPr>
            <w:r>
              <w:rPr/>
              <w:t>GNN models</w:t>
            </w:r>
          </w:p>
        </w:tc>
        <w:tc>
          <w:tcPr>
            <w:tcW w:w="1043" w:type="dxa"/>
            <w:tcBorders/>
            <w:vAlign w:val="center"/>
          </w:tcPr>
          <w:p>
            <w:pPr>
              <w:pStyle w:val="TableContents"/>
              <w:bidi w:val="0"/>
              <w:spacing w:before="0" w:after="160"/>
              <w:jc w:val="left"/>
              <w:rPr/>
            </w:pPr>
            <w:r>
              <w:rPr/>
              <w:t>A9</w:t>
            </w:r>
          </w:p>
        </w:tc>
        <w:tc>
          <w:tcPr>
            <w:tcW w:w="2675" w:type="dxa"/>
            <w:tcBorders/>
            <w:vAlign w:val="center"/>
          </w:tcPr>
          <w:p>
            <w:pPr>
              <w:pStyle w:val="TableContents"/>
              <w:bidi w:val="0"/>
              <w:spacing w:before="0" w:after="160"/>
              <w:jc w:val="left"/>
              <w:rPr/>
            </w:pPr>
            <w:r>
              <w:rPr/>
              <w:t>Train GNN + baselines; log metrics</w:t>
            </w:r>
          </w:p>
        </w:tc>
        <w:tc>
          <w:tcPr>
            <w:tcW w:w="1254" w:type="dxa"/>
            <w:tcBorders/>
            <w:vAlign w:val="center"/>
          </w:tcPr>
          <w:p>
            <w:pPr>
              <w:pStyle w:val="TableContents"/>
              <w:bidi w:val="0"/>
              <w:spacing w:before="0" w:after="160"/>
              <w:jc w:val="left"/>
              <w:rPr/>
            </w:pPr>
            <w:r>
              <w:rPr/>
              <w:t>28</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6.2</w:t>
            </w:r>
          </w:p>
        </w:tc>
        <w:tc>
          <w:tcPr>
            <w:tcW w:w="1715" w:type="dxa"/>
            <w:tcBorders/>
            <w:vAlign w:val="center"/>
          </w:tcPr>
          <w:p>
            <w:pPr>
              <w:pStyle w:val="TableContents"/>
              <w:bidi w:val="0"/>
              <w:spacing w:before="0" w:after="160"/>
              <w:jc w:val="left"/>
              <w:rPr/>
            </w:pPr>
            <w:r>
              <w:rPr/>
              <w:t>Candidate API</w:t>
            </w:r>
          </w:p>
        </w:tc>
        <w:tc>
          <w:tcPr>
            <w:tcW w:w="1043" w:type="dxa"/>
            <w:tcBorders/>
            <w:vAlign w:val="center"/>
          </w:tcPr>
          <w:p>
            <w:pPr>
              <w:pStyle w:val="TableContents"/>
              <w:bidi w:val="0"/>
              <w:spacing w:before="0" w:after="160"/>
              <w:jc w:val="left"/>
              <w:rPr/>
            </w:pPr>
            <w:r>
              <w:rPr/>
              <w:t>A10</w:t>
            </w:r>
          </w:p>
        </w:tc>
        <w:tc>
          <w:tcPr>
            <w:tcW w:w="2675" w:type="dxa"/>
            <w:tcBorders/>
            <w:vAlign w:val="center"/>
          </w:tcPr>
          <w:p>
            <w:pPr>
              <w:pStyle w:val="TableContents"/>
              <w:bidi w:val="0"/>
              <w:spacing w:before="0" w:after="160"/>
              <w:jc w:val="left"/>
              <w:rPr/>
            </w:pPr>
            <w:r>
              <w:rPr/>
              <w:t>Top-K novel filter + path extraction</w:t>
            </w:r>
          </w:p>
        </w:tc>
        <w:tc>
          <w:tcPr>
            <w:tcW w:w="1254" w:type="dxa"/>
            <w:tcBorders/>
            <w:vAlign w:val="center"/>
          </w:tcPr>
          <w:p>
            <w:pPr>
              <w:pStyle w:val="TableContents"/>
              <w:bidi w:val="0"/>
              <w:spacing w:before="0" w:after="160"/>
              <w:jc w:val="left"/>
              <w:rPr/>
            </w:pPr>
            <w:r>
              <w:rPr/>
              <w:t>10</w:t>
            </w:r>
          </w:p>
        </w:tc>
        <w:tc>
          <w:tcPr>
            <w:tcW w:w="1671" w:type="dxa"/>
            <w:tcBorders/>
            <w:vAlign w:val="center"/>
          </w:tcPr>
          <w:p>
            <w:pPr>
              <w:pStyle w:val="TableContents"/>
              <w:bidi w:val="0"/>
              <w:spacing w:before="0" w:after="160"/>
              <w:jc w:val="left"/>
              <w:rPr/>
            </w:pPr>
            <w:r>
              <w:rPr/>
              <w:t>Zeeshan</w:t>
            </w:r>
          </w:p>
        </w:tc>
      </w:tr>
      <w:tr>
        <w:trPr/>
        <w:tc>
          <w:tcPr>
            <w:tcW w:w="668" w:type="dxa"/>
            <w:tcBorders/>
            <w:vAlign w:val="center"/>
          </w:tcPr>
          <w:p>
            <w:pPr>
              <w:pStyle w:val="TableContents"/>
              <w:bidi w:val="0"/>
              <w:spacing w:before="0" w:after="160"/>
              <w:jc w:val="left"/>
              <w:rPr/>
            </w:pPr>
            <w:r>
              <w:rPr/>
              <w:t>6.3</w:t>
            </w:r>
          </w:p>
        </w:tc>
        <w:tc>
          <w:tcPr>
            <w:tcW w:w="1715" w:type="dxa"/>
            <w:tcBorders/>
            <w:vAlign w:val="center"/>
          </w:tcPr>
          <w:p>
            <w:pPr>
              <w:pStyle w:val="TableContents"/>
              <w:bidi w:val="0"/>
              <w:spacing w:before="0" w:after="160"/>
              <w:jc w:val="left"/>
              <w:rPr/>
            </w:pPr>
            <w:r>
              <w:rPr/>
              <w:t>RAG module</w:t>
            </w:r>
          </w:p>
        </w:tc>
        <w:tc>
          <w:tcPr>
            <w:tcW w:w="1043" w:type="dxa"/>
            <w:tcBorders/>
            <w:vAlign w:val="center"/>
          </w:tcPr>
          <w:p>
            <w:pPr>
              <w:pStyle w:val="TableContents"/>
              <w:bidi w:val="0"/>
              <w:spacing w:before="0" w:after="160"/>
              <w:jc w:val="left"/>
              <w:rPr/>
            </w:pPr>
            <w:r>
              <w:rPr/>
              <w:t>A11</w:t>
            </w:r>
          </w:p>
        </w:tc>
        <w:tc>
          <w:tcPr>
            <w:tcW w:w="2675" w:type="dxa"/>
            <w:tcBorders/>
            <w:vAlign w:val="center"/>
          </w:tcPr>
          <w:p>
            <w:pPr>
              <w:pStyle w:val="TableContents"/>
              <w:bidi w:val="0"/>
              <w:spacing w:before="0" w:after="160"/>
              <w:jc w:val="left"/>
              <w:rPr/>
            </w:pPr>
            <w:r>
              <w:rPr/>
              <w:t>PubMed retrieve + grounded LLM explain</w:t>
            </w:r>
          </w:p>
        </w:tc>
        <w:tc>
          <w:tcPr>
            <w:tcW w:w="1254" w:type="dxa"/>
            <w:tcBorders/>
            <w:vAlign w:val="center"/>
          </w:tcPr>
          <w:p>
            <w:pPr>
              <w:pStyle w:val="TableContents"/>
              <w:bidi w:val="0"/>
              <w:spacing w:before="0" w:after="160"/>
              <w:jc w:val="left"/>
              <w:rPr/>
            </w:pPr>
            <w:r>
              <w:rPr/>
              <w:t>21</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6.4</w:t>
            </w:r>
          </w:p>
        </w:tc>
        <w:tc>
          <w:tcPr>
            <w:tcW w:w="1715" w:type="dxa"/>
            <w:tcBorders/>
            <w:vAlign w:val="center"/>
          </w:tcPr>
          <w:p>
            <w:pPr>
              <w:pStyle w:val="TableContents"/>
              <w:bidi w:val="0"/>
              <w:spacing w:before="0" w:after="160"/>
              <w:jc w:val="left"/>
              <w:rPr/>
            </w:pPr>
            <w:r>
              <w:rPr/>
              <w:t>Docking module</w:t>
            </w:r>
          </w:p>
        </w:tc>
        <w:tc>
          <w:tcPr>
            <w:tcW w:w="1043" w:type="dxa"/>
            <w:tcBorders/>
            <w:vAlign w:val="center"/>
          </w:tcPr>
          <w:p>
            <w:pPr>
              <w:pStyle w:val="TableContents"/>
              <w:bidi w:val="0"/>
              <w:spacing w:before="0" w:after="160"/>
              <w:jc w:val="left"/>
              <w:rPr/>
            </w:pPr>
            <w:r>
              <w:rPr/>
              <w:t>A12</w:t>
            </w:r>
          </w:p>
        </w:tc>
        <w:tc>
          <w:tcPr>
            <w:tcW w:w="2675" w:type="dxa"/>
            <w:tcBorders/>
            <w:vAlign w:val="center"/>
          </w:tcPr>
          <w:p>
            <w:pPr>
              <w:pStyle w:val="TableContents"/>
              <w:bidi w:val="0"/>
              <w:spacing w:before="0" w:after="160"/>
              <w:jc w:val="left"/>
              <w:rPr/>
            </w:pPr>
            <w:r>
              <w:rPr/>
              <w:t>Prep + Vina Docker for top-N</w:t>
            </w:r>
          </w:p>
        </w:tc>
        <w:tc>
          <w:tcPr>
            <w:tcW w:w="1254" w:type="dxa"/>
            <w:tcBorders/>
            <w:vAlign w:val="center"/>
          </w:tcPr>
          <w:p>
            <w:pPr>
              <w:pStyle w:val="TableContents"/>
              <w:bidi w:val="0"/>
              <w:spacing w:before="0" w:after="160"/>
              <w:jc w:val="left"/>
              <w:rPr/>
            </w:pPr>
            <w:r>
              <w:rPr/>
              <w:t>21</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6.5</w:t>
            </w:r>
          </w:p>
        </w:tc>
        <w:tc>
          <w:tcPr>
            <w:tcW w:w="1715" w:type="dxa"/>
            <w:tcBorders/>
            <w:vAlign w:val="center"/>
          </w:tcPr>
          <w:p>
            <w:pPr>
              <w:pStyle w:val="TableContents"/>
              <w:bidi w:val="0"/>
              <w:spacing w:before="0" w:after="160"/>
              <w:jc w:val="left"/>
              <w:rPr/>
            </w:pPr>
            <w:r>
              <w:rPr/>
              <w:t>Safety flags</w:t>
            </w:r>
          </w:p>
        </w:tc>
        <w:tc>
          <w:tcPr>
            <w:tcW w:w="1043" w:type="dxa"/>
            <w:tcBorders/>
            <w:vAlign w:val="center"/>
          </w:tcPr>
          <w:p>
            <w:pPr>
              <w:pStyle w:val="TableContents"/>
              <w:bidi w:val="0"/>
              <w:spacing w:before="0" w:after="160"/>
              <w:jc w:val="left"/>
              <w:rPr/>
            </w:pPr>
            <w:r>
              <w:rPr/>
              <w:t>A13</w:t>
            </w:r>
          </w:p>
        </w:tc>
        <w:tc>
          <w:tcPr>
            <w:tcW w:w="2675" w:type="dxa"/>
            <w:tcBorders/>
            <w:vAlign w:val="center"/>
          </w:tcPr>
          <w:p>
            <w:pPr>
              <w:pStyle w:val="TableContents"/>
              <w:bidi w:val="0"/>
              <w:spacing w:before="0" w:after="160"/>
              <w:jc w:val="left"/>
              <w:rPr/>
            </w:pPr>
            <w:r>
              <w:rPr/>
              <w:t>Checklist + optional LLM review</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6.6</w:t>
            </w:r>
          </w:p>
        </w:tc>
        <w:tc>
          <w:tcPr>
            <w:tcW w:w="1715" w:type="dxa"/>
            <w:tcBorders/>
            <w:vAlign w:val="center"/>
          </w:tcPr>
          <w:p>
            <w:pPr>
              <w:pStyle w:val="TableContents"/>
              <w:bidi w:val="0"/>
              <w:spacing w:before="0" w:after="160"/>
              <w:jc w:val="left"/>
              <w:rPr/>
            </w:pPr>
            <w:r>
              <w:rPr/>
              <w:t>Enrichment (stretch)</w:t>
            </w:r>
          </w:p>
        </w:tc>
        <w:tc>
          <w:tcPr>
            <w:tcW w:w="1043" w:type="dxa"/>
            <w:tcBorders/>
            <w:vAlign w:val="center"/>
          </w:tcPr>
          <w:p>
            <w:pPr>
              <w:pStyle w:val="TableContents"/>
              <w:bidi w:val="0"/>
              <w:spacing w:before="0" w:after="160"/>
              <w:jc w:val="left"/>
              <w:rPr/>
            </w:pPr>
            <w:r>
              <w:rPr/>
              <w:t>A14</w:t>
            </w:r>
          </w:p>
        </w:tc>
        <w:tc>
          <w:tcPr>
            <w:tcW w:w="2675" w:type="dxa"/>
            <w:tcBorders/>
            <w:vAlign w:val="center"/>
          </w:tcPr>
          <w:p>
            <w:pPr>
              <w:pStyle w:val="TableContents"/>
              <w:bidi w:val="0"/>
              <w:spacing w:before="0" w:after="160"/>
              <w:jc w:val="left"/>
              <w:rPr/>
            </w:pPr>
            <w:r>
              <w:rPr/>
              <w:t>Capped NER/RE + entity link + retrain</w:t>
            </w:r>
          </w:p>
        </w:tc>
        <w:tc>
          <w:tcPr>
            <w:tcW w:w="1254" w:type="dxa"/>
            <w:tcBorders/>
            <w:vAlign w:val="center"/>
          </w:tcPr>
          <w:p>
            <w:pPr>
              <w:pStyle w:val="TableContents"/>
              <w:bidi w:val="0"/>
              <w:spacing w:before="0" w:after="160"/>
              <w:jc w:val="left"/>
              <w:rPr/>
            </w:pPr>
            <w:r>
              <w:rPr/>
              <w:t>21</w:t>
            </w:r>
          </w:p>
        </w:tc>
        <w:tc>
          <w:tcPr>
            <w:tcW w:w="1671" w:type="dxa"/>
            <w:tcBorders/>
            <w:vAlign w:val="center"/>
          </w:tcPr>
          <w:p>
            <w:pPr>
              <w:pStyle w:val="TableContents"/>
              <w:bidi w:val="0"/>
              <w:spacing w:before="0" w:after="160"/>
              <w:jc w:val="left"/>
              <w:rPr/>
            </w:pPr>
            <w:r>
              <w:rPr/>
              <w:t>Both</w:t>
            </w:r>
          </w:p>
        </w:tc>
      </w:tr>
      <w:tr>
        <w:trPr/>
        <w:tc>
          <w:tcPr>
            <w:tcW w:w="668" w:type="dxa"/>
            <w:tcBorders/>
            <w:vAlign w:val="center"/>
          </w:tcPr>
          <w:p>
            <w:pPr>
              <w:pStyle w:val="TableContents"/>
              <w:bidi w:val="0"/>
              <w:spacing w:before="0" w:after="160"/>
              <w:jc w:val="left"/>
              <w:rPr/>
            </w:pPr>
            <w:r>
              <w:rPr/>
              <w:t>7.1</w:t>
            </w:r>
          </w:p>
        </w:tc>
        <w:tc>
          <w:tcPr>
            <w:tcW w:w="1715" w:type="dxa"/>
            <w:tcBorders/>
            <w:vAlign w:val="center"/>
          </w:tcPr>
          <w:p>
            <w:pPr>
              <w:pStyle w:val="TableContents"/>
              <w:bidi w:val="0"/>
              <w:spacing w:before="0" w:after="160"/>
              <w:jc w:val="left"/>
              <w:rPr/>
            </w:pPr>
            <w:r>
              <w:rPr/>
              <w:t>Dashboard</w:t>
            </w:r>
          </w:p>
        </w:tc>
        <w:tc>
          <w:tcPr>
            <w:tcW w:w="1043" w:type="dxa"/>
            <w:tcBorders/>
            <w:vAlign w:val="center"/>
          </w:tcPr>
          <w:p>
            <w:pPr>
              <w:pStyle w:val="TableContents"/>
              <w:bidi w:val="0"/>
              <w:spacing w:before="0" w:after="160"/>
              <w:jc w:val="left"/>
              <w:rPr/>
            </w:pPr>
            <w:r>
              <w:rPr/>
              <w:t>A15</w:t>
            </w:r>
          </w:p>
        </w:tc>
        <w:tc>
          <w:tcPr>
            <w:tcW w:w="2675" w:type="dxa"/>
            <w:tcBorders/>
            <w:vAlign w:val="center"/>
          </w:tcPr>
          <w:p>
            <w:pPr>
              <w:pStyle w:val="TableContents"/>
              <w:bidi w:val="0"/>
              <w:spacing w:before="0" w:after="160"/>
              <w:jc w:val="left"/>
              <w:rPr/>
            </w:pPr>
            <w:r>
              <w:rPr/>
              <w:t>Streamlit disease→results UX</w:t>
            </w:r>
          </w:p>
        </w:tc>
        <w:tc>
          <w:tcPr>
            <w:tcW w:w="1254" w:type="dxa"/>
            <w:tcBorders/>
            <w:vAlign w:val="center"/>
          </w:tcPr>
          <w:p>
            <w:pPr>
              <w:pStyle w:val="TableContents"/>
              <w:bidi w:val="0"/>
              <w:spacing w:before="0" w:after="160"/>
              <w:jc w:val="left"/>
              <w:rPr/>
            </w:pPr>
            <w:r>
              <w:rPr/>
              <w:t>14</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7.2</w:t>
            </w:r>
          </w:p>
        </w:tc>
        <w:tc>
          <w:tcPr>
            <w:tcW w:w="1715" w:type="dxa"/>
            <w:tcBorders/>
            <w:vAlign w:val="center"/>
          </w:tcPr>
          <w:p>
            <w:pPr>
              <w:pStyle w:val="TableContents"/>
              <w:bidi w:val="0"/>
              <w:spacing w:before="0" w:after="160"/>
              <w:jc w:val="left"/>
              <w:rPr/>
            </w:pPr>
            <w:r>
              <w:rPr/>
              <w:t>PDF dossier</w:t>
            </w:r>
          </w:p>
        </w:tc>
        <w:tc>
          <w:tcPr>
            <w:tcW w:w="1043" w:type="dxa"/>
            <w:tcBorders/>
            <w:vAlign w:val="center"/>
          </w:tcPr>
          <w:p>
            <w:pPr>
              <w:pStyle w:val="TableContents"/>
              <w:bidi w:val="0"/>
              <w:spacing w:before="0" w:after="160"/>
              <w:jc w:val="left"/>
              <w:rPr/>
            </w:pPr>
            <w:r>
              <w:rPr/>
              <w:t>A16</w:t>
            </w:r>
          </w:p>
        </w:tc>
        <w:tc>
          <w:tcPr>
            <w:tcW w:w="2675" w:type="dxa"/>
            <w:tcBorders/>
            <w:vAlign w:val="center"/>
          </w:tcPr>
          <w:p>
            <w:pPr>
              <w:pStyle w:val="TableContents"/>
              <w:bidi w:val="0"/>
              <w:spacing w:before="0" w:after="160"/>
              <w:jc w:val="left"/>
              <w:rPr/>
            </w:pPr>
            <w:r>
              <w:rPr/>
              <w:t>Template + export pipeline</w:t>
            </w:r>
          </w:p>
        </w:tc>
        <w:tc>
          <w:tcPr>
            <w:tcW w:w="1254" w:type="dxa"/>
            <w:tcBorders/>
            <w:vAlign w:val="center"/>
          </w:tcPr>
          <w:p>
            <w:pPr>
              <w:pStyle w:val="TableContents"/>
              <w:bidi w:val="0"/>
              <w:spacing w:before="0" w:after="160"/>
              <w:jc w:val="left"/>
              <w:rPr/>
            </w:pPr>
            <w:r>
              <w:rPr/>
              <w:t>10</w:t>
            </w:r>
          </w:p>
        </w:tc>
        <w:tc>
          <w:tcPr>
            <w:tcW w:w="1671" w:type="dxa"/>
            <w:tcBorders/>
            <w:vAlign w:val="center"/>
          </w:tcPr>
          <w:p>
            <w:pPr>
              <w:pStyle w:val="TableContents"/>
              <w:bidi w:val="0"/>
              <w:spacing w:before="0" w:after="160"/>
              <w:jc w:val="left"/>
              <w:rPr/>
            </w:pPr>
            <w:r>
              <w:rPr/>
              <w:t>Arfa</w:t>
            </w:r>
          </w:p>
        </w:tc>
      </w:tr>
      <w:tr>
        <w:trPr/>
        <w:tc>
          <w:tcPr>
            <w:tcW w:w="668" w:type="dxa"/>
            <w:tcBorders/>
            <w:vAlign w:val="center"/>
          </w:tcPr>
          <w:p>
            <w:pPr>
              <w:pStyle w:val="TableContents"/>
              <w:bidi w:val="0"/>
              <w:spacing w:before="0" w:after="160"/>
              <w:jc w:val="left"/>
              <w:rPr/>
            </w:pPr>
            <w:r>
              <w:rPr/>
              <w:t>8.1</w:t>
            </w:r>
          </w:p>
        </w:tc>
        <w:tc>
          <w:tcPr>
            <w:tcW w:w="1715" w:type="dxa"/>
            <w:tcBorders/>
            <w:vAlign w:val="center"/>
          </w:tcPr>
          <w:p>
            <w:pPr>
              <w:pStyle w:val="TableContents"/>
              <w:bidi w:val="0"/>
              <w:spacing w:before="0" w:after="160"/>
              <w:jc w:val="left"/>
              <w:rPr/>
            </w:pPr>
            <w:r>
              <w:rPr/>
              <w:t>Evaluation report</w:t>
            </w:r>
          </w:p>
        </w:tc>
        <w:tc>
          <w:tcPr>
            <w:tcW w:w="1043" w:type="dxa"/>
            <w:tcBorders/>
            <w:vAlign w:val="center"/>
          </w:tcPr>
          <w:p>
            <w:pPr>
              <w:pStyle w:val="TableContents"/>
              <w:bidi w:val="0"/>
              <w:spacing w:before="0" w:after="160"/>
              <w:jc w:val="left"/>
              <w:rPr/>
            </w:pPr>
            <w:r>
              <w:rPr/>
              <w:t>A17</w:t>
            </w:r>
          </w:p>
        </w:tc>
        <w:tc>
          <w:tcPr>
            <w:tcW w:w="2675" w:type="dxa"/>
            <w:tcBorders/>
            <w:vAlign w:val="center"/>
          </w:tcPr>
          <w:p>
            <w:pPr>
              <w:pStyle w:val="TableContents"/>
              <w:bidi w:val="0"/>
              <w:spacing w:before="0" w:after="160"/>
              <w:jc w:val="left"/>
              <w:rPr/>
            </w:pPr>
            <w:r>
              <w:rPr/>
              <w:t>Tables, ablations, plots</w:t>
            </w:r>
          </w:p>
        </w:tc>
        <w:tc>
          <w:tcPr>
            <w:tcW w:w="1254" w:type="dxa"/>
            <w:tcBorders/>
            <w:vAlign w:val="center"/>
          </w:tcPr>
          <w:p>
            <w:pPr>
              <w:pStyle w:val="TableContents"/>
              <w:bidi w:val="0"/>
              <w:spacing w:before="0" w:after="160"/>
              <w:jc w:val="left"/>
              <w:rPr/>
            </w:pPr>
            <w:r>
              <w:rPr/>
              <w:t>14</w:t>
            </w:r>
          </w:p>
        </w:tc>
        <w:tc>
          <w:tcPr>
            <w:tcW w:w="1671" w:type="dxa"/>
            <w:tcBorders/>
            <w:vAlign w:val="center"/>
          </w:tcPr>
          <w:p>
            <w:pPr>
              <w:pStyle w:val="TableContents"/>
              <w:bidi w:val="0"/>
              <w:spacing w:before="0" w:after="160"/>
              <w:jc w:val="left"/>
              <w:rPr/>
            </w:pPr>
            <w:r>
              <w:rPr/>
              <w:t>Zeeshan (lead), Arfa</w:t>
            </w:r>
          </w:p>
        </w:tc>
      </w:tr>
      <w:tr>
        <w:trPr/>
        <w:tc>
          <w:tcPr>
            <w:tcW w:w="668" w:type="dxa"/>
            <w:tcBorders/>
            <w:vAlign w:val="center"/>
          </w:tcPr>
          <w:p>
            <w:pPr>
              <w:pStyle w:val="TableContents"/>
              <w:bidi w:val="0"/>
              <w:spacing w:before="0" w:after="160"/>
              <w:jc w:val="left"/>
              <w:rPr/>
            </w:pPr>
            <w:r>
              <w:rPr/>
              <w:t>8.2</w:t>
            </w:r>
          </w:p>
        </w:tc>
        <w:tc>
          <w:tcPr>
            <w:tcW w:w="1715" w:type="dxa"/>
            <w:tcBorders/>
            <w:vAlign w:val="center"/>
          </w:tcPr>
          <w:p>
            <w:pPr>
              <w:pStyle w:val="TableContents"/>
              <w:bidi w:val="0"/>
              <w:spacing w:before="0" w:after="160"/>
              <w:jc w:val="left"/>
              <w:rPr/>
            </w:pPr>
            <w:r>
              <w:rPr/>
              <w:t>Case studies</w:t>
            </w:r>
          </w:p>
        </w:tc>
        <w:tc>
          <w:tcPr>
            <w:tcW w:w="1043" w:type="dxa"/>
            <w:tcBorders/>
            <w:vAlign w:val="center"/>
          </w:tcPr>
          <w:p>
            <w:pPr>
              <w:pStyle w:val="TableContents"/>
              <w:bidi w:val="0"/>
              <w:spacing w:before="0" w:after="160"/>
              <w:jc w:val="left"/>
              <w:rPr/>
            </w:pPr>
            <w:r>
              <w:rPr/>
              <w:t>A18</w:t>
            </w:r>
          </w:p>
        </w:tc>
        <w:tc>
          <w:tcPr>
            <w:tcW w:w="2675" w:type="dxa"/>
            <w:tcBorders/>
            <w:vAlign w:val="center"/>
          </w:tcPr>
          <w:p>
            <w:pPr>
              <w:pStyle w:val="TableContents"/>
              <w:bidi w:val="0"/>
              <w:spacing w:before="0" w:after="160"/>
              <w:jc w:val="left"/>
              <w:rPr/>
            </w:pPr>
            <w:r>
              <w:rPr/>
              <w:t>Known-repurposing sanity checks</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Both</w:t>
            </w:r>
          </w:p>
        </w:tc>
      </w:tr>
      <w:tr>
        <w:trPr/>
        <w:tc>
          <w:tcPr>
            <w:tcW w:w="668" w:type="dxa"/>
            <w:tcBorders/>
            <w:vAlign w:val="center"/>
          </w:tcPr>
          <w:p>
            <w:pPr>
              <w:pStyle w:val="TableContents"/>
              <w:bidi w:val="0"/>
              <w:spacing w:before="0" w:after="160"/>
              <w:jc w:val="left"/>
              <w:rPr/>
            </w:pPr>
            <w:r>
              <w:rPr/>
              <w:t>9.1</w:t>
            </w:r>
          </w:p>
        </w:tc>
        <w:tc>
          <w:tcPr>
            <w:tcW w:w="1715" w:type="dxa"/>
            <w:tcBorders/>
            <w:vAlign w:val="center"/>
          </w:tcPr>
          <w:p>
            <w:pPr>
              <w:pStyle w:val="TableContents"/>
              <w:bidi w:val="0"/>
              <w:spacing w:before="0" w:after="160"/>
              <w:jc w:val="left"/>
              <w:rPr/>
            </w:pPr>
            <w:r>
              <w:rPr/>
              <w:t>Demo pack</w:t>
            </w:r>
          </w:p>
        </w:tc>
        <w:tc>
          <w:tcPr>
            <w:tcW w:w="1043" w:type="dxa"/>
            <w:tcBorders/>
            <w:vAlign w:val="center"/>
          </w:tcPr>
          <w:p>
            <w:pPr>
              <w:pStyle w:val="TableContents"/>
              <w:bidi w:val="0"/>
              <w:spacing w:before="0" w:after="160"/>
              <w:jc w:val="left"/>
              <w:rPr/>
            </w:pPr>
            <w:r>
              <w:rPr/>
              <w:t>A19</w:t>
            </w:r>
          </w:p>
        </w:tc>
        <w:tc>
          <w:tcPr>
            <w:tcW w:w="2675" w:type="dxa"/>
            <w:tcBorders/>
            <w:vAlign w:val="center"/>
          </w:tcPr>
          <w:p>
            <w:pPr>
              <w:pStyle w:val="TableContents"/>
              <w:bidi w:val="0"/>
              <w:spacing w:before="0" w:after="160"/>
              <w:jc w:val="left"/>
              <w:rPr/>
            </w:pPr>
            <w:r>
              <w:rPr/>
              <w:t>Scripted demo + sample outputs</w:t>
            </w:r>
          </w:p>
        </w:tc>
        <w:tc>
          <w:tcPr>
            <w:tcW w:w="1254" w:type="dxa"/>
            <w:tcBorders/>
            <w:vAlign w:val="center"/>
          </w:tcPr>
          <w:p>
            <w:pPr>
              <w:pStyle w:val="TableContents"/>
              <w:bidi w:val="0"/>
              <w:spacing w:before="0" w:after="160"/>
              <w:jc w:val="left"/>
              <w:rPr/>
            </w:pPr>
            <w:r>
              <w:rPr/>
              <w:t>7</w:t>
            </w:r>
          </w:p>
        </w:tc>
        <w:tc>
          <w:tcPr>
            <w:tcW w:w="1671" w:type="dxa"/>
            <w:tcBorders/>
            <w:vAlign w:val="center"/>
          </w:tcPr>
          <w:p>
            <w:pPr>
              <w:pStyle w:val="TableContents"/>
              <w:bidi w:val="0"/>
              <w:spacing w:before="0" w:after="160"/>
              <w:jc w:val="left"/>
              <w:rPr/>
            </w:pPr>
            <w:r>
              <w:rPr/>
              <w:t>Both</w:t>
            </w:r>
          </w:p>
        </w:tc>
      </w:tr>
      <w:tr>
        <w:trPr/>
        <w:tc>
          <w:tcPr>
            <w:tcW w:w="668" w:type="dxa"/>
            <w:tcBorders/>
            <w:vAlign w:val="center"/>
          </w:tcPr>
          <w:p>
            <w:pPr>
              <w:pStyle w:val="TableContents"/>
              <w:bidi w:val="0"/>
              <w:spacing w:before="0" w:after="160"/>
              <w:jc w:val="left"/>
              <w:rPr/>
            </w:pPr>
            <w:r>
              <w:rPr/>
              <w:t>2.4</w:t>
            </w:r>
          </w:p>
        </w:tc>
        <w:tc>
          <w:tcPr>
            <w:tcW w:w="1715" w:type="dxa"/>
            <w:tcBorders/>
            <w:vAlign w:val="center"/>
          </w:tcPr>
          <w:p>
            <w:pPr>
              <w:pStyle w:val="TableContents"/>
              <w:bidi w:val="0"/>
              <w:spacing w:before="0" w:after="160"/>
              <w:jc w:val="left"/>
              <w:rPr/>
            </w:pPr>
            <w:r>
              <w:rPr/>
              <w:t>Final docs/defense</w:t>
            </w:r>
          </w:p>
        </w:tc>
        <w:tc>
          <w:tcPr>
            <w:tcW w:w="1043" w:type="dxa"/>
            <w:tcBorders/>
            <w:vAlign w:val="center"/>
          </w:tcPr>
          <w:p>
            <w:pPr>
              <w:pStyle w:val="TableContents"/>
              <w:bidi w:val="0"/>
              <w:spacing w:before="0" w:after="160"/>
              <w:jc w:val="left"/>
              <w:rPr/>
            </w:pPr>
            <w:r>
              <w:rPr/>
              <w:t>A20</w:t>
            </w:r>
          </w:p>
        </w:tc>
        <w:tc>
          <w:tcPr>
            <w:tcW w:w="2675" w:type="dxa"/>
            <w:tcBorders/>
            <w:vAlign w:val="center"/>
          </w:tcPr>
          <w:p>
            <w:pPr>
              <w:pStyle w:val="TableContents"/>
              <w:bidi w:val="0"/>
              <w:spacing w:before="0" w:after="160"/>
              <w:jc w:val="left"/>
              <w:rPr/>
            </w:pPr>
            <w:r>
              <w:rPr/>
              <w:t>Thesis chapters + slides</w:t>
            </w:r>
          </w:p>
        </w:tc>
        <w:tc>
          <w:tcPr>
            <w:tcW w:w="1254" w:type="dxa"/>
            <w:tcBorders/>
            <w:vAlign w:val="center"/>
          </w:tcPr>
          <w:p>
            <w:pPr>
              <w:pStyle w:val="TableContents"/>
              <w:bidi w:val="0"/>
              <w:spacing w:before="0" w:after="160"/>
              <w:jc w:val="left"/>
              <w:rPr/>
            </w:pPr>
            <w:r>
              <w:rPr/>
              <w:t>21</w:t>
            </w:r>
          </w:p>
        </w:tc>
        <w:tc>
          <w:tcPr>
            <w:tcW w:w="1671" w:type="dxa"/>
            <w:tcBorders/>
            <w:vAlign w:val="center"/>
          </w:tcPr>
          <w:p>
            <w:pPr>
              <w:pStyle w:val="TableContents"/>
              <w:bidi w:val="0"/>
              <w:spacing w:before="0" w:after="160"/>
              <w:jc w:val="left"/>
              <w:rPr/>
            </w:pPr>
            <w:r>
              <w:rPr/>
              <w:t>Both</w:t>
            </w:r>
          </w:p>
        </w:tc>
      </w:tr>
    </w:tbl>
    <w:p>
      <w:pPr>
        <w:pStyle w:val="Heading3"/>
        <w:keepNext w:val="true"/>
        <w:numPr>
          <w:ilvl w:val="0"/>
          <w:numId w:val="0"/>
        </w:numPr>
        <w:bidi w:val="0"/>
        <w:spacing w:before="240" w:after="80"/>
        <w:ind w:left="240" w:right="240"/>
        <w:jc w:val="left"/>
        <w:rPr/>
      </w:pPr>
      <w:r>
        <w:rPr/>
        <w:t>9.3 Semester milestones</w:t>
      </w:r>
    </w:p>
    <w:p>
      <w:pPr>
        <w:pStyle w:val="Heading4"/>
        <w:numPr>
          <w:ilvl w:val="0"/>
          <w:numId w:val="0"/>
        </w:numPr>
        <w:bidi w:val="0"/>
        <w:spacing w:before="200" w:after="80"/>
        <w:ind w:left="200" w:right="200"/>
        <w:jc w:val="left"/>
        <w:rPr/>
      </w:pPr>
      <w:r>
        <w:rPr/>
        <w:t>FYP-I — Foundation (relative weeks W1–W16)</w:t>
      </w:r>
    </w:p>
    <w:tbl>
      <w:tblPr>
        <w:tblW w:w="9026" w:type="dxa"/>
        <w:jc w:val="left"/>
        <w:tblInd w:w="0" w:type="dxa"/>
        <w:tblLayout w:type="fixed"/>
        <w:tblCellMar>
          <w:top w:w="28" w:type="dxa"/>
          <w:left w:w="28" w:type="dxa"/>
          <w:bottom w:w="28" w:type="dxa"/>
          <w:right w:w="28" w:type="dxa"/>
        </w:tblCellMar>
      </w:tblPr>
      <w:tblGrid>
        <w:gridCol w:w="1074"/>
        <w:gridCol w:w="3904"/>
        <w:gridCol w:w="4048"/>
      </w:tblGrid>
      <w:tr>
        <w:trPr/>
        <w:tc>
          <w:tcPr>
            <w:tcW w:w="1074" w:type="dxa"/>
            <w:tcBorders/>
            <w:vAlign w:val="center"/>
          </w:tcPr>
          <w:p>
            <w:pPr>
              <w:pStyle w:val="TableHeading"/>
              <w:suppressLineNumbers/>
              <w:bidi w:val="0"/>
              <w:spacing w:before="0" w:after="160"/>
              <w:jc w:val="left"/>
              <w:rPr/>
            </w:pPr>
            <w:r>
              <w:rPr/>
              <w:t>Weeks</w:t>
            </w:r>
          </w:p>
        </w:tc>
        <w:tc>
          <w:tcPr>
            <w:tcW w:w="3904" w:type="dxa"/>
            <w:tcBorders/>
            <w:vAlign w:val="center"/>
          </w:tcPr>
          <w:p>
            <w:pPr>
              <w:pStyle w:val="TableHeading"/>
              <w:suppressLineNumbers/>
              <w:bidi w:val="0"/>
              <w:spacing w:before="0" w:after="160"/>
              <w:jc w:val="left"/>
              <w:rPr/>
            </w:pPr>
            <w:r>
              <w:rPr/>
              <w:t>Focus</w:t>
            </w:r>
          </w:p>
        </w:tc>
        <w:tc>
          <w:tcPr>
            <w:tcW w:w="4048" w:type="dxa"/>
            <w:tcBorders/>
            <w:vAlign w:val="center"/>
          </w:tcPr>
          <w:p>
            <w:pPr>
              <w:pStyle w:val="TableHeading"/>
              <w:suppressLineNumbers/>
              <w:bidi w:val="0"/>
              <w:spacing w:before="0" w:after="160"/>
              <w:jc w:val="left"/>
              <w:rPr/>
            </w:pPr>
            <w:r>
              <w:rPr/>
              <w:t>Milestone</w:t>
            </w:r>
          </w:p>
        </w:tc>
      </w:tr>
      <w:tr>
        <w:trPr/>
        <w:tc>
          <w:tcPr>
            <w:tcW w:w="1074" w:type="dxa"/>
            <w:tcBorders/>
            <w:vAlign w:val="center"/>
          </w:tcPr>
          <w:p>
            <w:pPr>
              <w:pStyle w:val="TableContents"/>
              <w:bidi w:val="0"/>
              <w:spacing w:before="0" w:after="160"/>
              <w:jc w:val="left"/>
              <w:rPr/>
            </w:pPr>
            <w:r>
              <w:rPr/>
              <w:t>W1–W2</w:t>
            </w:r>
          </w:p>
        </w:tc>
        <w:tc>
          <w:tcPr>
            <w:tcW w:w="3904" w:type="dxa"/>
            <w:tcBorders/>
            <w:vAlign w:val="center"/>
          </w:tcPr>
          <w:p>
            <w:pPr>
              <w:pStyle w:val="TableContents"/>
              <w:bidi w:val="0"/>
              <w:spacing w:before="0" w:after="160"/>
              <w:jc w:val="left"/>
              <w:rPr/>
            </w:pPr>
            <w:r>
              <w:rPr/>
              <w:t>Literature survey; architecture freeze; compute plan</w:t>
            </w:r>
          </w:p>
        </w:tc>
        <w:tc>
          <w:tcPr>
            <w:tcW w:w="4048" w:type="dxa"/>
            <w:tcBorders/>
            <w:vAlign w:val="center"/>
          </w:tcPr>
          <w:p>
            <w:pPr>
              <w:pStyle w:val="TableContents"/>
              <w:bidi w:val="0"/>
              <w:spacing w:before="0" w:after="160"/>
              <w:jc w:val="left"/>
              <w:rPr/>
            </w:pPr>
            <w:r>
              <w:rPr>
                <w:rStyle w:val="Strong"/>
              </w:rPr>
              <w:t>M1:</w:t>
            </w:r>
            <w:r>
              <w:rPr/>
              <w:t xml:space="preserve"> Approved architecture + scope statement</w:t>
            </w:r>
          </w:p>
        </w:tc>
      </w:tr>
      <w:tr>
        <w:trPr/>
        <w:tc>
          <w:tcPr>
            <w:tcW w:w="1074" w:type="dxa"/>
            <w:tcBorders/>
            <w:vAlign w:val="center"/>
          </w:tcPr>
          <w:p>
            <w:pPr>
              <w:pStyle w:val="TableContents"/>
              <w:bidi w:val="0"/>
              <w:spacing w:before="0" w:after="160"/>
              <w:jc w:val="left"/>
              <w:rPr/>
            </w:pPr>
            <w:r>
              <w:rPr/>
              <w:t>W3–W5</w:t>
            </w:r>
          </w:p>
        </w:tc>
        <w:tc>
          <w:tcPr>
            <w:tcW w:w="3904" w:type="dxa"/>
            <w:tcBorders/>
            <w:vAlign w:val="center"/>
          </w:tcPr>
          <w:p>
            <w:pPr>
              <w:pStyle w:val="TableContents"/>
              <w:bidi w:val="0"/>
              <w:spacing w:before="0" w:after="160"/>
              <w:jc w:val="left"/>
              <w:rPr/>
            </w:pPr>
            <w:r>
              <w:rPr/>
              <w:t>PrimeKG loaded; synonym lookup; exploratory queries</w:t>
            </w:r>
          </w:p>
        </w:tc>
        <w:tc>
          <w:tcPr>
            <w:tcW w:w="4048" w:type="dxa"/>
            <w:tcBorders/>
            <w:vAlign w:val="center"/>
          </w:tcPr>
          <w:p>
            <w:pPr>
              <w:pStyle w:val="TableContents"/>
              <w:bidi w:val="0"/>
              <w:spacing w:before="0" w:after="160"/>
              <w:jc w:val="left"/>
              <w:rPr/>
            </w:pPr>
            <w:r>
              <w:rPr>
                <w:rStyle w:val="Strong"/>
              </w:rPr>
              <w:t>M2:</w:t>
            </w:r>
            <w:r>
              <w:rPr/>
              <w:t xml:space="preserve"> Working KG + entity linker prototype</w:t>
            </w:r>
          </w:p>
        </w:tc>
      </w:tr>
      <w:tr>
        <w:trPr/>
        <w:tc>
          <w:tcPr>
            <w:tcW w:w="1074" w:type="dxa"/>
            <w:tcBorders/>
            <w:vAlign w:val="center"/>
          </w:tcPr>
          <w:p>
            <w:pPr>
              <w:pStyle w:val="TableContents"/>
              <w:bidi w:val="0"/>
              <w:spacing w:before="0" w:after="160"/>
              <w:jc w:val="left"/>
              <w:rPr/>
            </w:pPr>
            <w:r>
              <w:rPr/>
              <w:t>W6–W9</w:t>
            </w:r>
          </w:p>
        </w:tc>
        <w:tc>
          <w:tcPr>
            <w:tcW w:w="3904" w:type="dxa"/>
            <w:tcBorders/>
            <w:vAlign w:val="center"/>
          </w:tcPr>
          <w:p>
            <w:pPr>
              <w:pStyle w:val="TableContents"/>
              <w:bidi w:val="0"/>
              <w:spacing w:before="0" w:after="160"/>
              <w:jc w:val="left"/>
              <w:rPr/>
            </w:pPr>
            <w:r>
              <w:rPr/>
              <w:t>GNN + baselines training</w:t>
            </w:r>
          </w:p>
        </w:tc>
        <w:tc>
          <w:tcPr>
            <w:tcW w:w="4048" w:type="dxa"/>
            <w:tcBorders/>
            <w:vAlign w:val="center"/>
          </w:tcPr>
          <w:p>
            <w:pPr>
              <w:pStyle w:val="TableContents"/>
              <w:bidi w:val="0"/>
              <w:spacing w:before="0" w:after="160"/>
              <w:jc w:val="left"/>
              <w:rPr/>
            </w:pPr>
            <w:r>
              <w:rPr>
                <w:rStyle w:val="Strong"/>
              </w:rPr>
              <w:t>M3:</w:t>
            </w:r>
            <w:r>
              <w:rPr/>
              <w:t xml:space="preserve"> First metric table (AUROC/AUPRC/MRR)</w:t>
            </w:r>
          </w:p>
        </w:tc>
      </w:tr>
      <w:tr>
        <w:trPr/>
        <w:tc>
          <w:tcPr>
            <w:tcW w:w="1074" w:type="dxa"/>
            <w:tcBorders/>
            <w:vAlign w:val="center"/>
          </w:tcPr>
          <w:p>
            <w:pPr>
              <w:pStyle w:val="TableContents"/>
              <w:bidi w:val="0"/>
              <w:spacing w:before="0" w:after="160"/>
              <w:jc w:val="left"/>
              <w:rPr/>
            </w:pPr>
            <w:r>
              <w:rPr/>
              <w:t>W10–W12</w:t>
            </w:r>
          </w:p>
        </w:tc>
        <w:tc>
          <w:tcPr>
            <w:tcW w:w="3904" w:type="dxa"/>
            <w:tcBorders/>
            <w:vAlign w:val="center"/>
          </w:tcPr>
          <w:p>
            <w:pPr>
              <w:pStyle w:val="TableContents"/>
              <w:bidi w:val="0"/>
              <w:spacing w:before="0" w:after="160"/>
              <w:jc w:val="left"/>
              <w:rPr/>
            </w:pPr>
            <w:r>
              <w:rPr/>
              <w:t>Held-out evaluation + 2–3 sanity case studies</w:t>
            </w:r>
          </w:p>
        </w:tc>
        <w:tc>
          <w:tcPr>
            <w:tcW w:w="4048" w:type="dxa"/>
            <w:tcBorders/>
            <w:vAlign w:val="center"/>
          </w:tcPr>
          <w:p>
            <w:pPr>
              <w:pStyle w:val="TableContents"/>
              <w:bidi w:val="0"/>
              <w:spacing w:before="0" w:after="160"/>
              <w:jc w:val="left"/>
              <w:rPr/>
            </w:pPr>
            <w:r>
              <w:rPr>
                <w:rStyle w:val="Strong"/>
              </w:rPr>
              <w:t>M4:</w:t>
            </w:r>
            <w:r>
              <w:rPr/>
              <w:t xml:space="preserve"> Evaluation notebook / chapter draft</w:t>
            </w:r>
          </w:p>
        </w:tc>
      </w:tr>
      <w:tr>
        <w:trPr/>
        <w:tc>
          <w:tcPr>
            <w:tcW w:w="1074" w:type="dxa"/>
            <w:tcBorders/>
            <w:vAlign w:val="center"/>
          </w:tcPr>
          <w:p>
            <w:pPr>
              <w:pStyle w:val="TableContents"/>
              <w:bidi w:val="0"/>
              <w:spacing w:before="0" w:after="160"/>
              <w:jc w:val="left"/>
              <w:rPr/>
            </w:pPr>
            <w:r>
              <w:rPr/>
              <w:t>W13–W16</w:t>
            </w:r>
          </w:p>
        </w:tc>
        <w:tc>
          <w:tcPr>
            <w:tcW w:w="3904" w:type="dxa"/>
            <w:tcBorders/>
            <w:vAlign w:val="center"/>
          </w:tcPr>
          <w:p>
            <w:pPr>
              <w:pStyle w:val="TableContents"/>
              <w:bidi w:val="0"/>
              <w:spacing w:before="0" w:after="160"/>
              <w:jc w:val="left"/>
              <w:rPr/>
            </w:pPr>
            <w:r>
              <w:rPr/>
              <w:t>Vertical slice hardening</w:t>
            </w:r>
          </w:p>
        </w:tc>
        <w:tc>
          <w:tcPr>
            <w:tcW w:w="4048" w:type="dxa"/>
            <w:tcBorders/>
            <w:vAlign w:val="center"/>
          </w:tcPr>
          <w:p>
            <w:pPr>
              <w:pStyle w:val="TableContents"/>
              <w:bidi w:val="0"/>
              <w:spacing w:before="0" w:after="160"/>
              <w:jc w:val="left"/>
              <w:rPr/>
            </w:pPr>
            <w:r>
              <w:rPr>
                <w:rStyle w:val="Strong"/>
              </w:rPr>
              <w:t>M5 (FYP-I exit):</w:t>
            </w:r>
            <w:r>
              <w:rPr/>
              <w:t xml:space="preserve"> Disease → top-K drug candidates demo</w:t>
            </w:r>
          </w:p>
        </w:tc>
      </w:tr>
    </w:tbl>
    <w:p>
      <w:pPr>
        <w:pStyle w:val="Heading4"/>
        <w:numPr>
          <w:ilvl w:val="0"/>
          <w:numId w:val="0"/>
        </w:numPr>
        <w:bidi w:val="0"/>
        <w:spacing w:before="200" w:after="80"/>
        <w:ind w:left="200" w:right="200"/>
        <w:jc w:val="left"/>
        <w:rPr/>
      </w:pPr>
      <w:r>
        <w:rPr/>
        <w:t>FYP-II — Integration &amp; polish (relative weeks W17–W32)</w:t>
      </w:r>
    </w:p>
    <w:tbl>
      <w:tblPr>
        <w:tblW w:w="9026" w:type="dxa"/>
        <w:jc w:val="left"/>
        <w:tblInd w:w="0" w:type="dxa"/>
        <w:tblLayout w:type="fixed"/>
        <w:tblCellMar>
          <w:top w:w="28" w:type="dxa"/>
          <w:left w:w="28" w:type="dxa"/>
          <w:bottom w:w="28" w:type="dxa"/>
          <w:right w:w="28" w:type="dxa"/>
        </w:tblCellMar>
      </w:tblPr>
      <w:tblGrid>
        <w:gridCol w:w="1123"/>
        <w:gridCol w:w="4481"/>
        <w:gridCol w:w="3422"/>
      </w:tblGrid>
      <w:tr>
        <w:trPr/>
        <w:tc>
          <w:tcPr>
            <w:tcW w:w="1123" w:type="dxa"/>
            <w:tcBorders/>
            <w:vAlign w:val="center"/>
          </w:tcPr>
          <w:p>
            <w:pPr>
              <w:pStyle w:val="TableHeading"/>
              <w:suppressLineNumbers/>
              <w:bidi w:val="0"/>
              <w:spacing w:before="0" w:after="160"/>
              <w:jc w:val="left"/>
              <w:rPr/>
            </w:pPr>
            <w:r>
              <w:rPr/>
              <w:t>Weeks</w:t>
            </w:r>
          </w:p>
        </w:tc>
        <w:tc>
          <w:tcPr>
            <w:tcW w:w="4481" w:type="dxa"/>
            <w:tcBorders/>
            <w:vAlign w:val="center"/>
          </w:tcPr>
          <w:p>
            <w:pPr>
              <w:pStyle w:val="TableHeading"/>
              <w:suppressLineNumbers/>
              <w:bidi w:val="0"/>
              <w:spacing w:before="0" w:after="160"/>
              <w:jc w:val="left"/>
              <w:rPr/>
            </w:pPr>
            <w:r>
              <w:rPr/>
              <w:t>Focus</w:t>
            </w:r>
          </w:p>
        </w:tc>
        <w:tc>
          <w:tcPr>
            <w:tcW w:w="3422" w:type="dxa"/>
            <w:tcBorders/>
            <w:vAlign w:val="center"/>
          </w:tcPr>
          <w:p>
            <w:pPr>
              <w:pStyle w:val="TableHeading"/>
              <w:suppressLineNumbers/>
              <w:bidi w:val="0"/>
              <w:spacing w:before="0" w:after="160"/>
              <w:jc w:val="left"/>
              <w:rPr/>
            </w:pPr>
            <w:r>
              <w:rPr/>
              <w:t>Milestone</w:t>
            </w:r>
          </w:p>
        </w:tc>
      </w:tr>
      <w:tr>
        <w:trPr/>
        <w:tc>
          <w:tcPr>
            <w:tcW w:w="1123" w:type="dxa"/>
            <w:tcBorders/>
            <w:vAlign w:val="center"/>
          </w:tcPr>
          <w:p>
            <w:pPr>
              <w:pStyle w:val="TableContents"/>
              <w:bidi w:val="0"/>
              <w:spacing w:before="0" w:after="160"/>
              <w:jc w:val="left"/>
              <w:rPr/>
            </w:pPr>
            <w:r>
              <w:rPr/>
              <w:t>W17–W20</w:t>
            </w:r>
          </w:p>
        </w:tc>
        <w:tc>
          <w:tcPr>
            <w:tcW w:w="4481" w:type="dxa"/>
            <w:tcBorders/>
            <w:vAlign w:val="center"/>
          </w:tcPr>
          <w:p>
            <w:pPr>
              <w:pStyle w:val="TableContents"/>
              <w:bidi w:val="0"/>
              <w:spacing w:before="0" w:after="160"/>
              <w:jc w:val="left"/>
              <w:rPr/>
            </w:pPr>
            <w:r>
              <w:rPr/>
              <w:t>RAG + PMID-cited explanations</w:t>
            </w:r>
          </w:p>
        </w:tc>
        <w:tc>
          <w:tcPr>
            <w:tcW w:w="3422" w:type="dxa"/>
            <w:tcBorders/>
            <w:vAlign w:val="center"/>
          </w:tcPr>
          <w:p>
            <w:pPr>
              <w:pStyle w:val="TableContents"/>
              <w:bidi w:val="0"/>
              <w:spacing w:before="0" w:after="160"/>
              <w:jc w:val="left"/>
              <w:rPr/>
            </w:pPr>
            <w:r>
              <w:rPr>
                <w:rStyle w:val="Strong"/>
              </w:rPr>
              <w:t>M6:</w:t>
            </w:r>
            <w:r>
              <w:rPr/>
              <w:t xml:space="preserve"> Evidence panel for top candidates</w:t>
            </w:r>
          </w:p>
        </w:tc>
      </w:tr>
      <w:tr>
        <w:trPr/>
        <w:tc>
          <w:tcPr>
            <w:tcW w:w="1123" w:type="dxa"/>
            <w:tcBorders/>
            <w:vAlign w:val="center"/>
          </w:tcPr>
          <w:p>
            <w:pPr>
              <w:pStyle w:val="TableContents"/>
              <w:bidi w:val="0"/>
              <w:spacing w:before="0" w:after="160"/>
              <w:jc w:val="left"/>
              <w:rPr/>
            </w:pPr>
            <w:r>
              <w:rPr/>
              <w:t>W21–W24</w:t>
            </w:r>
          </w:p>
        </w:tc>
        <w:tc>
          <w:tcPr>
            <w:tcW w:w="4481" w:type="dxa"/>
            <w:tcBorders/>
            <w:vAlign w:val="center"/>
          </w:tcPr>
          <w:p>
            <w:pPr>
              <w:pStyle w:val="TableContents"/>
              <w:bidi w:val="0"/>
              <w:spacing w:before="0" w:after="160"/>
              <w:jc w:val="left"/>
              <w:rPr/>
            </w:pPr>
            <w:r>
              <w:rPr/>
              <w:t>Docker Vina for top 5–10; fallbacks documented</w:t>
            </w:r>
          </w:p>
        </w:tc>
        <w:tc>
          <w:tcPr>
            <w:tcW w:w="3422" w:type="dxa"/>
            <w:tcBorders/>
            <w:vAlign w:val="center"/>
          </w:tcPr>
          <w:p>
            <w:pPr>
              <w:pStyle w:val="TableContents"/>
              <w:bidi w:val="0"/>
              <w:spacing w:before="0" w:after="160"/>
              <w:jc w:val="left"/>
              <w:rPr/>
            </w:pPr>
            <w:r>
              <w:rPr>
                <w:rStyle w:val="Strong"/>
              </w:rPr>
              <w:t>M7:</w:t>
            </w:r>
            <w:r>
              <w:rPr/>
              <w:t xml:space="preserve"> Docking scores in pipeline</w:t>
            </w:r>
          </w:p>
        </w:tc>
      </w:tr>
      <w:tr>
        <w:trPr/>
        <w:tc>
          <w:tcPr>
            <w:tcW w:w="1123" w:type="dxa"/>
            <w:tcBorders/>
            <w:vAlign w:val="center"/>
          </w:tcPr>
          <w:p>
            <w:pPr>
              <w:pStyle w:val="TableContents"/>
              <w:bidi w:val="0"/>
              <w:spacing w:before="0" w:after="160"/>
              <w:jc w:val="left"/>
              <w:rPr/>
            </w:pPr>
            <w:r>
              <w:rPr/>
              <w:t>W25–W27</w:t>
            </w:r>
          </w:p>
        </w:tc>
        <w:tc>
          <w:tcPr>
            <w:tcW w:w="4481" w:type="dxa"/>
            <w:tcBorders/>
            <w:vAlign w:val="center"/>
          </w:tcPr>
          <w:p>
            <w:pPr>
              <w:pStyle w:val="TableContents"/>
              <w:bidi w:val="0"/>
              <w:spacing w:before="0" w:after="160"/>
              <w:jc w:val="left"/>
              <w:rPr/>
            </w:pPr>
            <w:r>
              <w:rPr/>
              <w:t>Streamlit + PDF dossier + safety flags</w:t>
            </w:r>
          </w:p>
        </w:tc>
        <w:tc>
          <w:tcPr>
            <w:tcW w:w="3422" w:type="dxa"/>
            <w:tcBorders/>
            <w:vAlign w:val="center"/>
          </w:tcPr>
          <w:p>
            <w:pPr>
              <w:pStyle w:val="TableContents"/>
              <w:bidi w:val="0"/>
              <w:spacing w:before="0" w:after="160"/>
              <w:jc w:val="left"/>
              <w:rPr/>
            </w:pPr>
            <w:r>
              <w:rPr>
                <w:rStyle w:val="Strong"/>
              </w:rPr>
              <w:t>M8:</w:t>
            </w:r>
            <w:r>
              <w:rPr/>
              <w:t xml:space="preserve"> End-to-end user demo</w:t>
            </w:r>
          </w:p>
        </w:tc>
      </w:tr>
      <w:tr>
        <w:trPr/>
        <w:tc>
          <w:tcPr>
            <w:tcW w:w="1123" w:type="dxa"/>
            <w:tcBorders/>
            <w:vAlign w:val="center"/>
          </w:tcPr>
          <w:p>
            <w:pPr>
              <w:pStyle w:val="TableContents"/>
              <w:bidi w:val="0"/>
              <w:spacing w:before="0" w:after="160"/>
              <w:jc w:val="left"/>
              <w:rPr/>
            </w:pPr>
            <w:r>
              <w:rPr/>
              <w:t>W28–W30</w:t>
            </w:r>
          </w:p>
        </w:tc>
        <w:tc>
          <w:tcPr>
            <w:tcW w:w="4481" w:type="dxa"/>
            <w:tcBorders/>
            <w:vAlign w:val="center"/>
          </w:tcPr>
          <w:p>
            <w:pPr>
              <w:pStyle w:val="TableContents"/>
              <w:bidi w:val="0"/>
              <w:spacing w:before="0" w:after="160"/>
              <w:jc w:val="left"/>
              <w:rPr/>
            </w:pPr>
            <w:r>
              <w:rPr/>
              <w:t>Full evaluation, ablations, enrichment stretch if time</w:t>
            </w:r>
          </w:p>
        </w:tc>
        <w:tc>
          <w:tcPr>
            <w:tcW w:w="3422" w:type="dxa"/>
            <w:tcBorders/>
            <w:vAlign w:val="center"/>
          </w:tcPr>
          <w:p>
            <w:pPr>
              <w:pStyle w:val="TableContents"/>
              <w:bidi w:val="0"/>
              <w:spacing w:before="0" w:after="160"/>
              <w:jc w:val="left"/>
              <w:rPr/>
            </w:pPr>
            <w:r>
              <w:rPr>
                <w:rStyle w:val="Strong"/>
              </w:rPr>
              <w:t>M9:</w:t>
            </w:r>
            <w:r>
              <w:rPr/>
              <w:t xml:space="preserve"> Results chapter complete</w:t>
            </w:r>
          </w:p>
        </w:tc>
      </w:tr>
      <w:tr>
        <w:trPr/>
        <w:tc>
          <w:tcPr>
            <w:tcW w:w="1123" w:type="dxa"/>
            <w:tcBorders/>
            <w:vAlign w:val="center"/>
          </w:tcPr>
          <w:p>
            <w:pPr>
              <w:pStyle w:val="TableContents"/>
              <w:bidi w:val="0"/>
              <w:spacing w:before="0" w:after="160"/>
              <w:jc w:val="left"/>
              <w:rPr/>
            </w:pPr>
            <w:r>
              <w:rPr/>
              <w:t>W31–W32</w:t>
            </w:r>
          </w:p>
        </w:tc>
        <w:tc>
          <w:tcPr>
            <w:tcW w:w="4481" w:type="dxa"/>
            <w:tcBorders/>
            <w:vAlign w:val="center"/>
          </w:tcPr>
          <w:p>
            <w:pPr>
              <w:pStyle w:val="TableContents"/>
              <w:bidi w:val="0"/>
              <w:spacing w:before="0" w:after="160"/>
              <w:jc w:val="left"/>
              <w:rPr/>
            </w:pPr>
            <w:r>
              <w:rPr/>
              <w:t>Defense prep, documentation freeze</w:t>
            </w:r>
          </w:p>
        </w:tc>
        <w:tc>
          <w:tcPr>
            <w:tcW w:w="3422" w:type="dxa"/>
            <w:tcBorders/>
            <w:vAlign w:val="center"/>
          </w:tcPr>
          <w:p>
            <w:pPr>
              <w:pStyle w:val="TableContents"/>
              <w:bidi w:val="0"/>
              <w:spacing w:before="0" w:after="160"/>
              <w:jc w:val="left"/>
              <w:rPr/>
            </w:pPr>
            <w:r>
              <w:rPr>
                <w:rStyle w:val="Strong"/>
              </w:rPr>
              <w:t>M10:</w:t>
            </w:r>
            <w:r>
              <w:rPr/>
              <w:t xml:space="preserve"> Final submission &amp; defense</w:t>
            </w:r>
          </w:p>
        </w:tc>
      </w:tr>
    </w:tbl>
    <w:p>
      <w:pPr>
        <w:pStyle w:val="Heading3"/>
        <w:keepNext w:val="true"/>
        <w:numPr>
          <w:ilvl w:val="0"/>
          <w:numId w:val="0"/>
        </w:numPr>
        <w:bidi w:val="0"/>
        <w:spacing w:before="240" w:after="80"/>
        <w:ind w:left="240" w:right="240"/>
        <w:jc w:val="left"/>
        <w:rPr/>
      </w:pPr>
      <w:r>
        <w:rPr/>
        <w:t>9.4 Gantt Chart</w:t>
      </w:r>
    </w:p>
    <w:p>
      <w:pPr>
        <w:pStyle w:val="BodyText"/>
        <w:keepLines/>
        <w:bidi w:val="0"/>
        <w:spacing w:before="200" w:after="280"/>
        <w:ind w:hanging="0" w:left="200" w:right="200"/>
        <w:jc w:val="center"/>
        <w:rPr/>
      </w:pPr>
      <w:r>
        <w:rPr>
          <w:rStyle w:val="Strong"/>
          <w:bdr w:val="dashed" w:sz="12" w:space="28" w:color="666666"/>
          <w:shd w:fill="F5F5F5" w:val="clear"/>
        </w:rPr>
        <w:t>[Insert Figure 4 here — Gantt Chart]</w:t>
      </w:r>
      <w:r>
        <w:rPr>
          <w:bdr w:val="dashed" w:sz="12" w:space="28" w:color="666666"/>
          <w:shd w:fill="F5F5F5" w:val="clear"/>
        </w:rPr>
        <w:br/>
        <w:br/>
      </w:r>
      <w:r>
        <w:rPr>
          <w:rStyle w:val="Emphasis"/>
          <w:bdr w:val="dashed" w:sz="12" w:space="28" w:color="666666"/>
          <w:shd w:fill="F5F5F5" w:val="clear"/>
        </w:rPr>
        <w:t>Recreate in Microsoft Project / Excel / an online Gantt tool using the milestone tables above, then paste the screenshot here. Mermaid source remains in the companion Markdown file.</w:t>
      </w:r>
      <w:r>
        <w:rPr>
          <w:bdr w:val="dashed" w:sz="12" w:space="28" w:color="666666"/>
          <w:shd w:fill="F5F5F5" w:val="clear"/>
        </w:rPr>
        <w:t xml:space="preserve"> </w:t>
      </w:r>
    </w:p>
    <w:p>
      <w:pPr>
        <w:pStyle w:val="BodyText"/>
        <w:bidi w:val="0"/>
        <w:spacing w:before="0" w:after="160"/>
        <w:jc w:val="both"/>
        <w:rPr/>
      </w:pPr>
      <w:r>
        <w:rPr>
          <w:rStyle w:val="Strong"/>
        </w:rPr>
        <w:t>Dependency notes:</w:t>
      </w:r>
      <w:r>
        <w:rPr/>
        <w:t xml:space="preserve"> GNN training depends on preprocessing/splits; RAG/docking depend on candidate filter API; dashboard depends on RAG+docking JSON contracts; enrichment (stretch) depends on stable base GNN evaluation to enable before/after comparison.</w:t>
      </w:r>
    </w:p>
    <w:p>
      <w:pPr>
        <w:pStyle w:val="Heading2"/>
        <w:keepNext w:val="true"/>
        <w:numPr>
          <w:ilvl w:val="0"/>
          <w:numId w:val="0"/>
        </w:numPr>
        <w:bidi w:val="0"/>
        <w:spacing w:before="280" w:after="120"/>
        <w:ind w:left="280" w:right="280"/>
        <w:jc w:val="left"/>
        <w:rPr/>
      </w:pPr>
      <w:r>
        <w:rPr/>
        <w:t>10. References</w:t>
      </w:r>
    </w:p>
    <w:p>
      <w:pPr>
        <w:pStyle w:val="BodyText"/>
        <w:bidi w:val="0"/>
        <w:spacing w:before="0" w:after="160"/>
        <w:jc w:val="both"/>
        <w:rPr/>
      </w:pPr>
      <w:r>
        <w:rPr/>
        <w:t xml:space="preserve">[1] DiMasi, J. A., Grabowski, H. G., &amp; Hansen, R. W. (2016). Innovation in the pharmaceutical industry: New estimates of R&amp;D costs. </w:t>
      </w:r>
      <w:r>
        <w:rPr>
          <w:rStyle w:val="Emphasis"/>
        </w:rPr>
        <w:t>Journal of Health Economics, 47</w:t>
      </w:r>
      <w:r>
        <w:rPr/>
        <w:t>, 20–33. https://doi.org/10.1016/j.jhealeco.2016.01.012</w:t>
      </w:r>
    </w:p>
    <w:p>
      <w:pPr>
        <w:pStyle w:val="BodyText"/>
        <w:bidi w:val="0"/>
        <w:spacing w:before="0" w:after="160"/>
        <w:jc w:val="both"/>
        <w:rPr/>
      </w:pPr>
      <w:r>
        <w:rPr/>
        <w:t xml:space="preserve">[2] Swanson, D. R. (1986). Fish oil, Raynaud’s syndrome, and undiscovered public knowledge. </w:t>
      </w:r>
      <w:r>
        <w:rPr>
          <w:rStyle w:val="Emphasis"/>
        </w:rPr>
        <w:t>Perspectives in Biology and Medicine, 30</w:t>
      </w:r>
      <w:r>
        <w:rPr/>
        <w:t>(1), 7–18. (Foundational LBD example; Arrowsmith-line tools extend this paradigm.)</w:t>
      </w:r>
    </w:p>
    <w:p>
      <w:pPr>
        <w:pStyle w:val="BodyText"/>
        <w:bidi w:val="0"/>
        <w:spacing w:before="0" w:after="160"/>
        <w:jc w:val="both"/>
        <w:rPr/>
      </w:pPr>
      <w:r>
        <w:rPr/>
        <w:t xml:space="preserve">[3] Himmelstein, D. S., Lizee, A., Hessler, C., Brueggeman, L., Chen, S. L., Hadley, D., Green, A., Khankhanian, P., &amp; Baranzini, S. E. (2017). Systematic integration of biomedical knowledge prioritizes drugs for repurposing. </w:t>
      </w:r>
      <w:r>
        <w:rPr>
          <w:rStyle w:val="Emphasis"/>
        </w:rPr>
        <w:t>eLife, 6</w:t>
      </w:r>
      <w:r>
        <w:rPr/>
        <w:t>, e26726. https://doi.org/10.7554/eLife.26726</w:t>
      </w:r>
    </w:p>
    <w:p>
      <w:pPr>
        <w:pStyle w:val="BodyText"/>
        <w:bidi w:val="0"/>
        <w:spacing w:before="0" w:after="160"/>
        <w:jc w:val="both"/>
        <w:rPr/>
      </w:pPr>
      <w:r>
        <w:rPr/>
        <w:t xml:space="preserve">[4] Chandak, P., Huang, K., &amp; Zitnik, M. (2023). Building a knowledge graph to enable precision medicine. </w:t>
      </w:r>
      <w:r>
        <w:rPr>
          <w:rStyle w:val="Emphasis"/>
        </w:rPr>
        <w:t>Scientific Data, 10</w:t>
      </w:r>
      <w:r>
        <w:rPr/>
        <w:t>, 67. https://doi.org/10.1038/s41597-023-01960-3</w:t>
      </w:r>
    </w:p>
    <w:p>
      <w:pPr>
        <w:pStyle w:val="BodyText"/>
        <w:bidi w:val="0"/>
        <w:spacing w:before="0" w:after="160"/>
        <w:jc w:val="both"/>
        <w:rPr/>
      </w:pPr>
      <w:r>
        <w:rPr/>
        <w:t xml:space="preserve">[5] Huang, K., Chandak, P., Wang, Q., Havaldar, S., Vaid, A., Leskovec, J., Nadkarni, G. N., Glicksberg, B. S., Gehlenborg, N., &amp; Zitnik, M. (2024). A foundation model for clinician-centered drug repurposing. </w:t>
      </w:r>
      <w:r>
        <w:rPr>
          <w:rStyle w:val="Emphasis"/>
        </w:rPr>
        <w:t>Nature Medicine</w:t>
      </w:r>
      <w:r>
        <w:rPr/>
        <w:t>. https://doi.org/10.1038/s41591-024-03233-x</w:t>
      </w:r>
    </w:p>
    <w:p>
      <w:pPr>
        <w:pStyle w:val="BodyText"/>
        <w:bidi w:val="0"/>
        <w:spacing w:before="0" w:after="160"/>
        <w:jc w:val="both"/>
        <w:rPr/>
      </w:pPr>
      <w:r>
        <w:rPr/>
        <w:t xml:space="preserve">[6] Trott, O., &amp; Olson, A. J. (2010). AutoDock Vina: Improving the speed and accuracy of docking with a new scoring function, efficient optimization, and multithreading. </w:t>
      </w:r>
      <w:r>
        <w:rPr>
          <w:rStyle w:val="Emphasis"/>
        </w:rPr>
        <w:t>Journal of Computational Chemistry, 31</w:t>
      </w:r>
      <w:r>
        <w:rPr/>
        <w:t>(2), 455–461. https://doi.org/10.1002/jcc.21334</w:t>
      </w:r>
    </w:p>
    <w:p>
      <w:pPr>
        <w:pStyle w:val="BodyText"/>
        <w:bidi w:val="0"/>
        <w:spacing w:before="0" w:after="160"/>
        <w:jc w:val="both"/>
        <w:rPr/>
      </w:pPr>
      <w:r>
        <w:rPr/>
        <w:t xml:space="preserve">[7] Pushpakom, S., Iorio, F., Eyers, P. A., Escott, K. J., Hopper, S., Wells, A., … Pirmohamed, M. (2019). Drug repurposing: progress, challenges and recommendations. </w:t>
      </w:r>
      <w:r>
        <w:rPr>
          <w:rStyle w:val="Emphasis"/>
        </w:rPr>
        <w:t>Nature Reviews Drug Discovery, 18</w:t>
      </w:r>
      <w:r>
        <w:rPr/>
        <w:t>, 41–58. https://doi.org/10.1038/nrd.2018.168</w:t>
      </w:r>
    </w:p>
    <w:p>
      <w:pPr>
        <w:pStyle w:val="BodyText"/>
        <w:bidi w:val="0"/>
        <w:spacing w:before="0" w:after="160"/>
        <w:jc w:val="both"/>
        <w:rPr/>
      </w:pPr>
      <w:r>
        <w:rPr/>
        <w:t xml:space="preserve">[8] Lewis, P., Perez, E., Piktus, A., Petroni, F., Karpukhin, V., Goyal, N., … Kiela, D. (2020). Retrieval-Augmented Generation for Knowledge-Intensive NLP Tasks. </w:t>
      </w:r>
      <w:r>
        <w:rPr>
          <w:rStyle w:val="Emphasis"/>
        </w:rPr>
        <w:t>NeurIPS</w:t>
      </w:r>
      <w:r>
        <w:rPr/>
        <w:t>. https://arxiv.org/abs/2005.11401</w:t>
      </w:r>
    </w:p>
    <w:p>
      <w:pPr>
        <w:pStyle w:val="BodyText"/>
        <w:bidi w:val="0"/>
        <w:spacing w:before="0" w:after="160"/>
        <w:jc w:val="both"/>
        <w:rPr/>
      </w:pPr>
      <w:r>
        <w:rPr/>
        <w:t xml:space="preserve">[9] NCBI. </w:t>
      </w:r>
      <w:r>
        <w:rPr>
          <w:rStyle w:val="Emphasis"/>
        </w:rPr>
        <w:t>Entrez Programming Utilities (E-utilities)</w:t>
      </w:r>
      <w:r>
        <w:rPr/>
        <w:t xml:space="preserve"> Help. National Center for Biotechnology Information. https://www.ncbi.nlm.nih.gov/books/NBK25501/</w:t>
      </w:r>
    </w:p>
    <w:p>
      <w:pPr>
        <w:pStyle w:val="BodyText"/>
        <w:bidi w:val="0"/>
        <w:spacing w:before="0" w:after="160"/>
        <w:jc w:val="both"/>
        <w:rPr/>
      </w:pPr>
      <w:r>
        <w:rPr/>
        <w:t xml:space="preserve">[10] Eberhardt, J., Santos-Martins, D., Tillack, A. F., &amp; Forli, S. (2021). AutoDock Vina 1.2.0: New docking methods, expanded force field, and Python bindings. </w:t>
      </w:r>
      <w:r>
        <w:rPr>
          <w:rStyle w:val="Emphasis"/>
        </w:rPr>
        <w:t>Journal of Chemical Information and Modeling, 61</w:t>
      </w:r>
      <w:r>
        <w:rPr/>
        <w:t>(8), 3891–3898.</w:t>
      </w:r>
    </w:p>
    <w:p>
      <w:pPr>
        <w:pStyle w:val="Heading2"/>
        <w:bidi w:val="0"/>
        <w:ind w:hanging="0" w:left="0" w:right="0"/>
        <w:jc w:val="left"/>
        <w:rPr/>
      </w:pPr>
      <w:r>
        <w:rPr/>
        <w:t>11. List of Faculty Proposed Changes</w:t>
      </w:r>
    </w:p>
    <w:tbl>
      <w:tblPr>
        <w:tblW w:w="9026" w:type="dxa"/>
        <w:jc w:val="left"/>
        <w:tblInd w:w="0" w:type="dxa"/>
        <w:tblLayout w:type="fixed"/>
        <w:tblCellMar>
          <w:top w:w="28" w:type="dxa"/>
          <w:left w:w="28" w:type="dxa"/>
          <w:bottom w:w="28" w:type="dxa"/>
          <w:right w:w="28" w:type="dxa"/>
        </w:tblCellMar>
      </w:tblPr>
      <w:tblGrid>
        <w:gridCol w:w="2966"/>
        <w:gridCol w:w="1415"/>
        <w:gridCol w:w="2244"/>
        <w:gridCol w:w="2401"/>
      </w:tblGrid>
      <w:tr>
        <w:trPr/>
        <w:tc>
          <w:tcPr>
            <w:tcW w:w="2966" w:type="dxa"/>
            <w:tcBorders/>
            <w:vAlign w:val="center"/>
          </w:tcPr>
          <w:p>
            <w:pPr>
              <w:pStyle w:val="TableHeading"/>
              <w:suppressLineNumbers/>
              <w:bidi w:val="0"/>
              <w:spacing w:before="0" w:after="160"/>
              <w:jc w:val="left"/>
              <w:rPr/>
            </w:pPr>
            <w:r>
              <w:rPr/>
              <w:t>Project Title</w:t>
            </w:r>
          </w:p>
        </w:tc>
        <w:tc>
          <w:tcPr>
            <w:tcW w:w="1415" w:type="dxa"/>
            <w:tcBorders/>
            <w:vAlign w:val="center"/>
          </w:tcPr>
          <w:p>
            <w:pPr>
              <w:pStyle w:val="TableHeading"/>
              <w:suppressLineNumbers/>
              <w:bidi w:val="0"/>
              <w:spacing w:before="0" w:after="160"/>
              <w:jc w:val="left"/>
              <w:rPr/>
            </w:pPr>
            <w:r>
              <w:rPr/>
              <w:t>Proposed Change</w:t>
            </w:r>
          </w:p>
        </w:tc>
        <w:tc>
          <w:tcPr>
            <w:tcW w:w="2244" w:type="dxa"/>
            <w:tcBorders/>
            <w:vAlign w:val="center"/>
          </w:tcPr>
          <w:p>
            <w:pPr>
              <w:pStyle w:val="TableHeading"/>
              <w:suppressLineNumbers/>
              <w:bidi w:val="0"/>
              <w:spacing w:before="0" w:after="160"/>
              <w:jc w:val="left"/>
              <w:rPr/>
            </w:pPr>
            <w:r>
              <w:rPr/>
              <w:t>Proposed By</w:t>
            </w:r>
          </w:p>
        </w:tc>
        <w:tc>
          <w:tcPr>
            <w:tcW w:w="2401" w:type="dxa"/>
            <w:tcBorders/>
            <w:vAlign w:val="center"/>
          </w:tcPr>
          <w:p>
            <w:pPr>
              <w:pStyle w:val="TableHeading"/>
              <w:suppressLineNumbers/>
              <w:bidi w:val="0"/>
              <w:spacing w:before="0" w:after="160"/>
              <w:jc w:val="left"/>
              <w:rPr/>
            </w:pPr>
            <w:r>
              <w:rPr/>
              <w:t>Supervisor’s Decision</w:t>
            </w:r>
          </w:p>
        </w:tc>
      </w:tr>
      <w:tr>
        <w:trPr/>
        <w:tc>
          <w:tcPr>
            <w:tcW w:w="2966" w:type="dxa"/>
            <w:tcBorders/>
            <w:vAlign w:val="center"/>
          </w:tcPr>
          <w:p>
            <w:pPr>
              <w:pStyle w:val="TableContents"/>
              <w:bidi w:val="0"/>
              <w:spacing w:before="0" w:after="160"/>
              <w:jc w:val="left"/>
              <w:rPr/>
            </w:pPr>
            <w:r>
              <w:rPr/>
              <w:t>AI-Based Autonomous Literature Discovery Engine for Drug Repurposing</w:t>
            </w:r>
          </w:p>
        </w:tc>
        <w:tc>
          <w:tcPr>
            <w:tcW w:w="1415" w:type="dxa"/>
            <w:tcBorders/>
            <w:vAlign w:val="center"/>
          </w:tcPr>
          <w:p>
            <w:pPr>
              <w:pStyle w:val="TableContents"/>
              <w:bidi w:val="0"/>
              <w:spacing w:before="0" w:after="160"/>
              <w:jc w:val="left"/>
              <w:rPr>
                <w:sz w:val="4"/>
                <w:szCs w:val="4"/>
              </w:rPr>
            </w:pPr>
            <w:r>
              <w:rPr>
                <w:sz w:val="4"/>
                <w:szCs w:val="4"/>
              </w:rPr>
            </w:r>
          </w:p>
        </w:tc>
        <w:tc>
          <w:tcPr>
            <w:tcW w:w="2244" w:type="dxa"/>
            <w:tcBorders/>
            <w:vAlign w:val="center"/>
          </w:tcPr>
          <w:p>
            <w:pPr>
              <w:pStyle w:val="TableContents"/>
              <w:bidi w:val="0"/>
              <w:spacing w:before="0" w:after="160"/>
              <w:jc w:val="left"/>
              <w:rPr/>
            </w:pPr>
            <w:r>
              <w:rPr/>
              <w:t>Name of Faculty Member(s) who proposed this change</w:t>
            </w:r>
          </w:p>
        </w:tc>
        <w:tc>
          <w:tcPr>
            <w:tcW w:w="2401" w:type="dxa"/>
            <w:tcBorders/>
            <w:vAlign w:val="center"/>
          </w:tcPr>
          <w:p>
            <w:pPr>
              <w:pStyle w:val="TableContents"/>
              <w:bidi w:val="0"/>
              <w:spacing w:before="0" w:after="160"/>
              <w:jc w:val="left"/>
              <w:rPr/>
            </w:pPr>
            <w:r>
              <w:rPr/>
              <w:t>Approved / Disapproved and/or Comments</w:t>
            </w:r>
          </w:p>
        </w:tc>
      </w:tr>
      <w:tr>
        <w:trPr/>
        <w:tc>
          <w:tcPr>
            <w:tcW w:w="2966" w:type="dxa"/>
            <w:tcBorders/>
            <w:vAlign w:val="center"/>
          </w:tcPr>
          <w:p>
            <w:pPr>
              <w:pStyle w:val="TableContents"/>
              <w:bidi w:val="0"/>
              <w:spacing w:before="0" w:after="160"/>
              <w:jc w:val="left"/>
              <w:rPr>
                <w:sz w:val="4"/>
                <w:szCs w:val="4"/>
              </w:rPr>
            </w:pPr>
            <w:r>
              <w:rPr>
                <w:sz w:val="4"/>
                <w:szCs w:val="4"/>
              </w:rPr>
            </w:r>
          </w:p>
        </w:tc>
        <w:tc>
          <w:tcPr>
            <w:tcW w:w="1415" w:type="dxa"/>
            <w:tcBorders/>
            <w:vAlign w:val="center"/>
          </w:tcPr>
          <w:p>
            <w:pPr>
              <w:pStyle w:val="TableContents"/>
              <w:bidi w:val="0"/>
              <w:spacing w:before="0" w:after="160"/>
              <w:jc w:val="left"/>
              <w:rPr>
                <w:sz w:val="4"/>
                <w:szCs w:val="4"/>
              </w:rPr>
            </w:pPr>
            <w:r>
              <w:rPr>
                <w:sz w:val="4"/>
                <w:szCs w:val="4"/>
              </w:rPr>
            </w:r>
          </w:p>
        </w:tc>
        <w:tc>
          <w:tcPr>
            <w:tcW w:w="2244" w:type="dxa"/>
            <w:tcBorders/>
            <w:vAlign w:val="center"/>
          </w:tcPr>
          <w:p>
            <w:pPr>
              <w:pStyle w:val="TableContents"/>
              <w:bidi w:val="0"/>
              <w:spacing w:before="0" w:after="160"/>
              <w:jc w:val="left"/>
              <w:rPr>
                <w:sz w:val="4"/>
                <w:szCs w:val="4"/>
              </w:rPr>
            </w:pPr>
            <w:r>
              <w:rPr>
                <w:sz w:val="4"/>
                <w:szCs w:val="4"/>
              </w:rPr>
            </w:r>
          </w:p>
        </w:tc>
        <w:tc>
          <w:tcPr>
            <w:tcW w:w="2401" w:type="dxa"/>
            <w:tcBorders/>
            <w:vAlign w:val="center"/>
          </w:tcPr>
          <w:p>
            <w:pPr>
              <w:pStyle w:val="TableContents"/>
              <w:bidi w:val="0"/>
              <w:spacing w:before="0" w:after="160"/>
              <w:jc w:val="left"/>
              <w:rPr>
                <w:sz w:val="4"/>
                <w:szCs w:val="4"/>
              </w:rPr>
            </w:pPr>
            <w:r>
              <w:rPr>
                <w:sz w:val="4"/>
                <w:szCs w:val="4"/>
              </w:rPr>
            </w:r>
          </w:p>
        </w:tc>
      </w:tr>
      <w:tr>
        <w:trPr/>
        <w:tc>
          <w:tcPr>
            <w:tcW w:w="2966" w:type="dxa"/>
            <w:tcBorders/>
            <w:vAlign w:val="center"/>
          </w:tcPr>
          <w:p>
            <w:pPr>
              <w:pStyle w:val="TableContents"/>
              <w:bidi w:val="0"/>
              <w:spacing w:before="0" w:after="160"/>
              <w:jc w:val="left"/>
              <w:rPr>
                <w:sz w:val="4"/>
                <w:szCs w:val="4"/>
              </w:rPr>
            </w:pPr>
            <w:r>
              <w:rPr>
                <w:sz w:val="4"/>
                <w:szCs w:val="4"/>
              </w:rPr>
            </w:r>
          </w:p>
        </w:tc>
        <w:tc>
          <w:tcPr>
            <w:tcW w:w="1415" w:type="dxa"/>
            <w:tcBorders/>
            <w:vAlign w:val="center"/>
          </w:tcPr>
          <w:p>
            <w:pPr>
              <w:pStyle w:val="TableContents"/>
              <w:bidi w:val="0"/>
              <w:spacing w:before="0" w:after="160"/>
              <w:jc w:val="left"/>
              <w:rPr>
                <w:sz w:val="4"/>
                <w:szCs w:val="4"/>
              </w:rPr>
            </w:pPr>
            <w:r>
              <w:rPr>
                <w:sz w:val="4"/>
                <w:szCs w:val="4"/>
              </w:rPr>
            </w:r>
          </w:p>
        </w:tc>
        <w:tc>
          <w:tcPr>
            <w:tcW w:w="2244" w:type="dxa"/>
            <w:tcBorders/>
            <w:vAlign w:val="center"/>
          </w:tcPr>
          <w:p>
            <w:pPr>
              <w:pStyle w:val="TableContents"/>
              <w:bidi w:val="0"/>
              <w:spacing w:before="0" w:after="160"/>
              <w:jc w:val="left"/>
              <w:rPr>
                <w:sz w:val="4"/>
                <w:szCs w:val="4"/>
              </w:rPr>
            </w:pPr>
            <w:r>
              <w:rPr>
                <w:sz w:val="4"/>
                <w:szCs w:val="4"/>
              </w:rPr>
            </w:r>
          </w:p>
        </w:tc>
        <w:tc>
          <w:tcPr>
            <w:tcW w:w="2401" w:type="dxa"/>
            <w:tcBorders/>
            <w:vAlign w:val="center"/>
          </w:tcPr>
          <w:p>
            <w:pPr>
              <w:pStyle w:val="TableContents"/>
              <w:bidi w:val="0"/>
              <w:spacing w:before="0" w:after="160"/>
              <w:jc w:val="left"/>
              <w:rPr>
                <w:sz w:val="4"/>
                <w:szCs w:val="4"/>
              </w:rPr>
            </w:pPr>
            <w:r>
              <w:rPr>
                <w:sz w:val="4"/>
                <w:szCs w:val="4"/>
              </w:rPr>
            </w:r>
          </w:p>
        </w:tc>
      </w:tr>
    </w:tbl>
    <w:p>
      <w:pPr>
        <w:pStyle w:val="BodyTextsig-line"/>
        <w:bidi w:val="0"/>
        <w:spacing w:before="200" w:after="160"/>
        <w:rPr/>
      </w:pPr>
      <w:r>
        <w:rPr>
          <w:rStyle w:val="Strong"/>
        </w:rPr>
        <w:t>Date:</w:t>
      </w:r>
      <w:r>
        <w:rPr/>
        <w:t xml:space="preserve"> __________________     </w:t>
      </w:r>
      <w:r>
        <w:rPr>
          <w:rStyle w:val="Strong"/>
        </w:rPr>
        <w:t>Supervisor’s Signature:</w:t>
      </w:r>
      <w:r>
        <w:rPr/>
        <w:t xml:space="preserve"> ______________</w:t>
      </w:r>
    </w:p>
    <w:p>
      <w:pPr>
        <w:pStyle w:val="Heading2"/>
        <w:bidi w:val="0"/>
        <w:ind w:hanging="0" w:left="0" w:right="0"/>
        <w:jc w:val="left"/>
        <w:rPr/>
      </w:pPr>
      <w:r>
        <w:rPr/>
        <w:t>12. APPROVAL</w:t>
      </w:r>
    </w:p>
    <w:p>
      <w:pPr>
        <w:pStyle w:val="Heading3"/>
        <w:keepNext w:val="true"/>
        <w:numPr>
          <w:ilvl w:val="0"/>
          <w:numId w:val="0"/>
        </w:numPr>
        <w:bidi w:val="0"/>
        <w:spacing w:before="240" w:after="80"/>
        <w:ind w:left="240" w:right="240"/>
        <w:jc w:val="left"/>
        <w:rPr/>
      </w:pPr>
      <w:r>
        <w:rPr/>
        <w:t>Project Supervisor</w:t>
      </w:r>
    </w:p>
    <w:p>
      <w:pPr>
        <w:pStyle w:val="BodyText"/>
        <w:bidi w:val="0"/>
        <w:spacing w:before="0" w:after="160"/>
        <w:jc w:val="both"/>
        <w:rPr/>
      </w:pPr>
      <w:r>
        <w:rPr/>
        <w:t>Comments: ___________________________________________________________________</w:t>
      </w:r>
    </w:p>
    <w:p>
      <w:pPr>
        <w:pStyle w:val="BodyText"/>
        <w:bidi w:val="0"/>
        <w:spacing w:before="0" w:after="160"/>
        <w:jc w:val="both"/>
        <w:rPr/>
      </w:pPr>
      <w:r>
        <w:rPr/>
        <w:t>_____________________________________________________________________________</w:t>
      </w:r>
    </w:p>
    <w:p>
      <w:pPr>
        <w:pStyle w:val="BodyText"/>
        <w:bidi w:val="0"/>
        <w:spacing w:before="0" w:after="160"/>
        <w:jc w:val="both"/>
        <w:rPr/>
      </w:pPr>
      <w:r>
        <w:rPr/>
        <w:t>_____________________________________________________________________________</w:t>
      </w:r>
    </w:p>
    <w:p>
      <w:pPr>
        <w:pStyle w:val="BodyTextsig-line"/>
        <w:bidi w:val="0"/>
        <w:spacing w:before="200" w:after="160"/>
        <w:rPr/>
      </w:pPr>
      <w:r>
        <w:rPr>
          <w:rStyle w:val="Strong"/>
        </w:rPr>
        <w:t>Name:</w:t>
      </w:r>
      <w:r>
        <w:rPr/>
        <w:t xml:space="preserve"> Dr. Jamal ud Din</w:t>
      </w:r>
    </w:p>
    <w:p>
      <w:pPr>
        <w:pStyle w:val="BodyText"/>
        <w:bidi w:val="0"/>
        <w:spacing w:before="0" w:after="160"/>
        <w:jc w:val="both"/>
        <w:rPr/>
      </w:pPr>
      <w:r>
        <w:rPr>
          <w:rStyle w:val="Strong"/>
        </w:rPr>
        <w:t>Date:</w:t>
      </w:r>
      <w:r>
        <w:rPr/>
        <w:t xml:space="preserve"> _______________________________</w:t>
      </w:r>
    </w:p>
    <w:p>
      <w:pPr>
        <w:pStyle w:val="BodyText"/>
        <w:bidi w:val="0"/>
        <w:spacing w:before="0" w:after="160"/>
        <w:jc w:val="both"/>
        <w:rPr/>
      </w:pPr>
      <w:r>
        <w:rPr>
          <w:rStyle w:val="Strong"/>
        </w:rPr>
        <w:t>Signature:</w:t>
      </w:r>
      <w:r>
        <w:rPr/>
        <w:t xml:space="preserve"> __________________________</w:t>
      </w:r>
    </w:p>
    <w:p>
      <w:pPr>
        <w:pStyle w:val="Heading3"/>
        <w:keepNext w:val="true"/>
        <w:numPr>
          <w:ilvl w:val="0"/>
          <w:numId w:val="0"/>
        </w:numPr>
        <w:bidi w:val="0"/>
        <w:spacing w:before="240" w:after="80"/>
        <w:ind w:left="240" w:right="240"/>
        <w:jc w:val="left"/>
        <w:rPr/>
      </w:pPr>
      <w:r>
        <w:rPr/>
        <w:t>Project Manager</w:t>
      </w:r>
    </w:p>
    <w:p>
      <w:pPr>
        <w:pStyle w:val="BodyText"/>
        <w:bidi w:val="0"/>
        <w:spacing w:before="0" w:after="160"/>
        <w:jc w:val="both"/>
        <w:rPr/>
      </w:pPr>
      <w:r>
        <w:rPr/>
        <w:t>Comments: ___________________________________________________________________</w:t>
      </w:r>
    </w:p>
    <w:p>
      <w:pPr>
        <w:pStyle w:val="BodyText"/>
        <w:bidi w:val="0"/>
        <w:spacing w:before="0" w:after="160"/>
        <w:jc w:val="both"/>
        <w:rPr/>
      </w:pPr>
      <w:r>
        <w:rPr/>
        <w:t>_____________________________________________________________________________</w:t>
      </w:r>
    </w:p>
    <w:p>
      <w:pPr>
        <w:pStyle w:val="BodyText"/>
        <w:bidi w:val="0"/>
        <w:spacing w:before="0" w:after="160"/>
        <w:jc w:val="both"/>
        <w:rPr/>
      </w:pPr>
      <w:r>
        <w:rPr/>
        <w:t>_____________________________________________________________________________</w:t>
      </w:r>
    </w:p>
    <w:p>
      <w:pPr>
        <w:pStyle w:val="BodyTextsig-line"/>
        <w:bidi w:val="0"/>
        <w:spacing w:before="200" w:after="160"/>
        <w:rPr/>
      </w:pPr>
      <w:r>
        <w:rPr>
          <w:rStyle w:val="Strong"/>
        </w:rPr>
        <w:t>Date:</w:t>
      </w:r>
      <w:r>
        <w:rPr/>
        <w:t xml:space="preserve"> _______________________________</w:t>
      </w:r>
    </w:p>
    <w:p>
      <w:pPr>
        <w:pStyle w:val="BodyText"/>
        <w:bidi w:val="0"/>
        <w:spacing w:before="0" w:after="160"/>
        <w:jc w:val="both"/>
        <w:rPr/>
      </w:pPr>
      <w:r>
        <w:rPr>
          <w:rStyle w:val="Strong"/>
        </w:rPr>
        <w:t>Signature:</w:t>
      </w:r>
      <w:r>
        <w:rPr/>
        <w:t xml:space="preserve"> __________________________</w:t>
      </w:r>
    </w:p>
    <w:p>
      <w:pPr>
        <w:pStyle w:val="Heading2"/>
        <w:bidi w:val="0"/>
        <w:ind w:hanging="0" w:left="0" w:right="0"/>
        <w:jc w:val="left"/>
        <w:rPr/>
      </w:pPr>
      <w:r>
        <w:rPr/>
        <w:t>Appendix A — Locked design decisions (from prior proposal review)</w:t>
      </w:r>
    </w:p>
    <w:p>
      <w:pPr>
        <w:pStyle w:val="BodyText"/>
        <w:bidi w:val="0"/>
        <w:spacing w:before="0" w:after="160"/>
        <w:jc w:val="both"/>
        <w:rPr/>
      </w:pPr>
      <w:r>
        <w:rPr/>
        <w:t>These decisions are reflected in the body of this proposal and should remain consistent unless the supervisor directs otherwise:</w:t>
      </w:r>
    </w:p>
    <w:p>
      <w:pPr>
        <w:pStyle w:val="BodyText"/>
        <w:numPr>
          <w:ilvl w:val="0"/>
          <w:numId w:val="8"/>
        </w:numPr>
        <w:tabs>
          <w:tab w:val="clear" w:pos="1134"/>
          <w:tab w:val="left" w:pos="709" w:leader="none"/>
        </w:tabs>
        <w:bidi w:val="0"/>
        <w:spacing w:before="0" w:after="0"/>
        <w:ind w:hanging="283" w:left="709"/>
        <w:rPr/>
      </w:pPr>
      <w:r>
        <w:rPr>
          <w:rStyle w:val="Strong"/>
        </w:rPr>
        <w:t>Base KG = PrimeKG</w:t>
      </w:r>
      <w:r>
        <w:rPr/>
        <w:t xml:space="preserve"> (download/use; do not rebuild from scratch). Hetionet may be used only as a smaller experimental alternate if needed for ablation, not as the primary story. </w:t>
      </w:r>
    </w:p>
    <w:p>
      <w:pPr>
        <w:pStyle w:val="BodyText"/>
        <w:numPr>
          <w:ilvl w:val="0"/>
          <w:numId w:val="8"/>
        </w:numPr>
        <w:tabs>
          <w:tab w:val="clear" w:pos="1134"/>
          <w:tab w:val="left" w:pos="709" w:leader="none"/>
        </w:tabs>
        <w:bidi w:val="0"/>
        <w:spacing w:before="0" w:after="0"/>
        <w:ind w:hanging="283" w:left="709"/>
        <w:rPr/>
      </w:pPr>
      <w:r>
        <w:rPr>
          <w:rStyle w:val="Strong"/>
        </w:rPr>
        <w:t>Timeliness strategy:</w:t>
      </w:r>
      <w:r>
        <w:rPr/>
        <w:t xml:space="preserve"> query-time </w:t>
      </w:r>
      <w:r>
        <w:rPr>
          <w:rStyle w:val="Strong"/>
        </w:rPr>
        <w:t>RAG over PubMed/PMC</w:t>
      </w:r>
      <w:r>
        <w:rPr/>
        <w:t xml:space="preserve">, not “live KG of all papers.” </w:t>
      </w:r>
    </w:p>
    <w:p>
      <w:pPr>
        <w:pStyle w:val="BodyText"/>
        <w:numPr>
          <w:ilvl w:val="0"/>
          <w:numId w:val="8"/>
        </w:numPr>
        <w:tabs>
          <w:tab w:val="clear" w:pos="1134"/>
          <w:tab w:val="left" w:pos="709" w:leader="none"/>
        </w:tabs>
        <w:bidi w:val="0"/>
        <w:spacing w:before="0" w:after="0"/>
        <w:ind w:hanging="283" w:left="709"/>
        <w:rPr/>
      </w:pPr>
      <w:r>
        <w:rPr>
          <w:rStyle w:val="Strong"/>
        </w:rPr>
        <w:t>Optional enrichment:</w:t>
      </w:r>
      <w:r>
        <w:rPr/>
        <w:t xml:space="preserve"> one disease domain, roughly </w:t>
      </w:r>
      <w:r>
        <w:rPr>
          <w:rStyle w:val="Strong"/>
        </w:rPr>
        <w:t>500–2,000</w:t>
      </w:r>
      <w:r>
        <w:rPr/>
        <w:t xml:space="preserve"> abstracts, high-confidence entity-linked edges only (stretch / Sem 2). </w:t>
      </w:r>
    </w:p>
    <w:p>
      <w:pPr>
        <w:pStyle w:val="BodyText"/>
        <w:numPr>
          <w:ilvl w:val="0"/>
          <w:numId w:val="8"/>
        </w:numPr>
        <w:tabs>
          <w:tab w:val="clear" w:pos="1134"/>
          <w:tab w:val="left" w:pos="709" w:leader="none"/>
        </w:tabs>
        <w:bidi w:val="0"/>
        <w:spacing w:before="0" w:after="0"/>
        <w:ind w:hanging="283" w:left="709"/>
        <w:rPr/>
      </w:pPr>
      <w:r>
        <w:rPr>
          <w:rStyle w:val="Strong"/>
        </w:rPr>
        <w:t>Docking:</w:t>
      </w:r>
      <w:r>
        <w:rPr/>
        <w:t xml:space="preserve"> top </w:t>
      </w:r>
      <w:r>
        <w:rPr>
          <w:rStyle w:val="Strong"/>
        </w:rPr>
        <w:t>5–10</w:t>
      </w:r>
      <w:r>
        <w:rPr/>
        <w:t xml:space="preserve"> candidates only, AutoDock Vina in </w:t>
      </w:r>
      <w:r>
        <w:rPr>
          <w:rStyle w:val="Strong"/>
        </w:rPr>
        <w:t>Docker</w:t>
      </w:r>
      <w:r>
        <w:rPr/>
        <w:t xml:space="preserve">, framed as computational sanity check. </w:t>
      </w:r>
    </w:p>
    <w:p>
      <w:pPr>
        <w:pStyle w:val="BodyText"/>
        <w:numPr>
          <w:ilvl w:val="0"/>
          <w:numId w:val="8"/>
        </w:numPr>
        <w:tabs>
          <w:tab w:val="clear" w:pos="1134"/>
          <w:tab w:val="left" w:pos="709" w:leader="none"/>
        </w:tabs>
        <w:bidi w:val="0"/>
        <w:spacing w:before="0" w:after="0"/>
        <w:ind w:hanging="283" w:left="709"/>
        <w:rPr/>
      </w:pPr>
      <w:r>
        <w:rPr>
          <w:rStyle w:val="Strong"/>
        </w:rPr>
        <w:t>Claims language:</w:t>
      </w:r>
      <w:r>
        <w:rPr/>
        <w:t xml:space="preserve"> computationally supported </w:t>
      </w:r>
      <w:r>
        <w:rPr>
          <w:rStyle w:val="Strong"/>
        </w:rPr>
        <w:t>pre-clinical hypotheses</w:t>
      </w:r>
      <w:r>
        <w:rPr/>
        <w:t xml:space="preserve">, never clinical proof. </w:t>
      </w:r>
    </w:p>
    <w:p>
      <w:pPr>
        <w:pStyle w:val="BodyText"/>
        <w:numPr>
          <w:ilvl w:val="0"/>
          <w:numId w:val="8"/>
        </w:numPr>
        <w:tabs>
          <w:tab w:val="clear" w:pos="1134"/>
          <w:tab w:val="left" w:pos="709" w:leader="none"/>
        </w:tabs>
        <w:bidi w:val="0"/>
        <w:ind w:hanging="283" w:left="709"/>
        <w:rPr/>
      </w:pPr>
      <w:r>
        <w:rPr>
          <w:rStyle w:val="Strong"/>
        </w:rPr>
        <w:t>Literature access:</w:t>
      </w:r>
      <w:r>
        <w:rPr/>
        <w:t xml:space="preserve"> NCBI APIs; abstracts + PMC Open Access; no paywall scraping. </w:t>
      </w:r>
    </w:p>
    <w:p>
      <w:pPr>
        <w:pStyle w:val="Heading2"/>
        <w:keepNext w:val="true"/>
        <w:numPr>
          <w:ilvl w:val="0"/>
          <w:numId w:val="0"/>
        </w:numPr>
        <w:bidi w:val="0"/>
        <w:spacing w:before="280" w:after="120"/>
        <w:ind w:left="280" w:right="280"/>
        <w:jc w:val="left"/>
        <w:rPr/>
      </w:pPr>
      <w:r>
        <w:rPr/>
        <w:t>Appendix B — Information still required from the team</w:t>
      </w:r>
    </w:p>
    <w:p>
      <w:pPr>
        <w:pStyle w:val="BodyText"/>
        <w:bidi w:val="0"/>
        <w:spacing w:before="0" w:after="160"/>
        <w:jc w:val="both"/>
        <w:rPr/>
      </w:pPr>
      <w:r>
        <w:rPr/>
        <w:t xml:space="preserve">Items marked throughout as </w:t>
      </w:r>
      <w:r>
        <w:rPr>
          <w:rStyle w:val="Emphasis"/>
        </w:rPr>
        <w:t>[TO BE FILLED / CONFIRMED]</w:t>
      </w:r>
      <w:r>
        <w:rPr/>
        <w:t>:</w:t>
      </w:r>
    </w:p>
    <w:p>
      <w:pPr>
        <w:pStyle w:val="BodyText"/>
        <w:numPr>
          <w:ilvl w:val="0"/>
          <w:numId w:val="9"/>
        </w:numPr>
        <w:tabs>
          <w:tab w:val="clear" w:pos="1134"/>
          <w:tab w:val="left" w:pos="709" w:leader="none"/>
        </w:tabs>
        <w:bidi w:val="0"/>
        <w:spacing w:before="0" w:after="0"/>
        <w:ind w:hanging="283" w:left="709"/>
        <w:rPr/>
      </w:pPr>
      <w:r>
        <w:rPr/>
        <w:t xml:space="preserve">Official </w:t>
      </w:r>
      <w:r>
        <w:rPr>
          <w:rStyle w:val="Strong"/>
        </w:rPr>
        <w:t>Project ID</w:t>
      </w:r>
      <w:r>
        <w:rPr/>
        <w:t xml:space="preserve"> from FYP Manager </w:t>
      </w:r>
    </w:p>
    <w:p>
      <w:pPr>
        <w:pStyle w:val="BodyText"/>
        <w:numPr>
          <w:ilvl w:val="0"/>
          <w:numId w:val="9"/>
        </w:numPr>
        <w:tabs>
          <w:tab w:val="clear" w:pos="1134"/>
          <w:tab w:val="left" w:pos="709" w:leader="none"/>
        </w:tabs>
        <w:bidi w:val="0"/>
        <w:spacing w:before="0" w:after="0"/>
        <w:ind w:hanging="283" w:left="709"/>
        <w:rPr/>
      </w:pPr>
      <w:r>
        <w:rPr/>
        <w:t xml:space="preserve">Whether a </w:t>
      </w:r>
      <w:r>
        <w:rPr>
          <w:rStyle w:val="Strong"/>
        </w:rPr>
        <w:t>third team member</w:t>
      </w:r>
      <w:r>
        <w:rPr/>
        <w:t xml:space="preserve"> will join (registration currently lists two) </w:t>
      </w:r>
    </w:p>
    <w:p>
      <w:pPr>
        <w:pStyle w:val="BodyText"/>
        <w:numPr>
          <w:ilvl w:val="0"/>
          <w:numId w:val="9"/>
        </w:numPr>
        <w:tabs>
          <w:tab w:val="clear" w:pos="1134"/>
          <w:tab w:val="left" w:pos="709" w:leader="none"/>
        </w:tabs>
        <w:bidi w:val="0"/>
        <w:spacing w:before="0" w:after="0"/>
        <w:ind w:hanging="283" w:left="709"/>
        <w:rPr/>
      </w:pPr>
      <w:r>
        <w:rPr/>
        <w:t xml:space="preserve">Confirmed </w:t>
      </w:r>
      <w:r>
        <w:rPr>
          <w:rStyle w:val="Strong"/>
        </w:rPr>
        <w:t>co-supervisor</w:t>
      </w:r>
      <w:r>
        <w:rPr/>
        <w:t xml:space="preserve"> (biology/pharmacy/bioinformatics strongly recommended) </w:t>
      </w:r>
    </w:p>
    <w:p>
      <w:pPr>
        <w:pStyle w:val="BodyText"/>
        <w:numPr>
          <w:ilvl w:val="0"/>
          <w:numId w:val="9"/>
        </w:numPr>
        <w:tabs>
          <w:tab w:val="clear" w:pos="1134"/>
          <w:tab w:val="left" w:pos="709" w:leader="none"/>
        </w:tabs>
        <w:bidi w:val="0"/>
        <w:spacing w:before="0" w:after="0"/>
        <w:ind w:hanging="283" w:left="709"/>
        <w:rPr/>
      </w:pPr>
      <w:r>
        <w:rPr/>
        <w:t xml:space="preserve">Primary </w:t>
      </w:r>
      <w:r>
        <w:rPr>
          <w:rStyle w:val="Strong"/>
        </w:rPr>
        <w:t>demo disease area</w:t>
      </w:r>
      <w:r>
        <w:rPr/>
        <w:t xml:space="preserve"> for enrichment/case studies (e.g., Alzheimer’s, Type 2 Diabetes, other) </w:t>
      </w:r>
    </w:p>
    <w:p>
      <w:pPr>
        <w:pStyle w:val="BodyText"/>
        <w:numPr>
          <w:ilvl w:val="0"/>
          <w:numId w:val="9"/>
        </w:numPr>
        <w:tabs>
          <w:tab w:val="clear" w:pos="1134"/>
          <w:tab w:val="left" w:pos="709" w:leader="none"/>
        </w:tabs>
        <w:bidi w:val="0"/>
        <w:spacing w:before="0" w:after="0"/>
        <w:ind w:hanging="283" w:left="709"/>
        <w:rPr/>
      </w:pPr>
      <w:r>
        <w:rPr/>
        <w:t xml:space="preserve">Exact </w:t>
      </w:r>
      <w:r>
        <w:rPr>
          <w:rStyle w:val="Strong"/>
        </w:rPr>
        <w:t>FYP calendar dates</w:t>
      </w:r>
      <w:r>
        <w:rPr/>
        <w:t xml:space="preserve"> for Gantt (replace relative weeks) </w:t>
      </w:r>
    </w:p>
    <w:p>
      <w:pPr>
        <w:pStyle w:val="BodyText"/>
        <w:numPr>
          <w:ilvl w:val="0"/>
          <w:numId w:val="9"/>
        </w:numPr>
        <w:tabs>
          <w:tab w:val="clear" w:pos="1134"/>
          <w:tab w:val="left" w:pos="709" w:leader="none"/>
        </w:tabs>
        <w:bidi w:val="0"/>
        <w:spacing w:before="0" w:after="0"/>
        <w:ind w:hanging="283" w:left="709"/>
        <w:rPr/>
      </w:pPr>
      <w:r>
        <w:rPr/>
        <w:t xml:space="preserve">Confirmed </w:t>
      </w:r>
      <w:r>
        <w:rPr>
          <w:rStyle w:val="Strong"/>
        </w:rPr>
        <w:t>GPU/compute</w:t>
      </w:r>
      <w:r>
        <w:rPr/>
        <w:t xml:space="preserve"> arrangement </w:t>
      </w:r>
    </w:p>
    <w:p>
      <w:pPr>
        <w:pStyle w:val="BodyText"/>
        <w:numPr>
          <w:ilvl w:val="0"/>
          <w:numId w:val="9"/>
        </w:numPr>
        <w:tabs>
          <w:tab w:val="clear" w:pos="1134"/>
          <w:tab w:val="left" w:pos="709" w:leader="none"/>
        </w:tabs>
        <w:bidi w:val="0"/>
        <w:spacing w:before="0" w:after="0"/>
        <w:ind w:hanging="283" w:left="709"/>
        <w:rPr/>
      </w:pPr>
      <w:r>
        <w:rPr/>
        <w:t xml:space="preserve">Whether panel expects </w:t>
      </w:r>
      <w:r>
        <w:rPr>
          <w:rStyle w:val="Strong"/>
        </w:rPr>
        <w:t>Research-only</w:t>
      </w:r>
      <w:r>
        <w:rPr/>
        <w:t xml:space="preserve"> framing or mandatory </w:t>
      </w:r>
      <w:r>
        <w:rPr>
          <w:rStyle w:val="Strong"/>
        </w:rPr>
        <w:t>entrepreneurial market annex</w:t>
      </w:r>
      <w:r>
        <w:rPr/>
        <w:t xml:space="preserve"> (survey/TAM)—not invented here </w:t>
      </w:r>
    </w:p>
    <w:p>
      <w:pPr>
        <w:pStyle w:val="BodyText"/>
        <w:numPr>
          <w:ilvl w:val="0"/>
          <w:numId w:val="9"/>
        </w:numPr>
        <w:tabs>
          <w:tab w:val="clear" w:pos="1134"/>
          <w:tab w:val="left" w:pos="709" w:leader="none"/>
        </w:tabs>
        <w:bidi w:val="0"/>
        <w:ind w:hanging="283" w:left="709"/>
        <w:rPr/>
      </w:pPr>
      <w:r>
        <w:rPr/>
        <w:t xml:space="preserve">Division of module ownership if different from the RACI above </w:t>
      </w:r>
    </w:p>
    <w:p>
      <w:pPr>
        <w:pStyle w:val="BodyTextnote"/>
        <w:bidi w:val="0"/>
        <w:spacing w:before="0" w:after="160"/>
        <w:rPr/>
      </w:pPr>
      <w:r>
        <w:rPr/>
        <w:t>End of Project Proposal &amp; Plan (Template-03 aligned draft v1.0)</w:t>
      </w:r>
    </w:p>
    <w:sectPr>
      <w:type w:val="nextPage"/>
      <w:pgSz w:w="11906" w:h="16838"/>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ndara"/>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Consolas">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Calibri;Candara;Segoe UI;Arial;sans-serif" w:hAnsi="Calibri;Candara;Segoe UI;Arial;sans-serif" w:eastAsia="Calibri;Candara;Segoe UI;Arial;sans-serif" w:cs="Calibri;Candara;Segoe UI;Arial;sans-serif"/>
      <w:color w:val="000000"/>
      <w:sz w:val="24"/>
      <w:szCs w:val="24"/>
      <w:lang w:val="en-US" w:eastAsia="zh-CN" w:bidi="hi-IN"/>
    </w:rPr>
  </w:style>
  <w:style w:type="paragraph" w:styleId="Heading1">
    <w:name w:val="Heading 1"/>
    <w:basedOn w:val="Heading"/>
    <w:next w:val="BodyText"/>
    <w:qFormat/>
    <w:pPr>
      <w:keepNext w:val="true"/>
      <w:spacing w:before="360" w:after="160"/>
      <w:ind w:left="360" w:right="360"/>
    </w:pPr>
    <w:rPr>
      <w:rFonts w:ascii="Noto Sans" w:hAnsi="Noto Sans"/>
      <w:b/>
      <w:bCs/>
      <w:sz w:val="28"/>
      <w:szCs w:val="28"/>
    </w:rPr>
  </w:style>
  <w:style w:type="paragraph" w:styleId="Heading2">
    <w:name w:val="Heading 2"/>
    <w:basedOn w:val="Heading"/>
    <w:next w:val="BodyText"/>
    <w:qFormat/>
    <w:pPr>
      <w:keepNext w:val="true"/>
      <w:numPr>
        <w:ilvl w:val="0"/>
        <w:numId w:val="0"/>
      </w:numPr>
      <w:spacing w:before="280" w:after="120"/>
      <w:ind w:left="280" w:right="280"/>
      <w:outlineLvl w:val="1"/>
    </w:pPr>
    <w:rPr>
      <w:rFonts w:ascii="Liberation Serif" w:hAnsi="Liberation Serif" w:eastAsia="Noto Serif CJK SC" w:cs="Noto Sans Devanagari"/>
      <w:b/>
      <w:bCs/>
      <w:sz w:val="26"/>
      <w:szCs w:val="26"/>
    </w:rPr>
  </w:style>
  <w:style w:type="paragraph" w:styleId="Heading3">
    <w:name w:val="Heading 3"/>
    <w:basedOn w:val="Heading"/>
    <w:next w:val="BodyText"/>
    <w:qFormat/>
    <w:pPr>
      <w:keepNext w:val="true"/>
      <w:numPr>
        <w:ilvl w:val="0"/>
        <w:numId w:val="0"/>
      </w:numPr>
      <w:spacing w:before="240" w:after="80"/>
      <w:ind w:left="240" w:right="24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numPr>
        <w:ilvl w:val="0"/>
        <w:numId w:val="0"/>
      </w:numPr>
      <w:spacing w:before="200" w:after="80"/>
      <w:ind w:left="200" w:right="200"/>
      <w:outlineLvl w:val="3"/>
    </w:pPr>
    <w:rPr>
      <w:rFonts w:ascii="Liberation Serif" w:hAnsi="Liberation Serif" w:eastAsia="Noto Serif CJK SC" w:cs="Noto Sans Devanagari"/>
      <w:b/>
      <w:bCs/>
      <w:i/>
      <w:i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60"/>
      <w:jc w:val="both"/>
    </w:pPr>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Heading1uni">
    <w:name w:val="Heading 1.uni"/>
    <w:basedOn w:val="Heading1"/>
    <w:qFormat/>
    <w:pPr>
      <w:spacing w:before="240" w:after="80"/>
      <w:jc w:val="center"/>
    </w:pPr>
    <w:rPr>
      <w:sz w:val="32"/>
      <w:szCs w:val="32"/>
    </w:rPr>
  </w:style>
  <w:style w:type="paragraph" w:styleId="Heading2school">
    <w:name w:val="Heading 2.school"/>
    <w:basedOn w:val="Heading2"/>
    <w:qFormat/>
    <w:pPr>
      <w:spacing w:before="200" w:after="240"/>
      <w:jc w:val="center"/>
    </w:pPr>
    <w:rPr>
      <w:sz w:val="28"/>
      <w:szCs w:val="28"/>
    </w:rPr>
  </w:style>
  <w:style w:type="paragraph" w:styleId="Heading1doc-title">
    <w:name w:val="Heading 1.doc-title"/>
    <w:basedOn w:val="Heading1"/>
    <w:qFormat/>
    <w:pPr>
      <w:spacing w:before="360" w:after="80"/>
      <w:ind w:left="360" w:right="360"/>
      <w:jc w:val="center"/>
    </w:pPr>
    <w:rPr>
      <w:caps/>
      <w:sz w:val="36"/>
      <w:szCs w:val="36"/>
    </w:rPr>
  </w:style>
  <w:style w:type="paragraph" w:styleId="Heading2doc-subtitle">
    <w:name w:val="Heading 2.doc-subtitle"/>
    <w:basedOn w:val="Heading2"/>
    <w:qFormat/>
    <w:pPr>
      <w:spacing w:before="200" w:after="360"/>
      <w:jc w:val="center"/>
    </w:pPr>
    <w:rPr>
      <w:caps/>
      <w:sz w:val="32"/>
      <w:szCs w:val="32"/>
    </w:rPr>
  </w:style>
  <w:style w:type="paragraph" w:styleId="BodyTextcenter">
    <w:name w:val="Body Text.center"/>
    <w:basedOn w:val="BodyText"/>
    <w:qFormat/>
    <w:pPr>
      <w:jc w:val="center"/>
    </w:pPr>
    <w:rPr/>
  </w:style>
  <w:style w:type="paragraph" w:styleId="BodyTextmeta">
    <w:name w:val="Body Text.meta"/>
    <w:basedOn w:val="BodyText"/>
    <w:qFormat/>
    <w:pPr>
      <w:spacing w:before="40" w:after="40"/>
      <w:ind w:left="40" w:right="40"/>
      <w:jc w:val="left"/>
    </w:pPr>
    <w:rPr/>
  </w:style>
  <w:style w:type="paragraph" w:styleId="PreformattedText">
    <w:name w:val="Preformatted Text"/>
    <w:basedOn w:val="Normal"/>
    <w:qFormat/>
    <w:pPr>
      <w:pBdr>
        <w:top w:val="single" w:sz="2" w:space="8" w:color="CCCCCC"/>
        <w:left w:val="single" w:sz="2" w:space="8" w:color="CCCCCC"/>
        <w:bottom w:val="single" w:sz="2" w:space="8" w:color="CCCCCC"/>
        <w:right w:val="single" w:sz="2" w:space="8" w:color="CCCCCC"/>
      </w:pBdr>
      <w:spacing w:before="160" w:after="240"/>
      <w:ind w:left="160" w:right="160"/>
    </w:pPr>
    <w:rPr>
      <w:rFonts w:ascii="Consolas;Courier New;monospace" w:hAnsi="Consolas;Courier New;monospace" w:eastAsia="Consolas;Courier New;monospace" w:cs="Consolas;Courier New;monospace"/>
      <w:sz w:val="18"/>
      <w:szCs w:val="18"/>
    </w:rPr>
  </w:style>
  <w:style w:type="paragraph" w:styleId="TableHeading">
    <w:name w:val="Table Heading"/>
    <w:basedOn w:val="TableContents"/>
    <w:qFormat/>
    <w:pPr>
      <w:suppressLineNumbers/>
      <w:jc w:val="left"/>
    </w:pPr>
    <w:rPr>
      <w:b/>
      <w:bCs/>
    </w:rPr>
  </w:style>
  <w:style w:type="paragraph" w:styleId="BodyTextnote">
    <w:name w:val="Body Text.note"/>
    <w:basedOn w:val="BodyText"/>
    <w:qFormat/>
    <w:pPr/>
    <w:rPr>
      <w:i/>
      <w:iCs/>
      <w:sz w:val="21"/>
      <w:szCs w:val="21"/>
    </w:rPr>
  </w:style>
  <w:style w:type="paragraph" w:styleId="PreformattedTextcodeblock">
    <w:name w:val="Preformatted Text.codeblock"/>
    <w:basedOn w:val="PreformattedText"/>
    <w:qFormat/>
    <w:pPr>
      <w:pBdr/>
      <w:spacing w:before="160" w:after="240"/>
      <w:ind w:left="160" w:right="160"/>
    </w:pPr>
    <w:rPr>
      <w:rFonts w:ascii="Consolas;Courier New;monospace" w:hAnsi="Consolas;Courier New;monospace" w:eastAsia="Consolas;Courier New;monospace" w:cs="Consolas;Courier New;monospace"/>
      <w:sz w:val="18"/>
      <w:szCs w:val="18"/>
    </w:rPr>
  </w:style>
  <w:style w:type="paragraph" w:styleId="BodyTextsig-line">
    <w:name w:val="Body Text.sig-line"/>
    <w:basedOn w:val="BodyText"/>
    <w:qFormat/>
    <w:pPr>
      <w:spacing w:before="200" w:after="16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4400</Words>
  <Characters>27920</Characters>
  <CharactersWithSpaces>31876</CharactersWithSpaces>
  <Paragraphs>509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Proposal &amp; Plan — AI Drug Repurposing Engine</dc:title>
</cp:coreProperties>
</file>

<file path=docProps/custom.xml><?xml version="1.0" encoding="utf-8"?>
<Properties xmlns="http://schemas.openxmlformats.org/officeDocument/2006/custom-properties" xmlns:vt="http://schemas.openxmlformats.org/officeDocument/2006/docPropsVTypes"/>
</file>