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90DDB" w14:textId="77777777" w:rsidR="00920D64" w:rsidRDefault="00000000">
      <w:pPr>
        <w:spacing w:after="40"/>
      </w:pPr>
      <w:r>
        <w:rPr>
          <w:b/>
          <w:bCs/>
          <w:color w:val="2A6F7F"/>
          <w:sz w:val="18"/>
          <w:szCs w:val="18"/>
        </w:rPr>
        <w:t>EVIDENCE BRIEF</w:t>
      </w:r>
    </w:p>
    <w:p w14:paraId="43D90DDC" w14:textId="77777777" w:rsidR="00920D64" w:rsidRDefault="00000000">
      <w:pPr>
        <w:spacing w:after="60"/>
      </w:pPr>
      <w:r>
        <w:rPr>
          <w:b/>
          <w:bCs/>
          <w:color w:val="1B365D"/>
          <w:sz w:val="36"/>
          <w:szCs w:val="36"/>
        </w:rPr>
        <w:t>Metabolic switching — the benefits</w:t>
      </w:r>
    </w:p>
    <w:p w14:paraId="43D90DDD" w14:textId="77777777" w:rsidR="00920D64" w:rsidRDefault="00000000">
      <w:pPr>
        <w:spacing w:after="160" w:line="276" w:lineRule="auto"/>
      </w:pPr>
      <w:r>
        <w:rPr>
          <w:i/>
          <w:iCs/>
          <w:color w:val="2C2C2C"/>
        </w:rPr>
        <w:t>What the cycle actually does, graded by evidence. Micro moves and macro design stay the same: challenge, then recover. Fasting is one way to flip the switch. Exercise is another. Neither is homework from a coach without the person’s own clinician.</w:t>
      </w:r>
    </w:p>
    <w:p w14:paraId="43D90DDE" w14:textId="77777777" w:rsidR="00920D64" w:rsidRDefault="00000000">
      <w:pPr>
        <w:spacing w:after="200" w:line="276" w:lineRule="auto"/>
      </w:pPr>
      <w:r>
        <w:rPr>
          <w:color w:val="5A6570"/>
          <w:sz w:val="18"/>
          <w:szCs w:val="18"/>
        </w:rPr>
        <w:t>Vera Shury, ACE Health Coach  ·  HeartMath Certified Practitioner  ·  Liberty Science LLC</w:t>
      </w:r>
    </w:p>
    <w:p w14:paraId="43D90DE2" w14:textId="77777777" w:rsidR="00920D64" w:rsidRDefault="00000000">
      <w:pPr>
        <w:pStyle w:val="Heading1"/>
        <w:pBdr>
          <w:bottom w:val="single" w:sz="12" w:space="4" w:color="2A6F7F"/>
        </w:pBdr>
      </w:pPr>
      <w:r>
        <w:t>What “the switch” is</w:t>
      </w:r>
    </w:p>
    <w:p w14:paraId="43D90DE3" w14:textId="77777777" w:rsidR="00920D64" w:rsidRDefault="00000000">
      <w:pPr>
        <w:spacing w:after="160" w:line="276" w:lineRule="auto"/>
      </w:pPr>
      <w:r>
        <w:rPr>
          <w:color w:val="2C2C2C"/>
        </w:rPr>
        <w:t>After liver glycogen runs down — typically 12 or more hours without food in many adults, sooner if they have been moving — the body leans more on fat and on the ketone β-hydroxybutyrate (BHB). That is the metabolic switch. Intermittent metabolic switching, or cyclic metabolic switching in Mattson’s 2025 language, is repeating that flip and then eating, resting, and sleeping so growth pathways come back on.</w:t>
      </w:r>
    </w:p>
    <w:p w14:paraId="43D90DE4" w14:textId="77777777" w:rsidR="00920D64" w:rsidRDefault="00000000">
      <w:pPr>
        <w:spacing w:after="160" w:line="276" w:lineRule="auto"/>
      </w:pPr>
      <w:r>
        <w:rPr>
          <w:color w:val="2C2C2C"/>
        </w:rPr>
        <w:t>Two halves, not one diet:</w:t>
      </w:r>
    </w:p>
    <w:p w14:paraId="43D90DE5" w14:textId="77777777" w:rsidR="00920D64" w:rsidRDefault="00000000">
      <w:pPr>
        <w:pStyle w:val="ListParagraph"/>
        <w:numPr>
          <w:ilvl w:val="0"/>
          <w:numId w:val="2"/>
        </w:numPr>
        <w:spacing w:after="70" w:line="260" w:lineRule="auto"/>
      </w:pPr>
      <w:r>
        <w:rPr>
          <w:color w:val="2C2C2C"/>
          <w:sz w:val="20"/>
          <w:szCs w:val="20"/>
        </w:rPr>
        <w:t>Challenge half: AMPK, sirtuins, autophagy, BHB as both fuel and signal, lower insulin and mTOR.</w:t>
      </w:r>
    </w:p>
    <w:p w14:paraId="43D90DE6" w14:textId="77777777" w:rsidR="00920D64" w:rsidRDefault="00000000">
      <w:pPr>
        <w:pStyle w:val="ListParagraph"/>
        <w:numPr>
          <w:ilvl w:val="0"/>
          <w:numId w:val="2"/>
        </w:numPr>
        <w:spacing w:after="70" w:line="260" w:lineRule="auto"/>
      </w:pPr>
      <w:r>
        <w:rPr>
          <w:color w:val="2C2C2C"/>
          <w:sz w:val="20"/>
          <w:szCs w:val="20"/>
        </w:rPr>
        <w:t>Recovery half: food, rest, sleep — mTOR and protein synthesis rise, mitochondria are built, synapses are installed.</w:t>
      </w:r>
    </w:p>
    <w:p w14:paraId="43D90DE7" w14:textId="77777777" w:rsidR="00920D64" w:rsidRDefault="00000000">
      <w:pPr>
        <w:spacing w:after="160" w:line="276" w:lineRule="auto"/>
      </w:pPr>
      <w:r>
        <w:rPr>
          <w:color w:val="2C2C2C"/>
        </w:rPr>
        <w:t>A continuous ketogenic diet or a continuous calorie cut can change weight without giving the cell both halves. The theory says the cycle is the point. That is still a theory for some brain outcomes. It is better supported for cardiometabolic markers.</w:t>
      </w:r>
    </w:p>
    <w:p w14:paraId="43D90DE8" w14:textId="77777777" w:rsidR="00920D64" w:rsidRDefault="00000000">
      <w:pPr>
        <w:pStyle w:val="Heading1"/>
        <w:pBdr>
          <w:bottom w:val="single" w:sz="12" w:space="4" w:color="2A6F7F"/>
        </w:pBdr>
      </w:pPr>
      <w:r>
        <w:t>How to read the grades</w:t>
      </w:r>
    </w:p>
    <w:p w14:paraId="43D90DE9" w14:textId="77777777" w:rsidR="00920D64" w:rsidRDefault="00000000">
      <w:pPr>
        <w:pStyle w:val="ListParagraph"/>
        <w:numPr>
          <w:ilvl w:val="0"/>
          <w:numId w:val="2"/>
        </w:numPr>
        <w:spacing w:after="70" w:line="260" w:lineRule="auto"/>
      </w:pPr>
      <w:r>
        <w:rPr>
          <w:color w:val="2C2C2C"/>
          <w:sz w:val="20"/>
          <w:szCs w:val="20"/>
        </w:rPr>
        <w:t>Human, repeated: several trials or meta-analyses point the same way.</w:t>
      </w:r>
    </w:p>
    <w:p w14:paraId="43D90DEA" w14:textId="77777777" w:rsidR="00920D64" w:rsidRDefault="00000000">
      <w:pPr>
        <w:pStyle w:val="ListParagraph"/>
        <w:numPr>
          <w:ilvl w:val="0"/>
          <w:numId w:val="2"/>
        </w:numPr>
        <w:spacing w:after="70" w:line="260" w:lineRule="auto"/>
      </w:pPr>
      <w:r>
        <w:rPr>
          <w:color w:val="2C2C2C"/>
          <w:sz w:val="20"/>
          <w:szCs w:val="20"/>
        </w:rPr>
        <w:t>Human, emerging: real trials, small samples, mixed BDNF or cognition, short follow-up.</w:t>
      </w:r>
    </w:p>
    <w:p w14:paraId="43D90DEB" w14:textId="77777777" w:rsidR="00920D64" w:rsidRDefault="00000000">
      <w:pPr>
        <w:pStyle w:val="ListParagraph"/>
        <w:numPr>
          <w:ilvl w:val="0"/>
          <w:numId w:val="2"/>
        </w:numPr>
        <w:spacing w:after="70" w:line="260" w:lineRule="auto"/>
      </w:pPr>
      <w:r>
        <w:rPr>
          <w:color w:val="2C2C2C"/>
          <w:sz w:val="20"/>
          <w:szCs w:val="20"/>
        </w:rPr>
        <w:t>Animal or mechanism: clear in rodents or cells; do not sell it as a human result.</w:t>
      </w:r>
    </w:p>
    <w:p w14:paraId="43D90DEC" w14:textId="77777777" w:rsidR="00920D64" w:rsidRDefault="00000000">
      <w:pPr>
        <w:pStyle w:val="ListParagraph"/>
        <w:numPr>
          <w:ilvl w:val="0"/>
          <w:numId w:val="2"/>
        </w:numPr>
        <w:spacing w:after="70" w:line="260" w:lineRule="auto"/>
      </w:pPr>
      <w:r>
        <w:rPr>
          <w:color w:val="2C2C2C"/>
          <w:sz w:val="20"/>
          <w:szCs w:val="20"/>
        </w:rPr>
        <w:t>Not shown or oversold: longevity in people, “prevents Alzheimer’s,” multi-week starvation as a work protocol.</w:t>
      </w:r>
    </w:p>
    <w:p w14:paraId="43D90DED" w14:textId="77777777" w:rsidR="00920D64" w:rsidRDefault="00000000">
      <w:pPr>
        <w:pStyle w:val="Heading1"/>
        <w:pBdr>
          <w:bottom w:val="single" w:sz="12" w:space="4" w:color="2A6F7F"/>
        </w:pBdr>
      </w:pPr>
      <w:r>
        <w:t>Benefits with repeated human support</w:t>
      </w:r>
    </w:p>
    <w:p w14:paraId="43D90DEE" w14:textId="77777777" w:rsidR="00920D64" w:rsidRDefault="00000000">
      <w:pPr>
        <w:pStyle w:val="Heading2"/>
      </w:pPr>
      <w:r>
        <w:t>Weight and fat, when intake actually falls</w:t>
      </w:r>
    </w:p>
    <w:p w14:paraId="43D90DEF" w14:textId="77777777" w:rsidR="00920D64" w:rsidRDefault="00000000">
      <w:pPr>
        <w:spacing w:after="160" w:line="276" w:lineRule="auto"/>
      </w:pPr>
      <w:r>
        <w:rPr>
          <w:color w:val="2C2C2C"/>
        </w:rPr>
        <w:t>Umbrella reviews of RCTs find consistent drops in weight, BMI, and fat mass with intermittent-fasting patterns versus usual diet. Alternate-day fasting often cuts energy more than time-restricted eating and can move visceral fat and some lipids further. Time-restricted eating is usually easier to keep. A large part of the fat loss is still energy balance. Some trials find extra insulin or waist change at the same weight loss; not every trial does.</w:t>
      </w:r>
    </w:p>
    <w:p w14:paraId="43D90DF0" w14:textId="77777777" w:rsidR="00920D64" w:rsidRDefault="00000000">
      <w:pPr>
        <w:pStyle w:val="Heading2"/>
      </w:pPr>
      <w:r>
        <w:t>Insulin and metabolic flexibility</w:t>
      </w:r>
    </w:p>
    <w:p w14:paraId="43D90DF1" w14:textId="77777777" w:rsidR="00920D64" w:rsidRDefault="00000000">
      <w:pPr>
        <w:spacing w:after="160" w:line="276" w:lineRule="auto"/>
      </w:pPr>
      <w:r>
        <w:rPr>
          <w:color w:val="2C2C2C"/>
        </w:rPr>
        <w:t>The switch is, in plain language, practice at using fat after using glucose. Human trials show lower fasting insulin and better HOMA-IR in many overweight or prediabetic groups. Sutton’s early time-restricted feeding study in men with prediabetes improved insulin sensitivity, β-cell response, blood pressure, and oxidative-stress markers over five weeks without weight loss — dinner finished by mid-</w:t>
      </w:r>
      <w:r>
        <w:rPr>
          <w:color w:val="2C2C2C"/>
        </w:rPr>
        <w:lastRenderedPageBreak/>
        <w:t>afternoon. That is one of the cleaner “switch, not just pounds” papers. It is also a hard schedule for most jobs.</w:t>
      </w:r>
    </w:p>
    <w:p w14:paraId="43D90DF2" w14:textId="77777777" w:rsidR="00920D64" w:rsidRDefault="00000000">
      <w:pPr>
        <w:pStyle w:val="Heading2"/>
      </w:pPr>
      <w:r>
        <w:t>Blood pressure and some lipids</w:t>
      </w:r>
    </w:p>
    <w:p w14:paraId="43D90DF3" w14:textId="77777777" w:rsidR="00920D64" w:rsidRDefault="00000000">
      <w:pPr>
        <w:spacing w:after="160" w:line="276" w:lineRule="auto"/>
      </w:pPr>
      <w:r>
        <w:rPr>
          <w:color w:val="2C2C2C"/>
        </w:rPr>
        <w:t>Meta-analyses report modest average drops in systolic and diastolic pressure and in triglycerides or LDL in some fasting arms. Effect sizes are not medicine-sized in every review. Early time-restricted feeding produced a large blood-pressure drop in one small crossover; treat that as a signal, not a promise.</w:t>
      </w:r>
    </w:p>
    <w:p w14:paraId="43D90DF4" w14:textId="77777777" w:rsidR="00920D64" w:rsidRDefault="00000000">
      <w:pPr>
        <w:pStyle w:val="Heading2"/>
      </w:pPr>
      <w:r>
        <w:t>Inflammation and oxidative markers</w:t>
      </w:r>
    </w:p>
    <w:p w14:paraId="43D90DF5" w14:textId="77777777" w:rsidR="00920D64" w:rsidRDefault="00000000">
      <w:pPr>
        <w:spacing w:after="160" w:line="276" w:lineRule="auto"/>
      </w:pPr>
      <w:r>
        <w:rPr>
          <w:color w:val="2C2C2C"/>
        </w:rPr>
        <w:t>Reviews and some RCTs show lower inflammatory tone and oxidative-stress markers when the pattern is kept. This is a supporting mechanism for the cardiometabolic findings, not a license to call fasting an anti-inflammatory drug.</w:t>
      </w:r>
    </w:p>
    <w:p w14:paraId="43D90DF6" w14:textId="77777777" w:rsidR="00920D64" w:rsidRDefault="00000000">
      <w:pPr>
        <w:pStyle w:val="Heading2"/>
      </w:pPr>
      <w:r>
        <w:t>Exercise flips the same switch</w:t>
      </w:r>
    </w:p>
    <w:p w14:paraId="43D90DF7" w14:textId="77777777" w:rsidR="00920D64" w:rsidRDefault="00000000">
      <w:pPr>
        <w:spacing w:after="160" w:line="276" w:lineRule="auto"/>
      </w:pPr>
      <w:r>
        <w:rPr>
          <w:color w:val="2C2C2C"/>
        </w:rPr>
        <w:t>Sustained or interval work depletes glycogen, raises BHB and lactate, and raises BDNF and PGC-1α without anyone skipping dinner. For a workplace or a coaching client, movement plus an overnight gap plus real recovery is the wide-safety-margin version of metabolic switching. Short accumulated walks also blunt post-meal glucose and, in one older-adult trial, raised the day’s BDNF area-under-the-curve versus sitting.</w:t>
      </w:r>
    </w:p>
    <w:p w14:paraId="43D90DF8" w14:textId="77777777" w:rsidR="00920D64" w:rsidRDefault="00000000">
      <w:pPr>
        <w:pStyle w:val="Heading1"/>
        <w:pBdr>
          <w:bottom w:val="single" w:sz="12" w:space="4" w:color="2A6F7F"/>
        </w:pBdr>
      </w:pPr>
      <w:r>
        <w:t>Benefits that are real but mixed in humans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80"/>
      </w:tblGrid>
      <w:tr w:rsidR="00920D64" w14:paraId="43D90DFB" w14:textId="77777777">
        <w:tblPrEx>
          <w:tblCellMar>
            <w:top w:w="0" w:type="dxa"/>
            <w:bottom w:w="0" w:type="dxa"/>
          </w:tblCellMar>
        </w:tblPrEx>
        <w:tc>
          <w:tcPr>
            <w:tcW w:w="2600" w:type="dxa"/>
            <w:tcBorders>
              <w:top w:val="single" w:sz="4" w:space="0" w:color="C5D4D8"/>
              <w:left w:val="single" w:sz="4" w:space="0" w:color="C5D4D8"/>
              <w:bottom w:val="single" w:sz="4" w:space="0" w:color="C5D4D8"/>
              <w:right w:val="single" w:sz="4" w:space="0" w:color="C5D4D8"/>
            </w:tcBorders>
            <w:shd w:val="clear" w:color="auto" w:fill="1B365D"/>
            <w:tcMar>
              <w:top w:w="60" w:type="dxa"/>
              <w:left w:w="80" w:type="dxa"/>
              <w:bottom w:w="60" w:type="dxa"/>
              <w:right w:w="80" w:type="dxa"/>
            </w:tcMar>
          </w:tcPr>
          <w:p w14:paraId="43D90DF9" w14:textId="77777777" w:rsidR="00920D64" w:rsidRDefault="00000000">
            <w:r>
              <w:rPr>
                <w:b/>
                <w:bCs/>
                <w:color w:val="FFFFFF"/>
                <w:sz w:val="17"/>
                <w:szCs w:val="17"/>
              </w:rPr>
              <w:t>Claim</w:t>
            </w:r>
          </w:p>
        </w:tc>
        <w:tc>
          <w:tcPr>
            <w:tcW w:w="7480" w:type="dxa"/>
            <w:tcBorders>
              <w:top w:val="single" w:sz="4" w:space="0" w:color="C5D4D8"/>
              <w:left w:val="single" w:sz="4" w:space="0" w:color="C5D4D8"/>
              <w:bottom w:val="single" w:sz="4" w:space="0" w:color="C5D4D8"/>
              <w:right w:val="single" w:sz="4" w:space="0" w:color="C5D4D8"/>
            </w:tcBorders>
            <w:shd w:val="clear" w:color="auto" w:fill="1B365D"/>
            <w:tcMar>
              <w:top w:w="60" w:type="dxa"/>
              <w:left w:w="80" w:type="dxa"/>
              <w:bottom w:w="60" w:type="dxa"/>
              <w:right w:w="80" w:type="dxa"/>
            </w:tcMar>
          </w:tcPr>
          <w:p w14:paraId="43D90DFA" w14:textId="77777777" w:rsidR="00920D64" w:rsidRDefault="00000000">
            <w:r>
              <w:rPr>
                <w:b/>
                <w:bCs/>
                <w:color w:val="FFFFFF"/>
                <w:sz w:val="17"/>
                <w:szCs w:val="17"/>
              </w:rPr>
              <w:t>What the human data actually say</w:t>
            </w:r>
          </w:p>
        </w:tc>
      </w:tr>
      <w:tr w:rsidR="00920D64" w14:paraId="43D90DFE" w14:textId="77777777">
        <w:tblPrEx>
          <w:tblCellMar>
            <w:top w:w="0" w:type="dxa"/>
            <w:bottom w:w="0" w:type="dxa"/>
          </w:tblCellMar>
        </w:tblPrEx>
        <w:tc>
          <w:tcPr>
            <w:tcW w:w="2600" w:type="dxa"/>
            <w:tcBorders>
              <w:top w:val="single" w:sz="4" w:space="0" w:color="C5D4D8"/>
              <w:left w:val="single" w:sz="4" w:space="0" w:color="C5D4D8"/>
              <w:bottom w:val="single" w:sz="4" w:space="0" w:color="C5D4D8"/>
              <w:right w:val="single" w:sz="4" w:space="0" w:color="C5D4D8"/>
            </w:tcBorders>
            <w:shd w:val="clear" w:color="auto" w:fill="F4F1EA"/>
            <w:tcMar>
              <w:top w:w="60" w:type="dxa"/>
              <w:left w:w="80" w:type="dxa"/>
              <w:bottom w:w="60" w:type="dxa"/>
              <w:right w:w="80" w:type="dxa"/>
            </w:tcMar>
          </w:tcPr>
          <w:p w14:paraId="43D90DFC" w14:textId="77777777" w:rsidR="00920D64" w:rsidRDefault="00000000">
            <w:pPr>
              <w:spacing w:line="230" w:lineRule="auto"/>
            </w:pPr>
            <w:r>
              <w:rPr>
                <w:color w:val="2C2C2C"/>
                <w:sz w:val="17"/>
                <w:szCs w:val="17"/>
              </w:rPr>
              <w:t>BDNF goes up</w:t>
            </w:r>
          </w:p>
        </w:tc>
        <w:tc>
          <w:tcPr>
            <w:tcW w:w="7480" w:type="dxa"/>
            <w:tcBorders>
              <w:top w:val="single" w:sz="4" w:space="0" w:color="C5D4D8"/>
              <w:left w:val="single" w:sz="4" w:space="0" w:color="C5D4D8"/>
              <w:bottom w:val="single" w:sz="4" w:space="0" w:color="C5D4D8"/>
              <w:right w:val="single" w:sz="4" w:space="0" w:color="C5D4D8"/>
            </w:tcBorders>
            <w:shd w:val="clear" w:color="auto" w:fill="F4F1EA"/>
            <w:tcMar>
              <w:top w:w="60" w:type="dxa"/>
              <w:left w:w="80" w:type="dxa"/>
              <w:bottom w:w="60" w:type="dxa"/>
              <w:right w:w="80" w:type="dxa"/>
            </w:tcMar>
          </w:tcPr>
          <w:p w14:paraId="43D90DFD" w14:textId="77777777" w:rsidR="00920D64" w:rsidRDefault="00000000">
            <w:pPr>
              <w:spacing w:line="230" w:lineRule="auto"/>
            </w:pPr>
            <w:r>
              <w:rPr>
                <w:color w:val="2C2C2C"/>
                <w:sz w:val="17"/>
                <w:szCs w:val="17"/>
              </w:rPr>
              <w:t>A 2024 systematic review of 16 human IF/CR studies: five raised BDNF, five lowered it, six were flat. Animal hippocampal jumps of 50–400% do not reliably appear in serum. Do not titrate a “BDNF stack” off a fast.</w:t>
            </w:r>
          </w:p>
        </w:tc>
      </w:tr>
      <w:tr w:rsidR="00920D64" w14:paraId="43D90E01" w14:textId="77777777">
        <w:tblPrEx>
          <w:tblCellMar>
            <w:top w:w="0" w:type="dxa"/>
            <w:bottom w:w="0" w:type="dxa"/>
          </w:tblCellMar>
        </w:tblPrEx>
        <w:tc>
          <w:tcPr>
            <w:tcW w:w="2600" w:type="dxa"/>
            <w:tcBorders>
              <w:top w:val="single" w:sz="4" w:space="0" w:color="C5D4D8"/>
              <w:left w:val="single" w:sz="4" w:space="0" w:color="C5D4D8"/>
              <w:bottom w:val="single" w:sz="4" w:space="0" w:color="C5D4D8"/>
              <w:right w:val="single" w:sz="4" w:space="0" w:color="C5D4D8"/>
            </w:tcBorders>
            <w:shd w:val="clear" w:color="auto" w:fill="FFFFFF"/>
            <w:tcMar>
              <w:top w:w="60" w:type="dxa"/>
              <w:left w:w="80" w:type="dxa"/>
              <w:bottom w:w="60" w:type="dxa"/>
              <w:right w:w="80" w:type="dxa"/>
            </w:tcMar>
          </w:tcPr>
          <w:p w14:paraId="43D90DFF" w14:textId="77777777" w:rsidR="00920D64" w:rsidRDefault="00000000">
            <w:pPr>
              <w:spacing w:line="230" w:lineRule="auto"/>
            </w:pPr>
            <w:r>
              <w:rPr>
                <w:color w:val="2C2C2C"/>
                <w:sz w:val="17"/>
                <w:szCs w:val="17"/>
              </w:rPr>
              <w:t>Sharper thinking</w:t>
            </w:r>
          </w:p>
        </w:tc>
        <w:tc>
          <w:tcPr>
            <w:tcW w:w="7480" w:type="dxa"/>
            <w:tcBorders>
              <w:top w:val="single" w:sz="4" w:space="0" w:color="C5D4D8"/>
              <w:left w:val="single" w:sz="4" w:space="0" w:color="C5D4D8"/>
              <w:bottom w:val="single" w:sz="4" w:space="0" w:color="C5D4D8"/>
              <w:right w:val="single" w:sz="4" w:space="0" w:color="C5D4D8"/>
            </w:tcBorders>
            <w:shd w:val="clear" w:color="auto" w:fill="FFFFFF"/>
            <w:tcMar>
              <w:top w:w="60" w:type="dxa"/>
              <w:left w:w="80" w:type="dxa"/>
              <w:bottom w:w="60" w:type="dxa"/>
              <w:right w:w="80" w:type="dxa"/>
            </w:tcMar>
          </w:tcPr>
          <w:p w14:paraId="43D90E00" w14:textId="77777777" w:rsidR="00920D64" w:rsidRDefault="00000000">
            <w:pPr>
              <w:spacing w:line="230" w:lineRule="auto"/>
            </w:pPr>
            <w:r>
              <w:rPr>
                <w:color w:val="2C2C2C"/>
                <w:sz w:val="17"/>
                <w:szCs w:val="17"/>
              </w:rPr>
              <w:t>In older, insulin-resistant adults, 8 weeks of 5:2 and a Healthy Living diet both improved memory and executive scores and some brain-insulin vesicle markers. 5:2 looked a bit stronger on a few tests. Neither moved Alzheimer’s CSF cascade markers. A 15-day complete fast slowed some attention measures. Overnight gaps and walks are not the same as a two-week starvation protocol.</w:t>
            </w:r>
          </w:p>
        </w:tc>
      </w:tr>
      <w:tr w:rsidR="00920D64" w14:paraId="43D90E04" w14:textId="77777777">
        <w:tblPrEx>
          <w:tblCellMar>
            <w:top w:w="0" w:type="dxa"/>
            <w:bottom w:w="0" w:type="dxa"/>
          </w:tblCellMar>
        </w:tblPrEx>
        <w:tc>
          <w:tcPr>
            <w:tcW w:w="2600" w:type="dxa"/>
            <w:tcBorders>
              <w:top w:val="single" w:sz="4" w:space="0" w:color="C5D4D8"/>
              <w:left w:val="single" w:sz="4" w:space="0" w:color="C5D4D8"/>
              <w:bottom w:val="single" w:sz="4" w:space="0" w:color="C5D4D8"/>
              <w:right w:val="single" w:sz="4" w:space="0" w:color="C5D4D8"/>
            </w:tcBorders>
            <w:shd w:val="clear" w:color="auto" w:fill="F4F1EA"/>
            <w:tcMar>
              <w:top w:w="60" w:type="dxa"/>
              <w:left w:w="80" w:type="dxa"/>
              <w:bottom w:w="60" w:type="dxa"/>
              <w:right w:w="80" w:type="dxa"/>
            </w:tcMar>
          </w:tcPr>
          <w:p w14:paraId="43D90E02" w14:textId="77777777" w:rsidR="00920D64" w:rsidRDefault="00000000">
            <w:pPr>
              <w:spacing w:line="230" w:lineRule="auto"/>
            </w:pPr>
            <w:r>
              <w:rPr>
                <w:color w:val="2C2C2C"/>
                <w:sz w:val="17"/>
                <w:szCs w:val="17"/>
              </w:rPr>
              <w:t>Mood</w:t>
            </w:r>
          </w:p>
        </w:tc>
        <w:tc>
          <w:tcPr>
            <w:tcW w:w="7480" w:type="dxa"/>
            <w:tcBorders>
              <w:top w:val="single" w:sz="4" w:space="0" w:color="C5D4D8"/>
              <w:left w:val="single" w:sz="4" w:space="0" w:color="C5D4D8"/>
              <w:bottom w:val="single" w:sz="4" w:space="0" w:color="C5D4D8"/>
              <w:right w:val="single" w:sz="4" w:space="0" w:color="C5D4D8"/>
            </w:tcBorders>
            <w:shd w:val="clear" w:color="auto" w:fill="F4F1EA"/>
            <w:tcMar>
              <w:top w:w="60" w:type="dxa"/>
              <w:left w:w="80" w:type="dxa"/>
              <w:bottom w:w="60" w:type="dxa"/>
              <w:right w:w="80" w:type="dxa"/>
            </w:tcMar>
          </w:tcPr>
          <w:p w14:paraId="43D90E03" w14:textId="77777777" w:rsidR="00920D64" w:rsidRDefault="00000000">
            <w:pPr>
              <w:spacing w:line="230" w:lineRule="auto"/>
            </w:pPr>
            <w:r>
              <w:rPr>
                <w:color w:val="2C2C2C"/>
                <w:sz w:val="17"/>
                <w:szCs w:val="17"/>
              </w:rPr>
              <w:t>Some people feel clearer after they adapt. The first days often bring hunger, irritability, and poorer concentration — de Cabo and Mattson said this in the NEJM review. That early dip is why micro recipes start with walks and breath, not a 20-hour window.</w:t>
            </w:r>
          </w:p>
        </w:tc>
      </w:tr>
      <w:tr w:rsidR="00920D64" w14:paraId="43D90E07" w14:textId="77777777">
        <w:tblPrEx>
          <w:tblCellMar>
            <w:top w:w="0" w:type="dxa"/>
            <w:bottom w:w="0" w:type="dxa"/>
          </w:tblCellMar>
        </w:tblPrEx>
        <w:tc>
          <w:tcPr>
            <w:tcW w:w="2600" w:type="dxa"/>
            <w:tcBorders>
              <w:top w:val="single" w:sz="4" w:space="0" w:color="C5D4D8"/>
              <w:left w:val="single" w:sz="4" w:space="0" w:color="C5D4D8"/>
              <w:bottom w:val="single" w:sz="4" w:space="0" w:color="C5D4D8"/>
              <w:right w:val="single" w:sz="4" w:space="0" w:color="C5D4D8"/>
            </w:tcBorders>
            <w:shd w:val="clear" w:color="auto" w:fill="FFFFFF"/>
            <w:tcMar>
              <w:top w:w="60" w:type="dxa"/>
              <w:left w:w="80" w:type="dxa"/>
              <w:bottom w:w="60" w:type="dxa"/>
              <w:right w:w="80" w:type="dxa"/>
            </w:tcMar>
          </w:tcPr>
          <w:p w14:paraId="43D90E05" w14:textId="77777777" w:rsidR="00920D64" w:rsidRDefault="00000000">
            <w:pPr>
              <w:spacing w:line="230" w:lineRule="auto"/>
            </w:pPr>
            <w:r>
              <w:rPr>
                <w:color w:val="2C2C2C"/>
                <w:sz w:val="17"/>
                <w:szCs w:val="17"/>
              </w:rPr>
              <w:t>Gut–brain</w:t>
            </w:r>
          </w:p>
        </w:tc>
        <w:tc>
          <w:tcPr>
            <w:tcW w:w="7480" w:type="dxa"/>
            <w:tcBorders>
              <w:top w:val="single" w:sz="4" w:space="0" w:color="C5D4D8"/>
              <w:left w:val="single" w:sz="4" w:space="0" w:color="C5D4D8"/>
              <w:bottom w:val="single" w:sz="4" w:space="0" w:color="C5D4D8"/>
              <w:right w:val="single" w:sz="4" w:space="0" w:color="C5D4D8"/>
            </w:tcBorders>
            <w:shd w:val="clear" w:color="auto" w:fill="FFFFFF"/>
            <w:tcMar>
              <w:top w:w="60" w:type="dxa"/>
              <w:left w:w="80" w:type="dxa"/>
              <w:bottom w:w="60" w:type="dxa"/>
              <w:right w:w="80" w:type="dxa"/>
            </w:tcMar>
          </w:tcPr>
          <w:p w14:paraId="43D90E06" w14:textId="77777777" w:rsidR="00920D64" w:rsidRDefault="00000000">
            <w:pPr>
              <w:spacing w:line="230" w:lineRule="auto"/>
            </w:pPr>
            <w:r>
              <w:rPr>
                <w:color w:val="2C2C2C"/>
                <w:sz w:val="17"/>
                <w:szCs w:val="17"/>
              </w:rPr>
              <w:t>In obesity, alternate-day fasting has been tied to microbiota shifts and better cognitive scores, with mouse follow-up pointing at microglia. Promising. Not a first-line team policy.</w:t>
            </w:r>
          </w:p>
        </w:tc>
      </w:tr>
      <w:tr w:rsidR="00920D64" w14:paraId="43D90E0A" w14:textId="77777777">
        <w:tblPrEx>
          <w:tblCellMar>
            <w:top w:w="0" w:type="dxa"/>
            <w:bottom w:w="0" w:type="dxa"/>
          </w:tblCellMar>
        </w:tblPrEx>
        <w:tc>
          <w:tcPr>
            <w:tcW w:w="2600" w:type="dxa"/>
            <w:tcBorders>
              <w:top w:val="single" w:sz="4" w:space="0" w:color="C5D4D8"/>
              <w:left w:val="single" w:sz="4" w:space="0" w:color="C5D4D8"/>
              <w:bottom w:val="single" w:sz="4" w:space="0" w:color="C5D4D8"/>
              <w:right w:val="single" w:sz="4" w:space="0" w:color="C5D4D8"/>
            </w:tcBorders>
            <w:shd w:val="clear" w:color="auto" w:fill="F4F1EA"/>
            <w:tcMar>
              <w:top w:w="60" w:type="dxa"/>
              <w:left w:w="80" w:type="dxa"/>
              <w:bottom w:w="60" w:type="dxa"/>
              <w:right w:w="80" w:type="dxa"/>
            </w:tcMar>
          </w:tcPr>
          <w:p w14:paraId="43D90E08" w14:textId="77777777" w:rsidR="00920D64" w:rsidRDefault="00000000">
            <w:pPr>
              <w:spacing w:line="230" w:lineRule="auto"/>
            </w:pPr>
            <w:r>
              <w:rPr>
                <w:color w:val="2C2C2C"/>
                <w:sz w:val="17"/>
                <w:szCs w:val="17"/>
              </w:rPr>
              <w:t>Autophagy in people</w:t>
            </w:r>
          </w:p>
        </w:tc>
        <w:tc>
          <w:tcPr>
            <w:tcW w:w="7480" w:type="dxa"/>
            <w:tcBorders>
              <w:top w:val="single" w:sz="4" w:space="0" w:color="C5D4D8"/>
              <w:left w:val="single" w:sz="4" w:space="0" w:color="C5D4D8"/>
              <w:bottom w:val="single" w:sz="4" w:space="0" w:color="C5D4D8"/>
              <w:right w:val="single" w:sz="4" w:space="0" w:color="C5D4D8"/>
            </w:tcBorders>
            <w:shd w:val="clear" w:color="auto" w:fill="F4F1EA"/>
            <w:tcMar>
              <w:top w:w="60" w:type="dxa"/>
              <w:left w:w="80" w:type="dxa"/>
              <w:bottom w:w="60" w:type="dxa"/>
              <w:right w:w="80" w:type="dxa"/>
            </w:tcMar>
          </w:tcPr>
          <w:p w14:paraId="43D90E09" w14:textId="77777777" w:rsidR="00920D64" w:rsidRDefault="00000000">
            <w:pPr>
              <w:spacing w:line="230" w:lineRule="auto"/>
            </w:pPr>
            <w:r>
              <w:rPr>
                <w:color w:val="2C2C2C"/>
                <w:sz w:val="17"/>
                <w:szCs w:val="17"/>
              </w:rPr>
              <w:t>A small 2025 fasting-mimicking-diet trial reported measurable autophagy flux plus better insulin and ketones. Early human signal. Not a product endorsement.</w:t>
            </w:r>
          </w:p>
        </w:tc>
      </w:tr>
    </w:tbl>
    <w:p w14:paraId="43D90E0B" w14:textId="77777777" w:rsidR="00920D64" w:rsidRDefault="00000000">
      <w:pPr>
        <w:pStyle w:val="Heading1"/>
        <w:pBdr>
          <w:bottom w:val="single" w:sz="12" w:space="4" w:color="2A6F7F"/>
        </w:pBdr>
      </w:pPr>
      <w:r>
        <w:t>Benefits that are strong in animals — do not over-claim</w:t>
      </w:r>
    </w:p>
    <w:p w14:paraId="43D90E0C" w14:textId="77777777" w:rsidR="00920D64" w:rsidRDefault="00000000">
      <w:pPr>
        <w:spacing w:after="160" w:line="276" w:lineRule="auto"/>
      </w:pPr>
      <w:r>
        <w:rPr>
          <w:color w:val="2C2C2C"/>
        </w:rPr>
        <w:t>Rodent intermittent fasting improves synaptic plasticity, neurogenesis, motor performance, and resistance to models of stroke, epilepsy, trauma, Alzheimer-type, and Parkinson-type injury. BHB can induce BDNF in neurons. SIRT3 and PGC-1α track mitochondrial resilience. That is why the neuroplasticity brief exists. It is not proof that an 8-hour eating window will prevent Parkinson’s or reverse a GBA variant. Housekeeping for the same systems — not a cure.</w:t>
      </w:r>
    </w:p>
    <w:p w14:paraId="43D90E0D" w14:textId="77777777" w:rsidR="00920D64" w:rsidRDefault="00000000">
      <w:pPr>
        <w:pStyle w:val="Heading1"/>
        <w:pBdr>
          <w:bottom w:val="single" w:sz="12" w:space="4" w:color="2A6F7F"/>
        </w:pBdr>
      </w:pPr>
      <w:r>
        <w:t>What is not a benefit of “more switching”</w:t>
      </w:r>
    </w:p>
    <w:p w14:paraId="43D90E0E" w14:textId="77777777" w:rsidR="00920D64" w:rsidRDefault="00000000">
      <w:pPr>
        <w:pStyle w:val="ListParagraph"/>
        <w:numPr>
          <w:ilvl w:val="0"/>
          <w:numId w:val="2"/>
        </w:numPr>
        <w:spacing w:after="70" w:line="260" w:lineRule="auto"/>
      </w:pPr>
      <w:r>
        <w:rPr>
          <w:color w:val="2C2C2C"/>
          <w:sz w:val="20"/>
          <w:szCs w:val="20"/>
        </w:rPr>
        <w:lastRenderedPageBreak/>
        <w:t>A continuous ketogenic diet is not the same cycle. Growth pathways may stay quiet. Some people need the fed half.</w:t>
      </w:r>
    </w:p>
    <w:p w14:paraId="43D90E0F" w14:textId="77777777" w:rsidR="00920D64" w:rsidRDefault="00000000">
      <w:pPr>
        <w:pStyle w:val="ListParagraph"/>
        <w:numPr>
          <w:ilvl w:val="0"/>
          <w:numId w:val="2"/>
        </w:numPr>
        <w:spacing w:after="70" w:line="260" w:lineRule="auto"/>
      </w:pPr>
      <w:r>
        <w:rPr>
          <w:color w:val="2C2C2C"/>
          <w:sz w:val="20"/>
          <w:szCs w:val="20"/>
        </w:rPr>
        <w:t>Multi-week water fasting is not workplace metabolic switching. Historic therapeutic fasts produced serious harm. Short repeating cycles in trials have a different safety record.</w:t>
      </w:r>
    </w:p>
    <w:p w14:paraId="43D90E10" w14:textId="77777777" w:rsidR="00920D64" w:rsidRDefault="00000000">
      <w:pPr>
        <w:pStyle w:val="ListParagraph"/>
        <w:numPr>
          <w:ilvl w:val="0"/>
          <w:numId w:val="2"/>
        </w:numPr>
        <w:spacing w:after="70" w:line="260" w:lineRule="auto"/>
      </w:pPr>
      <w:r>
        <w:rPr>
          <w:color w:val="2C2C2C"/>
          <w:sz w:val="20"/>
          <w:szCs w:val="20"/>
        </w:rPr>
        <w:t>Exogenous ketone drinks are not a proven substitute for the cycle. They raise BHB; they do not automatically run autophagy-then-rebuild.</w:t>
      </w:r>
    </w:p>
    <w:p w14:paraId="43D90E11" w14:textId="77777777" w:rsidR="00920D64" w:rsidRDefault="00000000">
      <w:pPr>
        <w:pStyle w:val="ListParagraph"/>
        <w:numPr>
          <w:ilvl w:val="0"/>
          <w:numId w:val="2"/>
        </w:numPr>
        <w:spacing w:after="70" w:line="260" w:lineRule="auto"/>
      </w:pPr>
      <w:r>
        <w:rPr>
          <w:color w:val="2C2C2C"/>
          <w:sz w:val="20"/>
          <w:szCs w:val="20"/>
        </w:rPr>
        <w:t>Longevity in yeast, worms, and mice is not a human lifespan claim.</w:t>
      </w:r>
    </w:p>
    <w:p w14:paraId="43D90E12" w14:textId="77777777" w:rsidR="00920D64" w:rsidRDefault="00000000">
      <w:pPr>
        <w:pStyle w:val="Heading1"/>
        <w:pBdr>
          <w:bottom w:val="single" w:sz="12" w:space="4" w:color="2A6F7F"/>
        </w:pBdr>
      </w:pPr>
      <w:r>
        <w:t>Who should not use fasting as the switch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20D64" w14:paraId="43D90E19" w14:textId="77777777">
        <w:tblPrEx>
          <w:tblCellMar>
            <w:top w:w="0" w:type="dxa"/>
            <w:bottom w:w="0" w:type="dxa"/>
          </w:tblCellMar>
        </w:tblPrEx>
        <w:tc>
          <w:tcPr>
            <w:tcW w:w="10080" w:type="dxa"/>
            <w:tcBorders>
              <w:top w:val="single" w:sz="16" w:space="0" w:color="8B6914"/>
              <w:left w:val="single" w:sz="8" w:space="0" w:color="C5D4D8"/>
              <w:bottom w:val="single" w:sz="8" w:space="0" w:color="C5D4D8"/>
              <w:right w:val="single" w:sz="8" w:space="0" w:color="C5D4D8"/>
            </w:tcBorders>
            <w:shd w:val="clear" w:color="auto" w:fill="F8EFE4"/>
            <w:tcMar>
              <w:top w:w="110" w:type="dxa"/>
              <w:left w:w="150" w:type="dxa"/>
              <w:bottom w:w="110" w:type="dxa"/>
              <w:right w:w="150" w:type="dxa"/>
            </w:tcMar>
          </w:tcPr>
          <w:p w14:paraId="43D90E13" w14:textId="77777777" w:rsidR="00920D64" w:rsidRDefault="00000000">
            <w:pPr>
              <w:pStyle w:val="ListParagraph"/>
              <w:numPr>
                <w:ilvl w:val="0"/>
                <w:numId w:val="3"/>
              </w:numPr>
              <w:spacing w:after="50"/>
            </w:pPr>
            <w:r>
              <w:rPr>
                <w:color w:val="2C2C2C"/>
                <w:sz w:val="18"/>
                <w:szCs w:val="18"/>
              </w:rPr>
              <w:t>Pregnancy, breastfeeding, or trying to conceive — clinician first, usually not this tool.</w:t>
            </w:r>
          </w:p>
          <w:p w14:paraId="43D90E14" w14:textId="77777777" w:rsidR="00920D64" w:rsidRDefault="00000000">
            <w:pPr>
              <w:pStyle w:val="ListParagraph"/>
              <w:numPr>
                <w:ilvl w:val="0"/>
                <w:numId w:val="3"/>
              </w:numPr>
              <w:spacing w:after="50"/>
            </w:pPr>
            <w:r>
              <w:rPr>
                <w:color w:val="2C2C2C"/>
                <w:sz w:val="18"/>
                <w:szCs w:val="18"/>
              </w:rPr>
              <w:t>History of anorexia, bulimia, or compulsive restriction. Skipping meals can be the illness wearing a wellness label.</w:t>
            </w:r>
          </w:p>
          <w:p w14:paraId="43D90E15" w14:textId="77777777" w:rsidR="00920D64" w:rsidRDefault="00000000">
            <w:pPr>
              <w:pStyle w:val="ListParagraph"/>
              <w:numPr>
                <w:ilvl w:val="0"/>
                <w:numId w:val="3"/>
              </w:numPr>
              <w:spacing w:after="50"/>
            </w:pPr>
            <w:r>
              <w:rPr>
                <w:color w:val="2C2C2C"/>
                <w:sz w:val="18"/>
                <w:szCs w:val="18"/>
              </w:rPr>
              <w:t>Insulin-treated diabetes or a history of hypoglycemia. Meal timing changes how insulin and some oral agents land.</w:t>
            </w:r>
          </w:p>
          <w:p w14:paraId="43D90E16" w14:textId="77777777" w:rsidR="00920D64" w:rsidRDefault="00000000">
            <w:pPr>
              <w:pStyle w:val="ListParagraph"/>
              <w:numPr>
                <w:ilvl w:val="0"/>
                <w:numId w:val="3"/>
              </w:numPr>
              <w:spacing w:after="50"/>
            </w:pPr>
            <w:r>
              <w:rPr>
                <w:color w:val="2C2C2C"/>
                <w:sz w:val="18"/>
                <w:szCs w:val="18"/>
              </w:rPr>
              <w:t>Bipolar medicine, asenapine-type agents, pyridostigmine-type timing, anticoagulants with “keto stacks,” seizure medicines. Timing and food change exposure. Prescriber and pharmacist — not a hallway protocol.</w:t>
            </w:r>
          </w:p>
          <w:p w14:paraId="43D90E17" w14:textId="77777777" w:rsidR="00920D64" w:rsidRDefault="00000000">
            <w:pPr>
              <w:pStyle w:val="ListParagraph"/>
              <w:numPr>
                <w:ilvl w:val="0"/>
                <w:numId w:val="3"/>
              </w:numPr>
              <w:spacing w:after="50"/>
            </w:pPr>
            <w:r>
              <w:rPr>
                <w:color w:val="2C2C2C"/>
                <w:sz w:val="18"/>
                <w:szCs w:val="18"/>
              </w:rPr>
              <w:t>Frailty, underweight, active cancer treatment, or recent large weight loss. Bone is a live concern when fasting is paired with pounds down.</w:t>
            </w:r>
          </w:p>
          <w:p w14:paraId="43D90E18" w14:textId="77777777" w:rsidR="00920D64" w:rsidRDefault="00000000">
            <w:pPr>
              <w:pStyle w:val="ListParagraph"/>
              <w:numPr>
                <w:ilvl w:val="0"/>
                <w:numId w:val="3"/>
              </w:numPr>
            </w:pPr>
            <w:r>
              <w:rPr>
                <w:color w:val="2C2C2C"/>
                <w:sz w:val="18"/>
                <w:szCs w:val="18"/>
              </w:rPr>
              <w:t>A company mandate. Metabolic switching is individual. Exercise-plus-overnight-gap-plus-recovery is the team-safe version.</w:t>
            </w:r>
          </w:p>
        </w:tc>
      </w:tr>
    </w:tbl>
    <w:p w14:paraId="43D90E1A" w14:textId="77777777" w:rsidR="00920D64" w:rsidRDefault="00000000">
      <w:pPr>
        <w:pStyle w:val="Heading1"/>
        <w:pBdr>
          <w:bottom w:val="single" w:sz="12" w:space="4" w:color="2A6F7F"/>
        </w:pBdr>
      </w:pPr>
      <w:r>
        <w:t>How this maps onto micro and macro</w:t>
      </w:r>
    </w:p>
    <w:p w14:paraId="43D90E1B" w14:textId="77777777" w:rsidR="00920D64" w:rsidRDefault="00000000">
      <w:pPr>
        <w:spacing w:after="160" w:line="276" w:lineRule="auto"/>
      </w:pPr>
      <w:r>
        <w:rPr>
          <w:b/>
          <w:bCs/>
          <w:color w:val="2C2C2C"/>
        </w:rPr>
        <w:t xml:space="preserve">Macro benefit: </w:t>
      </w:r>
      <w:r>
        <w:rPr>
          <w:color w:val="2C2C2C"/>
        </w:rPr>
        <w:t>a week that actually cycles challenge and recovery — glycogen down sometimes, then food, play, sleep. That is the design that matches the theory.</w:t>
      </w:r>
    </w:p>
    <w:p w14:paraId="43D90E1C" w14:textId="77777777" w:rsidR="00920D64" w:rsidRDefault="00000000">
      <w:pPr>
        <w:spacing w:after="160" w:line="276" w:lineRule="auto"/>
      </w:pPr>
      <w:r>
        <w:rPr>
          <w:b/>
          <w:bCs/>
          <w:color w:val="2C2C2C"/>
        </w:rPr>
        <w:t xml:space="preserve">Micro benefit: </w:t>
      </w:r>
      <w:r>
        <w:rPr>
          <w:color w:val="2C2C2C"/>
        </w:rPr>
        <w:t>the move that starts the cycle without a new religion. A walk after lunch. Three coherent breaths. An overnight kitchen-closed window that a clinician has cleared. Celebrate the move. Do not skip the fed half.</w:t>
      </w:r>
    </w:p>
    <w:p w14:paraId="43D90E1E" w14:textId="77777777" w:rsidR="00920D64" w:rsidRDefault="00000000">
      <w:pPr>
        <w:pStyle w:val="Heading1"/>
        <w:pBdr>
          <w:bottom w:val="single" w:sz="12" w:space="4" w:color="2A6F7F"/>
        </w:pBdr>
      </w:pPr>
      <w:r>
        <w:t>Sources</w:t>
      </w:r>
    </w:p>
    <w:p w14:paraId="43D90E1F" w14:textId="77777777" w:rsidR="00920D64" w:rsidRDefault="00000000">
      <w:pPr>
        <w:spacing w:after="60" w:line="276" w:lineRule="auto"/>
      </w:pPr>
      <w:r>
        <w:rPr>
          <w:i/>
          <w:iCs/>
          <w:color w:val="2C2C2C"/>
        </w:rPr>
        <w:t xml:space="preserve">Mattson MP et al. </w:t>
      </w:r>
      <w:r>
        <w:rPr>
          <w:color w:val="5A6570"/>
          <w:sz w:val="17"/>
          <w:szCs w:val="17"/>
        </w:rPr>
        <w:t>Intermittent metabolic switching, neuroplasticity and brain health. Nat Rev Neurosci. 2018.</w:t>
      </w:r>
    </w:p>
    <w:p w14:paraId="43D90E20" w14:textId="77777777" w:rsidR="00920D64" w:rsidRDefault="00000000">
      <w:pPr>
        <w:spacing w:after="60" w:line="276" w:lineRule="auto"/>
      </w:pPr>
      <w:r>
        <w:rPr>
          <w:i/>
          <w:iCs/>
          <w:color w:val="2C2C2C"/>
        </w:rPr>
        <w:t xml:space="preserve">Mattson MP. </w:t>
      </w:r>
      <w:r>
        <w:rPr>
          <w:color w:val="5A6570"/>
          <w:sz w:val="17"/>
          <w:szCs w:val="17"/>
        </w:rPr>
        <w:t>The cyclic metabolic switching theory of intermittent fasting. Nat Metab. 2025.</w:t>
      </w:r>
    </w:p>
    <w:p w14:paraId="43D90E21" w14:textId="77777777" w:rsidR="00920D64" w:rsidRDefault="00000000">
      <w:pPr>
        <w:spacing w:after="60" w:line="276" w:lineRule="auto"/>
      </w:pPr>
      <w:r>
        <w:rPr>
          <w:i/>
          <w:iCs/>
          <w:color w:val="2C2C2C"/>
        </w:rPr>
        <w:t xml:space="preserve">de Cabo R, Mattson MP. </w:t>
      </w:r>
      <w:r>
        <w:rPr>
          <w:color w:val="5A6570"/>
          <w:sz w:val="17"/>
          <w:szCs w:val="17"/>
        </w:rPr>
        <w:t>Effects of intermittent fasting on health, aging, and disease. N Engl J Med. 2019.</w:t>
      </w:r>
    </w:p>
    <w:p w14:paraId="43D90E22" w14:textId="77777777" w:rsidR="00920D64" w:rsidRDefault="00000000">
      <w:pPr>
        <w:spacing w:after="60" w:line="276" w:lineRule="auto"/>
      </w:pPr>
      <w:r>
        <w:rPr>
          <w:i/>
          <w:iCs/>
          <w:color w:val="2C2C2C"/>
        </w:rPr>
        <w:t xml:space="preserve">Anton SD et al. </w:t>
      </w:r>
      <w:r>
        <w:rPr>
          <w:color w:val="5A6570"/>
          <w:sz w:val="17"/>
          <w:szCs w:val="17"/>
        </w:rPr>
        <w:t>Flipping the metabolic switch. Obesity. 2018.</w:t>
      </w:r>
    </w:p>
    <w:p w14:paraId="43D90E23" w14:textId="77777777" w:rsidR="00920D64" w:rsidRDefault="00000000">
      <w:pPr>
        <w:spacing w:after="60" w:line="276" w:lineRule="auto"/>
      </w:pPr>
      <w:r>
        <w:rPr>
          <w:i/>
          <w:iCs/>
          <w:color w:val="2C2C2C"/>
        </w:rPr>
        <w:t xml:space="preserve">Sutton EF et al. </w:t>
      </w:r>
      <w:r>
        <w:rPr>
          <w:color w:val="5A6570"/>
          <w:sz w:val="17"/>
          <w:szCs w:val="17"/>
        </w:rPr>
        <w:t>Early time-restricted feeding improves insulin sensitivity, blood pressure, and oxidative stress even without weight loss. Cell Metab. 2018.</w:t>
      </w:r>
    </w:p>
    <w:p w14:paraId="43D90E24" w14:textId="77777777" w:rsidR="00920D64" w:rsidRDefault="00000000">
      <w:pPr>
        <w:spacing w:after="60" w:line="276" w:lineRule="auto"/>
      </w:pPr>
      <w:r>
        <w:rPr>
          <w:i/>
          <w:iCs/>
          <w:color w:val="2C2C2C"/>
        </w:rPr>
        <w:t xml:space="preserve">Patikorn C et al. </w:t>
      </w:r>
      <w:r>
        <w:rPr>
          <w:color w:val="5A6570"/>
          <w:sz w:val="17"/>
          <w:szCs w:val="17"/>
        </w:rPr>
        <w:t>Intermittent fasting and obesity-related health outcomes: umbrella review of meta-analyses of RCTs. JAMA Netw Open. 2021.</w:t>
      </w:r>
    </w:p>
    <w:p w14:paraId="43D90E25" w14:textId="77777777" w:rsidR="00920D64" w:rsidRDefault="00000000">
      <w:pPr>
        <w:spacing w:after="60" w:line="276" w:lineRule="auto"/>
      </w:pPr>
      <w:r>
        <w:rPr>
          <w:i/>
          <w:iCs/>
          <w:color w:val="2C2C2C"/>
        </w:rPr>
        <w:t xml:space="preserve">Kapogiannis D et al. </w:t>
      </w:r>
      <w:r>
        <w:rPr>
          <w:color w:val="5A6570"/>
          <w:sz w:val="17"/>
          <w:szCs w:val="17"/>
        </w:rPr>
        <w:t>Brain responses to intermittent fasting and the Healthy Living diet in older adults. Cell Metab. 2024.</w:t>
      </w:r>
    </w:p>
    <w:p w14:paraId="43D90E26" w14:textId="77777777" w:rsidR="00920D64" w:rsidRDefault="00000000">
      <w:pPr>
        <w:spacing w:after="60" w:line="276" w:lineRule="auto"/>
      </w:pPr>
      <w:r>
        <w:rPr>
          <w:i/>
          <w:iCs/>
          <w:color w:val="2C2C2C"/>
        </w:rPr>
        <w:t xml:space="preserve">Alkurd R et al. </w:t>
      </w:r>
      <w:r>
        <w:rPr>
          <w:color w:val="5A6570"/>
          <w:sz w:val="17"/>
          <w:szCs w:val="17"/>
        </w:rPr>
        <w:t>Effect of calorie restriction and intermittent fasting on BDNF and cognition in humans: systematic review. 2024.</w:t>
      </w:r>
    </w:p>
    <w:p w14:paraId="43D90E27" w14:textId="77777777" w:rsidR="00920D64" w:rsidRDefault="00000000">
      <w:pPr>
        <w:spacing w:after="80" w:line="276" w:lineRule="auto"/>
      </w:pPr>
      <w:r>
        <w:rPr>
          <w:i/>
          <w:iCs/>
          <w:color w:val="2C2C2C"/>
        </w:rPr>
        <w:t xml:space="preserve">Harvie M, Mattson MP, Longo VD. </w:t>
      </w:r>
      <w:r>
        <w:rPr>
          <w:color w:val="5A6570"/>
          <w:sz w:val="17"/>
          <w:szCs w:val="17"/>
        </w:rPr>
        <w:t>Impact of intermittent fasting on health and disease processes. Ageing Res Rev. 2017.</w:t>
      </w:r>
    </w:p>
    <w:p w14:paraId="43D90E28" w14:textId="77777777" w:rsidR="00920D64" w:rsidRDefault="00000000">
      <w:pPr>
        <w:spacing w:before="160" w:after="40"/>
      </w:pPr>
      <w:r>
        <w:rPr>
          <w:b/>
          <w:bCs/>
          <w:color w:val="1B365D"/>
          <w:sz w:val="20"/>
          <w:szCs w:val="20"/>
        </w:rPr>
        <w:t>Vera Shury  ·  Liberty Science LLC</w:t>
      </w:r>
    </w:p>
    <w:p w14:paraId="43D90E29" w14:textId="77777777" w:rsidR="00920D64" w:rsidRDefault="00000000">
      <w:pPr>
        <w:spacing w:line="276" w:lineRule="auto"/>
      </w:pPr>
      <w:r>
        <w:rPr>
          <w:color w:val="2C2C2C"/>
        </w:rPr>
        <w:t>Education and coaching only. Partners in care remain the person’s own clinicians. Micro return visits beat macro intensity.</w:t>
      </w:r>
    </w:p>
    <w:sectPr w:rsidR="00920D64">
      <w:headerReference w:type="default" r:id="rId7"/>
      <w:footerReference w:type="default" r:id="rId8"/>
      <w:pgSz w:w="12240" w:h="15840"/>
      <w:pgMar w:top="860" w:right="1080" w:bottom="86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C1EC4" w14:textId="77777777" w:rsidR="00FC03EA" w:rsidRDefault="00FC03EA">
      <w:r>
        <w:separator/>
      </w:r>
    </w:p>
  </w:endnote>
  <w:endnote w:type="continuationSeparator" w:id="0">
    <w:p w14:paraId="79DDD267" w14:textId="77777777" w:rsidR="00FC03EA" w:rsidRDefault="00FC0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90E2B" w14:textId="6817421B" w:rsidR="00920D64" w:rsidRDefault="00000000">
    <w:pPr>
      <w:pBdr>
        <w:top w:val="single" w:sz="8" w:space="8" w:color="C5D4D8"/>
      </w:pBdr>
      <w:spacing w:before="80"/>
    </w:pPr>
    <w:r>
      <w:rPr>
        <w:color w:val="5A6570"/>
        <w:sz w:val="15"/>
        <w:szCs w:val="15"/>
      </w:rPr>
      <w:t xml:space="preserve">Not diagnosis, treatment, or a plan to start, stop, or titrate medicine.  ·  Page </w:t>
    </w:r>
    <w:r>
      <w:rPr>
        <w:color w:val="5A6570"/>
        <w:sz w:val="15"/>
        <w:szCs w:val="15"/>
      </w:rPr>
      <w:fldChar w:fldCharType="begin"/>
    </w:r>
    <w:r>
      <w:rPr>
        <w:color w:val="5A6570"/>
        <w:sz w:val="15"/>
        <w:szCs w:val="15"/>
      </w:rPr>
      <w:instrText>PAGE</w:instrText>
    </w:r>
    <w:r>
      <w:rPr>
        <w:color w:val="5A6570"/>
        <w:sz w:val="15"/>
        <w:szCs w:val="15"/>
      </w:rPr>
      <w:fldChar w:fldCharType="separate"/>
    </w:r>
    <w:r w:rsidR="0070014F">
      <w:rPr>
        <w:noProof/>
        <w:color w:val="5A6570"/>
        <w:sz w:val="15"/>
        <w:szCs w:val="15"/>
      </w:rPr>
      <w:t>1</w:t>
    </w:r>
    <w:r>
      <w:rPr>
        <w:color w:val="5A6570"/>
        <w:sz w:val="15"/>
        <w:szCs w:val="15"/>
      </w:rPr>
      <w:fldChar w:fldCharType="end"/>
    </w:r>
    <w:r>
      <w:rPr>
        <w:color w:val="5A6570"/>
        <w:sz w:val="15"/>
        <w:szCs w:val="15"/>
      </w:rPr>
      <w:t xml:space="preserve"> of </w:t>
    </w:r>
    <w:r>
      <w:rPr>
        <w:color w:val="5A6570"/>
        <w:sz w:val="15"/>
        <w:szCs w:val="15"/>
      </w:rPr>
      <w:fldChar w:fldCharType="begin"/>
    </w:r>
    <w:r>
      <w:rPr>
        <w:color w:val="5A6570"/>
        <w:sz w:val="15"/>
        <w:szCs w:val="15"/>
      </w:rPr>
      <w:instrText>NUMPAGES</w:instrText>
    </w:r>
    <w:r>
      <w:rPr>
        <w:color w:val="5A6570"/>
        <w:sz w:val="15"/>
        <w:szCs w:val="15"/>
      </w:rPr>
      <w:fldChar w:fldCharType="separate"/>
    </w:r>
    <w:r w:rsidR="0070014F">
      <w:rPr>
        <w:noProof/>
        <w:color w:val="5A6570"/>
        <w:sz w:val="15"/>
        <w:szCs w:val="15"/>
      </w:rPr>
      <w:t>2</w:t>
    </w:r>
    <w:r>
      <w:rPr>
        <w:color w:val="5A657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C7B5B" w14:textId="77777777" w:rsidR="00FC03EA" w:rsidRDefault="00FC03EA">
      <w:r>
        <w:separator/>
      </w:r>
    </w:p>
  </w:footnote>
  <w:footnote w:type="continuationSeparator" w:id="0">
    <w:p w14:paraId="799BB05B" w14:textId="77777777" w:rsidR="00FC03EA" w:rsidRDefault="00FC03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90E2A" w14:textId="77777777" w:rsidR="00920D64" w:rsidRDefault="00000000">
    <w:pPr>
      <w:pBdr>
        <w:bottom w:val="single" w:sz="12" w:space="6" w:color="2A6F7F"/>
      </w:pBdr>
      <w:spacing w:after="60"/>
    </w:pPr>
    <w:r>
      <w:rPr>
        <w:i/>
        <w:iCs/>
        <w:color w:val="2A6F7F"/>
        <w:sz w:val="16"/>
        <w:szCs w:val="16"/>
      </w:rPr>
      <w:t>Liberty Science LLC  ·  Education only</w:t>
    </w:r>
    <w:r>
      <w:rPr>
        <w:color w:val="5A6570"/>
        <w:sz w:val="16"/>
        <w:szCs w:val="16"/>
      </w:rPr>
      <w:t xml:space="preserve">     Companion to the metabolic neuroplasticity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62E24"/>
    <w:multiLevelType w:val="hybridMultilevel"/>
    <w:tmpl w:val="C75A4F6A"/>
    <w:lvl w:ilvl="0" w:tplc="FF1C867E">
      <w:start w:val="1"/>
      <w:numFmt w:val="bullet"/>
      <w:lvlText w:val="•"/>
      <w:lvlJc w:val="left"/>
      <w:pPr>
        <w:ind w:left="360" w:hanging="180"/>
      </w:pPr>
    </w:lvl>
    <w:lvl w:ilvl="1" w:tplc="058AC150">
      <w:numFmt w:val="decimal"/>
      <w:lvlText w:val=""/>
      <w:lvlJc w:val="left"/>
    </w:lvl>
    <w:lvl w:ilvl="2" w:tplc="D2FA62D0">
      <w:numFmt w:val="decimal"/>
      <w:lvlText w:val=""/>
      <w:lvlJc w:val="left"/>
    </w:lvl>
    <w:lvl w:ilvl="3" w:tplc="1EF6124A">
      <w:numFmt w:val="decimal"/>
      <w:lvlText w:val=""/>
      <w:lvlJc w:val="left"/>
    </w:lvl>
    <w:lvl w:ilvl="4" w:tplc="E128499C">
      <w:numFmt w:val="decimal"/>
      <w:lvlText w:val=""/>
      <w:lvlJc w:val="left"/>
    </w:lvl>
    <w:lvl w:ilvl="5" w:tplc="7CA66F2A">
      <w:numFmt w:val="decimal"/>
      <w:lvlText w:val=""/>
      <w:lvlJc w:val="left"/>
    </w:lvl>
    <w:lvl w:ilvl="6" w:tplc="24764822">
      <w:numFmt w:val="decimal"/>
      <w:lvlText w:val=""/>
      <w:lvlJc w:val="left"/>
    </w:lvl>
    <w:lvl w:ilvl="7" w:tplc="9920F292">
      <w:numFmt w:val="decimal"/>
      <w:lvlText w:val=""/>
      <w:lvlJc w:val="left"/>
    </w:lvl>
    <w:lvl w:ilvl="8" w:tplc="7A50BBB6">
      <w:numFmt w:val="decimal"/>
      <w:lvlText w:val=""/>
      <w:lvlJc w:val="left"/>
    </w:lvl>
  </w:abstractNum>
  <w:abstractNum w:abstractNumId="1" w15:restartNumberingAfterBreak="0">
    <w:nsid w:val="3FEA24F2"/>
    <w:multiLevelType w:val="hybridMultilevel"/>
    <w:tmpl w:val="08CCEFA0"/>
    <w:lvl w:ilvl="0" w:tplc="72047086">
      <w:start w:val="1"/>
      <w:numFmt w:val="bullet"/>
      <w:lvlText w:val="•"/>
      <w:lvlJc w:val="left"/>
      <w:pPr>
        <w:ind w:left="360" w:hanging="180"/>
      </w:pPr>
    </w:lvl>
    <w:lvl w:ilvl="1" w:tplc="53F2C7AC">
      <w:numFmt w:val="decimal"/>
      <w:lvlText w:val=""/>
      <w:lvlJc w:val="left"/>
    </w:lvl>
    <w:lvl w:ilvl="2" w:tplc="C112716E">
      <w:numFmt w:val="decimal"/>
      <w:lvlText w:val=""/>
      <w:lvlJc w:val="left"/>
    </w:lvl>
    <w:lvl w:ilvl="3" w:tplc="258CB522">
      <w:numFmt w:val="decimal"/>
      <w:lvlText w:val=""/>
      <w:lvlJc w:val="left"/>
    </w:lvl>
    <w:lvl w:ilvl="4" w:tplc="91DC4192">
      <w:numFmt w:val="decimal"/>
      <w:lvlText w:val=""/>
      <w:lvlJc w:val="left"/>
    </w:lvl>
    <w:lvl w:ilvl="5" w:tplc="F6A843B2">
      <w:numFmt w:val="decimal"/>
      <w:lvlText w:val=""/>
      <w:lvlJc w:val="left"/>
    </w:lvl>
    <w:lvl w:ilvl="6" w:tplc="94065346">
      <w:numFmt w:val="decimal"/>
      <w:lvlText w:val=""/>
      <w:lvlJc w:val="left"/>
    </w:lvl>
    <w:lvl w:ilvl="7" w:tplc="1BE6D072">
      <w:numFmt w:val="decimal"/>
      <w:lvlText w:val=""/>
      <w:lvlJc w:val="left"/>
    </w:lvl>
    <w:lvl w:ilvl="8" w:tplc="412C9D0A">
      <w:numFmt w:val="decimal"/>
      <w:lvlText w:val=""/>
      <w:lvlJc w:val="left"/>
    </w:lvl>
  </w:abstractNum>
  <w:abstractNum w:abstractNumId="2" w15:restartNumberingAfterBreak="0">
    <w:nsid w:val="78F47760"/>
    <w:multiLevelType w:val="hybridMultilevel"/>
    <w:tmpl w:val="EF46F1BE"/>
    <w:lvl w:ilvl="0" w:tplc="C7F0BC1E">
      <w:start w:val="1"/>
      <w:numFmt w:val="bullet"/>
      <w:lvlText w:val="●"/>
      <w:lvlJc w:val="left"/>
      <w:pPr>
        <w:ind w:left="720" w:hanging="360"/>
      </w:pPr>
    </w:lvl>
    <w:lvl w:ilvl="1" w:tplc="6E52DA8E">
      <w:start w:val="1"/>
      <w:numFmt w:val="bullet"/>
      <w:lvlText w:val="○"/>
      <w:lvlJc w:val="left"/>
      <w:pPr>
        <w:ind w:left="1440" w:hanging="360"/>
      </w:pPr>
    </w:lvl>
    <w:lvl w:ilvl="2" w:tplc="18DAD678">
      <w:start w:val="1"/>
      <w:numFmt w:val="bullet"/>
      <w:lvlText w:val="■"/>
      <w:lvlJc w:val="left"/>
      <w:pPr>
        <w:ind w:left="2160" w:hanging="360"/>
      </w:pPr>
    </w:lvl>
    <w:lvl w:ilvl="3" w:tplc="4EC65912">
      <w:start w:val="1"/>
      <w:numFmt w:val="bullet"/>
      <w:lvlText w:val="●"/>
      <w:lvlJc w:val="left"/>
      <w:pPr>
        <w:ind w:left="2880" w:hanging="360"/>
      </w:pPr>
    </w:lvl>
    <w:lvl w:ilvl="4" w:tplc="6E22A73E">
      <w:start w:val="1"/>
      <w:numFmt w:val="bullet"/>
      <w:lvlText w:val="○"/>
      <w:lvlJc w:val="left"/>
      <w:pPr>
        <w:ind w:left="3600" w:hanging="360"/>
      </w:pPr>
    </w:lvl>
    <w:lvl w:ilvl="5" w:tplc="66204FDC">
      <w:start w:val="1"/>
      <w:numFmt w:val="bullet"/>
      <w:lvlText w:val="■"/>
      <w:lvlJc w:val="left"/>
      <w:pPr>
        <w:ind w:left="4320" w:hanging="360"/>
      </w:pPr>
    </w:lvl>
    <w:lvl w:ilvl="6" w:tplc="4426F6FE">
      <w:start w:val="1"/>
      <w:numFmt w:val="bullet"/>
      <w:lvlText w:val="●"/>
      <w:lvlJc w:val="left"/>
      <w:pPr>
        <w:ind w:left="5040" w:hanging="360"/>
      </w:pPr>
    </w:lvl>
    <w:lvl w:ilvl="7" w:tplc="050E37DC">
      <w:start w:val="1"/>
      <w:numFmt w:val="bullet"/>
      <w:lvlText w:val="●"/>
      <w:lvlJc w:val="left"/>
      <w:pPr>
        <w:ind w:left="5760" w:hanging="360"/>
      </w:pPr>
    </w:lvl>
    <w:lvl w:ilvl="8" w:tplc="63948382">
      <w:start w:val="1"/>
      <w:numFmt w:val="bullet"/>
      <w:lvlText w:val="●"/>
      <w:lvlJc w:val="left"/>
      <w:pPr>
        <w:ind w:left="6480" w:hanging="360"/>
      </w:pPr>
    </w:lvl>
  </w:abstractNum>
  <w:num w:numId="1" w16cid:durableId="2045248856">
    <w:abstractNumId w:val="2"/>
    <w:lvlOverride w:ilvl="0">
      <w:startOverride w:val="1"/>
    </w:lvlOverride>
  </w:num>
  <w:num w:numId="2" w16cid:durableId="512040667">
    <w:abstractNumId w:val="0"/>
    <w:lvlOverride w:ilvl="0">
      <w:startOverride w:val="1"/>
    </w:lvlOverride>
  </w:num>
  <w:num w:numId="3" w16cid:durableId="10533079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D64"/>
    <w:rsid w:val="0000043C"/>
    <w:rsid w:val="004318EA"/>
    <w:rsid w:val="0070014F"/>
    <w:rsid w:val="00920D64"/>
    <w:rsid w:val="00FC0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90DDB"/>
  <w15:docId w15:val="{112A9C11-45CD-4298-9A8F-3A8EB7C30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B365D"/>
      <w:sz w:val="26"/>
      <w:szCs w:val="26"/>
    </w:rPr>
  </w:style>
  <w:style w:type="paragraph" w:styleId="Heading2">
    <w:name w:val="heading 2"/>
    <w:uiPriority w:val="9"/>
    <w:unhideWhenUsed/>
    <w:qFormat/>
    <w:pPr>
      <w:spacing w:before="240" w:after="100"/>
      <w:outlineLvl w:val="1"/>
    </w:pPr>
    <w:rPr>
      <w:b/>
      <w:bCs/>
      <w:color w:val="2A6F7F"/>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1293</Words>
  <Characters>7374</Characters>
  <Application>Microsoft Office Word</Application>
  <DocSecurity>0</DocSecurity>
  <Lines>61</Lines>
  <Paragraphs>17</Paragraphs>
  <ScaleCrop>false</ScaleCrop>
  <Company/>
  <LinksUpToDate>false</LinksUpToDate>
  <CharactersWithSpaces>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Vera Shury</cp:lastModifiedBy>
  <cp:revision>3</cp:revision>
  <dcterms:created xsi:type="dcterms:W3CDTF">2026-09-16T19:57:00Z</dcterms:created>
  <dcterms:modified xsi:type="dcterms:W3CDTF">2026-09-28T01:56:00Z</dcterms:modified>
</cp:coreProperties>
</file>