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Table with Merged Cells and Shading: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shd w:fill="E2E8F0" w:val="clear"/>
          </w:tcPr>
          <w:p>
            <w:r>
              <w:rPr>
                <w:b/>
                <w:bCs/>
              </w:rPr>
              <w:t xml:space="preserve">Spanned Header (2 Cols)</w:t>
            </w:r>
          </w:p>
        </w:tc>
      </w:tr>
      <w:tr>
        <w:tc>
          <w:tcPr>
            <w:shd w:fill="FEF08A" w:val="clear"/>
          </w:tcPr>
          <w:p>
            <w:r>
              <w:t xml:space="preserve">Yellow Shaded Cell</w:t>
            </w:r>
          </w:p>
        </w:tc>
        <w:tc>
          <w:p>
            <w:r>
              <w:t xml:space="preserve">Standard Cell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2026-10-23T07:56:00.718Z</dcterms:created>
  <dcterms:modified xsi:type="dcterms:W3CDTF">2026-10-23T07:56:00.718Z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