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DB8DC" w14:textId="77777777" w:rsidR="008B4529" w:rsidRDefault="00000000">
      <w:pPr>
        <w:jc w:val="center"/>
      </w:pPr>
      <w:r>
        <w:rPr>
          <w:b/>
          <w:color w:val="1F3864"/>
          <w:sz w:val="44"/>
        </w:rPr>
        <w:t>StructML Final Project</w:t>
      </w:r>
    </w:p>
    <w:p w14:paraId="4DB4D2EF" w14:textId="77777777" w:rsidR="008B4529" w:rsidRDefault="008B4529"/>
    <w:p w14:paraId="68549563" w14:textId="77777777" w:rsidR="008B4529" w:rsidRDefault="00000000">
      <w:pPr>
        <w:pStyle w:val="Heading1"/>
      </w:pPr>
      <w:r>
        <w:t>Aspect 3 — Node Features</w:t>
      </w:r>
    </w:p>
    <w:p w14:paraId="0FF3E8DC" w14:textId="77777777" w:rsidR="008B4529" w:rsidRDefault="00000000">
      <w:pPr>
        <w:pStyle w:val="Heading2"/>
      </w:pPr>
      <w:r>
        <w:t>Experimental design</w:t>
      </w:r>
    </w:p>
    <w:p w14:paraId="1B38F6FF" w14:textId="77777777" w:rsidR="008B4529" w:rsidRDefault="00000000">
      <w:r>
        <w:t>We study how the initial node representation affects a heterogeneous HGT model along three axes: (1) downstream performance, (2) model complexity (trainable parameters), and (3) usability. We fix a single HGT backbone (hidden=64, 2 layers, 2 attention heads, dropout 0.3) and swap only the per-node input encoder between three strategies:</w:t>
      </w:r>
    </w:p>
    <w:p w14:paraId="73685B84" w14:textId="77777777" w:rsidR="008B4529" w:rsidRDefault="00000000">
      <w:pPr>
        <w:pStyle w:val="ListBullet"/>
      </w:pPr>
      <w:r>
        <w:rPr>
          <w:b/>
        </w:rPr>
        <w:t xml:space="preserve">ID encoding (no features). </w:t>
      </w:r>
      <w:r>
        <w:t>A learnable embedding per node, keyed on a stable global id. Ignores tuple content; parameter count scales with the number of nodes.</w:t>
      </w:r>
    </w:p>
    <w:p w14:paraId="058BD0B7" w14:textId="77777777" w:rsidR="008B4529" w:rsidRDefault="00000000">
      <w:pPr>
        <w:pStyle w:val="ListBullet"/>
      </w:pPr>
      <w:r>
        <w:rPr>
          <w:b/>
        </w:rPr>
        <w:t xml:space="preserve">Column-wise encoding. </w:t>
      </w:r>
      <w:r>
        <w:t>Each cell is encoded by its column type (numeric → standardized, categorical → ordinal+standardized, datetime → days-since-cutoff), concatenated, then a per-table linear layer maps to the hidden width.</w:t>
      </w:r>
    </w:p>
    <w:p w14:paraId="5FD2B666" w14:textId="77777777" w:rsidR="008B4529" w:rsidRDefault="00000000">
      <w:pPr>
        <w:pStyle w:val="ListBullet"/>
      </w:pPr>
      <w:r>
        <w:rPr>
          <w:b/>
        </w:rPr>
        <w:t xml:space="preserve">LLM encoding. </w:t>
      </w:r>
      <w:r>
        <w:t>Each tuple is stringified as “col=val, …” and embedded with a frozen sentence-transformer (all-MiniLM-L6-v2, 384-d); a per-table linear layer maps to the hidden width.</w:t>
      </w:r>
    </w:p>
    <w:p w14:paraId="31AC508E" w14:textId="77777777" w:rsidR="008B4529" w:rsidRDefault="00000000">
      <w:r>
        <w:t>Fairness. All three variants share the identical backbone, width, depth, optimizer, loader, and preprocessed graph; x (column), gid (id), and x_llm (LLM) are built in one preprocessing pass and stored on every node, so the graph and sample are guaranteed identical. Only the input encoder differs. Datasets: rel-f1/driver-dnf (small, full graph) and rel-event/user-repeat (larger; non-target tables capped at 60k rows, the same sample used for all three strategies). Metrics: ROC AUC, AUPRC, precision, recall; two seeds (0,1).</w:t>
      </w:r>
    </w:p>
    <w:p w14:paraId="3A9B27D6" w14:textId="77777777" w:rsidR="008B4529" w:rsidRDefault="00000000">
      <w:pPr>
        <w:pStyle w:val="Heading2"/>
      </w:pPr>
      <w:r>
        <w:t>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1"/>
        <w:gridCol w:w="1550"/>
        <w:gridCol w:w="1265"/>
        <w:gridCol w:w="1339"/>
        <w:gridCol w:w="1490"/>
        <w:gridCol w:w="1559"/>
      </w:tblGrid>
      <w:tr w:rsidR="008B4529" w14:paraId="37363F8F" w14:textId="77777777">
        <w:trPr>
          <w:jc w:val="center"/>
        </w:trPr>
        <w:tc>
          <w:tcPr>
            <w:tcW w:w="2736" w:type="dxa"/>
            <w:shd w:val="clear" w:color="auto" w:fill="1F3864"/>
          </w:tcPr>
          <w:p w14:paraId="6D5404D2" w14:textId="77777777" w:rsidR="008B452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Dataset</w:t>
            </w:r>
          </w:p>
        </w:tc>
        <w:tc>
          <w:tcPr>
            <w:tcW w:w="1584" w:type="dxa"/>
            <w:shd w:val="clear" w:color="auto" w:fill="1F3864"/>
          </w:tcPr>
          <w:p w14:paraId="4B49E273" w14:textId="77777777" w:rsidR="008B452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Strategy</w:t>
            </w:r>
          </w:p>
        </w:tc>
        <w:tc>
          <w:tcPr>
            <w:tcW w:w="1296" w:type="dxa"/>
            <w:shd w:val="clear" w:color="auto" w:fill="1F3864"/>
          </w:tcPr>
          <w:p w14:paraId="6C8140D9" w14:textId="77777777" w:rsidR="008B452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AUC</w:t>
            </w:r>
          </w:p>
        </w:tc>
        <w:tc>
          <w:tcPr>
            <w:tcW w:w="1368" w:type="dxa"/>
            <w:shd w:val="clear" w:color="auto" w:fill="1F3864"/>
          </w:tcPr>
          <w:p w14:paraId="35A1B454" w14:textId="77777777" w:rsidR="008B452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AUPRC</w:t>
            </w:r>
          </w:p>
        </w:tc>
        <w:tc>
          <w:tcPr>
            <w:tcW w:w="1512" w:type="dxa"/>
            <w:shd w:val="clear" w:color="auto" w:fill="1F3864"/>
          </w:tcPr>
          <w:p w14:paraId="178FB8C9" w14:textId="77777777" w:rsidR="008B452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Total params</w:t>
            </w:r>
          </w:p>
        </w:tc>
        <w:tc>
          <w:tcPr>
            <w:tcW w:w="1584" w:type="dxa"/>
            <w:shd w:val="clear" w:color="auto" w:fill="1F3864"/>
          </w:tcPr>
          <w:p w14:paraId="7FB0A852" w14:textId="77777777" w:rsidR="008B452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Encoder params</w:t>
            </w:r>
          </w:p>
        </w:tc>
      </w:tr>
      <w:tr w:rsidR="008B4529" w14:paraId="2F032E84" w14:textId="77777777">
        <w:trPr>
          <w:jc w:val="center"/>
        </w:trPr>
        <w:tc>
          <w:tcPr>
            <w:tcW w:w="2736" w:type="dxa"/>
          </w:tcPr>
          <w:p w14:paraId="37312ED6" w14:textId="77777777" w:rsidR="008B4529" w:rsidRDefault="00000000">
            <w:r>
              <w:rPr>
                <w:sz w:val="18"/>
              </w:rPr>
              <w:t>rel-f1/driver-dnf</w:t>
            </w:r>
          </w:p>
        </w:tc>
        <w:tc>
          <w:tcPr>
            <w:tcW w:w="1584" w:type="dxa"/>
          </w:tcPr>
          <w:p w14:paraId="74DE9211" w14:textId="77777777" w:rsidR="008B4529" w:rsidRDefault="00000000">
            <w:pPr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w="1296" w:type="dxa"/>
          </w:tcPr>
          <w:p w14:paraId="19969D93" w14:textId="77777777" w:rsidR="008B4529" w:rsidRDefault="00000000">
            <w:pPr>
              <w:jc w:val="center"/>
            </w:pPr>
            <w:r>
              <w:rPr>
                <w:sz w:val="18"/>
              </w:rPr>
              <w:t>0.415</w:t>
            </w:r>
          </w:p>
        </w:tc>
        <w:tc>
          <w:tcPr>
            <w:tcW w:w="1368" w:type="dxa"/>
          </w:tcPr>
          <w:p w14:paraId="4227CC92" w14:textId="77777777" w:rsidR="008B4529" w:rsidRDefault="00000000">
            <w:pPr>
              <w:jc w:val="center"/>
            </w:pPr>
            <w:r>
              <w:rPr>
                <w:sz w:val="18"/>
              </w:rPr>
              <w:t>0.786</w:t>
            </w:r>
          </w:p>
        </w:tc>
        <w:tc>
          <w:tcPr>
            <w:tcW w:w="1512" w:type="dxa"/>
          </w:tcPr>
          <w:p w14:paraId="0BDFD169" w14:textId="77777777" w:rsidR="008B4529" w:rsidRDefault="00000000">
            <w:pPr>
              <w:jc w:val="center"/>
            </w:pPr>
            <w:r>
              <w:rPr>
                <w:sz w:val="18"/>
              </w:rPr>
              <w:t>5,252,731</w:t>
            </w:r>
          </w:p>
        </w:tc>
        <w:tc>
          <w:tcPr>
            <w:tcW w:w="1584" w:type="dxa"/>
          </w:tcPr>
          <w:p w14:paraId="247170DA" w14:textId="77777777" w:rsidR="008B4529" w:rsidRDefault="00000000">
            <w:pPr>
              <w:jc w:val="center"/>
            </w:pPr>
            <w:r>
              <w:rPr>
                <w:sz w:val="18"/>
              </w:rPr>
              <w:t>4,740,032</w:t>
            </w:r>
          </w:p>
        </w:tc>
      </w:tr>
      <w:tr w:rsidR="008B4529" w14:paraId="25BD89FC" w14:textId="77777777">
        <w:trPr>
          <w:jc w:val="center"/>
        </w:trPr>
        <w:tc>
          <w:tcPr>
            <w:tcW w:w="2736" w:type="dxa"/>
            <w:shd w:val="clear" w:color="auto" w:fill="EAF0F8"/>
          </w:tcPr>
          <w:p w14:paraId="281C5732" w14:textId="77777777" w:rsidR="008B4529" w:rsidRDefault="00000000">
            <w:r>
              <w:rPr>
                <w:sz w:val="18"/>
              </w:rPr>
              <w:t>rel-f1/driver-dnf</w:t>
            </w:r>
          </w:p>
        </w:tc>
        <w:tc>
          <w:tcPr>
            <w:tcW w:w="1584" w:type="dxa"/>
            <w:shd w:val="clear" w:color="auto" w:fill="EAF0F8"/>
          </w:tcPr>
          <w:p w14:paraId="6249D973" w14:textId="77777777" w:rsidR="008B4529" w:rsidRDefault="00000000">
            <w:pPr>
              <w:jc w:val="center"/>
            </w:pPr>
            <w:r>
              <w:rPr>
                <w:sz w:val="18"/>
              </w:rPr>
              <w:t>Column-wise</w:t>
            </w:r>
          </w:p>
        </w:tc>
        <w:tc>
          <w:tcPr>
            <w:tcW w:w="1296" w:type="dxa"/>
            <w:shd w:val="clear" w:color="auto" w:fill="EAF0F8"/>
          </w:tcPr>
          <w:p w14:paraId="46280B23" w14:textId="77777777" w:rsidR="008B4529" w:rsidRDefault="00000000">
            <w:pPr>
              <w:jc w:val="center"/>
            </w:pPr>
            <w:r>
              <w:rPr>
                <w:sz w:val="18"/>
              </w:rPr>
              <w:t>0.531</w:t>
            </w:r>
          </w:p>
        </w:tc>
        <w:tc>
          <w:tcPr>
            <w:tcW w:w="1368" w:type="dxa"/>
            <w:shd w:val="clear" w:color="auto" w:fill="EAF0F8"/>
          </w:tcPr>
          <w:p w14:paraId="094008F2" w14:textId="77777777" w:rsidR="008B4529" w:rsidRDefault="00000000">
            <w:pPr>
              <w:jc w:val="center"/>
            </w:pPr>
            <w:r>
              <w:rPr>
                <w:sz w:val="18"/>
              </w:rPr>
              <w:t>0.843</w:t>
            </w:r>
          </w:p>
        </w:tc>
        <w:tc>
          <w:tcPr>
            <w:tcW w:w="1512" w:type="dxa"/>
            <w:shd w:val="clear" w:color="auto" w:fill="EAF0F8"/>
          </w:tcPr>
          <w:p w14:paraId="78A3ED79" w14:textId="77777777" w:rsidR="008B4529" w:rsidRDefault="00000000">
            <w:pPr>
              <w:jc w:val="center"/>
            </w:pPr>
            <w:r>
              <w:rPr>
                <w:sz w:val="18"/>
              </w:rPr>
              <w:t>515,771</w:t>
            </w:r>
          </w:p>
        </w:tc>
        <w:tc>
          <w:tcPr>
            <w:tcW w:w="1584" w:type="dxa"/>
            <w:shd w:val="clear" w:color="auto" w:fill="EAF0F8"/>
          </w:tcPr>
          <w:p w14:paraId="43DA38B0" w14:textId="77777777" w:rsidR="008B4529" w:rsidRDefault="00000000">
            <w:pPr>
              <w:jc w:val="center"/>
            </w:pPr>
            <w:r>
              <w:rPr>
                <w:sz w:val="18"/>
              </w:rPr>
              <w:t>3,072</w:t>
            </w:r>
          </w:p>
        </w:tc>
      </w:tr>
      <w:tr w:rsidR="008B4529" w14:paraId="3D3C2319" w14:textId="77777777">
        <w:trPr>
          <w:jc w:val="center"/>
        </w:trPr>
        <w:tc>
          <w:tcPr>
            <w:tcW w:w="2736" w:type="dxa"/>
          </w:tcPr>
          <w:p w14:paraId="73635E69" w14:textId="77777777" w:rsidR="008B4529" w:rsidRDefault="00000000">
            <w:r>
              <w:rPr>
                <w:sz w:val="18"/>
              </w:rPr>
              <w:t>rel-f1/driver-dnf</w:t>
            </w:r>
          </w:p>
        </w:tc>
        <w:tc>
          <w:tcPr>
            <w:tcW w:w="1584" w:type="dxa"/>
          </w:tcPr>
          <w:p w14:paraId="4629E87E" w14:textId="77777777" w:rsidR="008B4529" w:rsidRDefault="00000000">
            <w:pPr>
              <w:jc w:val="center"/>
            </w:pPr>
            <w:r>
              <w:rPr>
                <w:sz w:val="18"/>
              </w:rPr>
              <w:t>LLM</w:t>
            </w:r>
          </w:p>
        </w:tc>
        <w:tc>
          <w:tcPr>
            <w:tcW w:w="1296" w:type="dxa"/>
          </w:tcPr>
          <w:p w14:paraId="50C8F779" w14:textId="77777777" w:rsidR="008B4529" w:rsidRDefault="00000000">
            <w:pPr>
              <w:jc w:val="center"/>
            </w:pPr>
            <w:r>
              <w:rPr>
                <w:sz w:val="18"/>
              </w:rPr>
              <w:t>0.500</w:t>
            </w:r>
          </w:p>
        </w:tc>
        <w:tc>
          <w:tcPr>
            <w:tcW w:w="1368" w:type="dxa"/>
          </w:tcPr>
          <w:p w14:paraId="48CAC4A8" w14:textId="77777777" w:rsidR="008B4529" w:rsidRDefault="00000000">
            <w:pPr>
              <w:jc w:val="center"/>
            </w:pPr>
            <w:r>
              <w:rPr>
                <w:sz w:val="18"/>
              </w:rPr>
              <w:t>0.836</w:t>
            </w:r>
          </w:p>
        </w:tc>
        <w:tc>
          <w:tcPr>
            <w:tcW w:w="1512" w:type="dxa"/>
          </w:tcPr>
          <w:p w14:paraId="25E749DC" w14:textId="77777777" w:rsidR="008B4529" w:rsidRDefault="00000000">
            <w:pPr>
              <w:jc w:val="center"/>
            </w:pPr>
            <w:r>
              <w:rPr>
                <w:sz w:val="18"/>
              </w:rPr>
              <w:t>734,459</w:t>
            </w:r>
          </w:p>
        </w:tc>
        <w:tc>
          <w:tcPr>
            <w:tcW w:w="1584" w:type="dxa"/>
          </w:tcPr>
          <w:p w14:paraId="350934D2" w14:textId="77777777" w:rsidR="008B4529" w:rsidRDefault="00000000">
            <w:pPr>
              <w:jc w:val="center"/>
            </w:pPr>
            <w:r>
              <w:rPr>
                <w:sz w:val="18"/>
              </w:rPr>
              <w:t>221,760</w:t>
            </w:r>
          </w:p>
        </w:tc>
      </w:tr>
      <w:tr w:rsidR="008B4529" w14:paraId="496644F1" w14:textId="77777777">
        <w:trPr>
          <w:jc w:val="center"/>
        </w:trPr>
        <w:tc>
          <w:tcPr>
            <w:tcW w:w="2736" w:type="dxa"/>
            <w:shd w:val="clear" w:color="auto" w:fill="EAF0F8"/>
          </w:tcPr>
          <w:p w14:paraId="471B4282" w14:textId="77777777" w:rsidR="008B4529" w:rsidRDefault="00000000">
            <w:r>
              <w:rPr>
                <w:sz w:val="18"/>
              </w:rPr>
              <w:t>rel-event/user-repeat</w:t>
            </w:r>
          </w:p>
        </w:tc>
        <w:tc>
          <w:tcPr>
            <w:tcW w:w="1584" w:type="dxa"/>
            <w:shd w:val="clear" w:color="auto" w:fill="EAF0F8"/>
          </w:tcPr>
          <w:p w14:paraId="7BD3598D" w14:textId="77777777" w:rsidR="008B4529" w:rsidRDefault="00000000">
            <w:pPr>
              <w:jc w:val="center"/>
            </w:pPr>
            <w:r>
              <w:rPr>
                <w:sz w:val="18"/>
              </w:rPr>
              <w:t>ID</w:t>
            </w:r>
          </w:p>
        </w:tc>
        <w:tc>
          <w:tcPr>
            <w:tcW w:w="1296" w:type="dxa"/>
            <w:shd w:val="clear" w:color="auto" w:fill="EAF0F8"/>
          </w:tcPr>
          <w:p w14:paraId="761F7EBD" w14:textId="77777777" w:rsidR="008B4529" w:rsidRDefault="00000000">
            <w:pPr>
              <w:jc w:val="center"/>
            </w:pPr>
            <w:r>
              <w:rPr>
                <w:sz w:val="18"/>
              </w:rPr>
              <w:t>0.608</w:t>
            </w:r>
          </w:p>
        </w:tc>
        <w:tc>
          <w:tcPr>
            <w:tcW w:w="1368" w:type="dxa"/>
            <w:shd w:val="clear" w:color="auto" w:fill="EAF0F8"/>
          </w:tcPr>
          <w:p w14:paraId="314E1711" w14:textId="77777777" w:rsidR="008B4529" w:rsidRDefault="00000000">
            <w:pPr>
              <w:jc w:val="center"/>
            </w:pPr>
            <w:r>
              <w:rPr>
                <w:sz w:val="18"/>
              </w:rPr>
              <w:t>0.535</w:t>
            </w:r>
          </w:p>
        </w:tc>
        <w:tc>
          <w:tcPr>
            <w:tcW w:w="1512" w:type="dxa"/>
            <w:shd w:val="clear" w:color="auto" w:fill="EAF0F8"/>
          </w:tcPr>
          <w:p w14:paraId="1BD7AB23" w14:textId="77777777" w:rsidR="008B4529" w:rsidRDefault="00000000">
            <w:pPr>
              <w:jc w:val="center"/>
            </w:pPr>
            <w:r>
              <w:rPr>
                <w:sz w:val="18"/>
              </w:rPr>
              <w:t>15,136,963</w:t>
            </w:r>
          </w:p>
        </w:tc>
        <w:tc>
          <w:tcPr>
            <w:tcW w:w="1584" w:type="dxa"/>
            <w:shd w:val="clear" w:color="auto" w:fill="EAF0F8"/>
          </w:tcPr>
          <w:p w14:paraId="3BCD2DE4" w14:textId="77777777" w:rsidR="008B4529" w:rsidRDefault="00000000">
            <w:pPr>
              <w:jc w:val="center"/>
            </w:pPr>
            <w:r>
              <w:rPr>
                <w:sz w:val="18"/>
              </w:rPr>
              <w:t>14,855,744</w:t>
            </w:r>
          </w:p>
        </w:tc>
      </w:tr>
      <w:tr w:rsidR="008B4529" w14:paraId="7329902D" w14:textId="77777777">
        <w:trPr>
          <w:jc w:val="center"/>
        </w:trPr>
        <w:tc>
          <w:tcPr>
            <w:tcW w:w="2736" w:type="dxa"/>
          </w:tcPr>
          <w:p w14:paraId="736FA578" w14:textId="77777777" w:rsidR="008B4529" w:rsidRDefault="00000000">
            <w:r>
              <w:rPr>
                <w:sz w:val="18"/>
              </w:rPr>
              <w:t>rel-event/user-repeat</w:t>
            </w:r>
          </w:p>
        </w:tc>
        <w:tc>
          <w:tcPr>
            <w:tcW w:w="1584" w:type="dxa"/>
          </w:tcPr>
          <w:p w14:paraId="1D2BD738" w14:textId="77777777" w:rsidR="008B4529" w:rsidRDefault="00000000">
            <w:pPr>
              <w:jc w:val="center"/>
            </w:pPr>
            <w:r>
              <w:rPr>
                <w:sz w:val="18"/>
              </w:rPr>
              <w:t>Column-wise</w:t>
            </w:r>
          </w:p>
        </w:tc>
        <w:tc>
          <w:tcPr>
            <w:tcW w:w="1296" w:type="dxa"/>
          </w:tcPr>
          <w:p w14:paraId="35EC451A" w14:textId="77777777" w:rsidR="008B4529" w:rsidRDefault="00000000">
            <w:pPr>
              <w:jc w:val="center"/>
            </w:pPr>
            <w:r>
              <w:rPr>
                <w:sz w:val="18"/>
              </w:rPr>
              <w:t>0.679</w:t>
            </w:r>
          </w:p>
        </w:tc>
        <w:tc>
          <w:tcPr>
            <w:tcW w:w="1368" w:type="dxa"/>
          </w:tcPr>
          <w:p w14:paraId="4423D468" w14:textId="77777777" w:rsidR="008B4529" w:rsidRDefault="00000000">
            <w:pPr>
              <w:jc w:val="center"/>
            </w:pPr>
            <w:r>
              <w:rPr>
                <w:sz w:val="18"/>
              </w:rPr>
              <w:t>0.627</w:t>
            </w:r>
          </w:p>
        </w:tc>
        <w:tc>
          <w:tcPr>
            <w:tcW w:w="1512" w:type="dxa"/>
          </w:tcPr>
          <w:p w14:paraId="2D986B14" w14:textId="77777777" w:rsidR="008B4529" w:rsidRDefault="00000000">
            <w:pPr>
              <w:jc w:val="center"/>
            </w:pPr>
            <w:r>
              <w:rPr>
                <w:sz w:val="18"/>
              </w:rPr>
              <w:t>289,091</w:t>
            </w:r>
          </w:p>
        </w:tc>
        <w:tc>
          <w:tcPr>
            <w:tcW w:w="1584" w:type="dxa"/>
          </w:tcPr>
          <w:p w14:paraId="4B50BB2D" w14:textId="77777777" w:rsidR="008B4529" w:rsidRDefault="00000000">
            <w:pPr>
              <w:jc w:val="center"/>
            </w:pPr>
            <w:r>
              <w:rPr>
                <w:sz w:val="18"/>
              </w:rPr>
              <w:t>7,872</w:t>
            </w:r>
          </w:p>
        </w:tc>
      </w:tr>
      <w:tr w:rsidR="008B4529" w14:paraId="2535A8EF" w14:textId="77777777">
        <w:trPr>
          <w:jc w:val="center"/>
        </w:trPr>
        <w:tc>
          <w:tcPr>
            <w:tcW w:w="2736" w:type="dxa"/>
            <w:shd w:val="clear" w:color="auto" w:fill="EAF0F8"/>
          </w:tcPr>
          <w:p w14:paraId="1C8CFE98" w14:textId="77777777" w:rsidR="008B4529" w:rsidRDefault="00000000">
            <w:r>
              <w:rPr>
                <w:sz w:val="18"/>
              </w:rPr>
              <w:t>rel-event/user-repeat</w:t>
            </w:r>
          </w:p>
        </w:tc>
        <w:tc>
          <w:tcPr>
            <w:tcW w:w="1584" w:type="dxa"/>
            <w:shd w:val="clear" w:color="auto" w:fill="EAF0F8"/>
          </w:tcPr>
          <w:p w14:paraId="680FC497" w14:textId="77777777" w:rsidR="008B4529" w:rsidRDefault="00000000">
            <w:pPr>
              <w:jc w:val="center"/>
            </w:pPr>
            <w:r>
              <w:rPr>
                <w:sz w:val="18"/>
              </w:rPr>
              <w:t>LLM</w:t>
            </w:r>
          </w:p>
        </w:tc>
        <w:tc>
          <w:tcPr>
            <w:tcW w:w="1296" w:type="dxa"/>
            <w:shd w:val="clear" w:color="auto" w:fill="EAF0F8"/>
          </w:tcPr>
          <w:p w14:paraId="3FF5B79C" w14:textId="77777777" w:rsidR="008B4529" w:rsidRDefault="00000000">
            <w:pPr>
              <w:jc w:val="center"/>
            </w:pPr>
            <w:r>
              <w:rPr>
                <w:sz w:val="18"/>
              </w:rPr>
              <w:t>0.670</w:t>
            </w:r>
          </w:p>
        </w:tc>
        <w:tc>
          <w:tcPr>
            <w:tcW w:w="1368" w:type="dxa"/>
            <w:shd w:val="clear" w:color="auto" w:fill="EAF0F8"/>
          </w:tcPr>
          <w:p w14:paraId="5091C4F2" w14:textId="77777777" w:rsidR="008B4529" w:rsidRDefault="00000000">
            <w:pPr>
              <w:jc w:val="center"/>
            </w:pPr>
            <w:r>
              <w:rPr>
                <w:sz w:val="18"/>
              </w:rPr>
              <w:t>0.589</w:t>
            </w:r>
          </w:p>
        </w:tc>
        <w:tc>
          <w:tcPr>
            <w:tcW w:w="1512" w:type="dxa"/>
            <w:shd w:val="clear" w:color="auto" w:fill="EAF0F8"/>
          </w:tcPr>
          <w:p w14:paraId="033D59A0" w14:textId="77777777" w:rsidR="008B4529" w:rsidRDefault="00000000">
            <w:pPr>
              <w:jc w:val="center"/>
            </w:pPr>
            <w:r>
              <w:rPr>
                <w:sz w:val="18"/>
              </w:rPr>
              <w:t>404,419</w:t>
            </w:r>
          </w:p>
        </w:tc>
        <w:tc>
          <w:tcPr>
            <w:tcW w:w="1584" w:type="dxa"/>
            <w:shd w:val="clear" w:color="auto" w:fill="EAF0F8"/>
          </w:tcPr>
          <w:p w14:paraId="63A3FD34" w14:textId="77777777" w:rsidR="008B4529" w:rsidRDefault="00000000">
            <w:pPr>
              <w:jc w:val="center"/>
            </w:pPr>
            <w:r>
              <w:rPr>
                <w:sz w:val="18"/>
              </w:rPr>
              <w:t>123,200</w:t>
            </w:r>
          </w:p>
        </w:tc>
      </w:tr>
    </w:tbl>
    <w:p w14:paraId="169E98AA" w14:textId="77777777" w:rsidR="008B4529" w:rsidRDefault="00000000">
      <w:pPr>
        <w:jc w:val="center"/>
      </w:pPr>
      <w:r>
        <w:rPr>
          <w:i/>
          <w:color w:val="555555"/>
          <w:sz w:val="18"/>
        </w:rPr>
        <w:t>Table 1. Node-feature strategies (mean over seeds). Encoder params isolate the cost of the representation.</w:t>
      </w:r>
    </w:p>
    <w:p w14:paraId="5D53824E" w14:textId="77777777" w:rsidR="008B4529" w:rsidRDefault="008B4529"/>
    <w:p w14:paraId="67BACE4A" w14:textId="77777777" w:rsidR="008B452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B18E363" wp14:editId="14D82CCD">
            <wp:extent cx="5760720" cy="37550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3_performanc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D291" w14:textId="77777777" w:rsidR="008B4529" w:rsidRDefault="00000000">
      <w:pPr>
        <w:jc w:val="center"/>
      </w:pPr>
      <w:r>
        <w:rPr>
          <w:i/>
          <w:color w:val="555555"/>
          <w:sz w:val="18"/>
        </w:rPr>
        <w:t>Figure 1. Downstream performance by strategy (mean ± std over seeds).</w:t>
      </w:r>
    </w:p>
    <w:p w14:paraId="1002A473" w14:textId="77777777" w:rsidR="008B4529" w:rsidRDefault="00000000">
      <w:pPr>
        <w:jc w:val="center"/>
      </w:pPr>
      <w:r>
        <w:rPr>
          <w:noProof/>
        </w:rPr>
        <w:drawing>
          <wp:inline distT="0" distB="0" distL="0" distR="0" wp14:anchorId="443B7429" wp14:editId="37E431DF">
            <wp:extent cx="5760720" cy="19934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3_param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B83DA" w14:textId="77777777" w:rsidR="008B4529" w:rsidRDefault="00000000">
      <w:pPr>
        <w:jc w:val="center"/>
      </w:pPr>
      <w:r>
        <w:rPr>
          <w:i/>
          <w:color w:val="555555"/>
          <w:sz w:val="18"/>
        </w:rPr>
        <w:t>Figure 2. Model complexity (log scale). The ID embedding table dominates parameter count.</w:t>
      </w:r>
    </w:p>
    <w:p w14:paraId="47AE2540" w14:textId="77777777" w:rsidR="008B4529" w:rsidRDefault="00000000">
      <w:pPr>
        <w:pStyle w:val="Heading2"/>
      </w:pPr>
      <w:r>
        <w:t>Discussion</w:t>
      </w:r>
    </w:p>
    <w:p w14:paraId="7ED7E708" w14:textId="77777777" w:rsidR="008B4529" w:rsidRDefault="00000000">
      <w:r>
        <w:t>The parameter axis behaves exactly as predicted: ID is 1-2 orders of magnitude larger than column-wise or LLM because it stores an embedding per node (its encoder holds ~4.7M params on rel-f1 and ~14.9M on rel-event), whereas the column-wise encoder is a few thousand params and the LLM encoder is a small per-table Linear(384→64).</w:t>
      </w:r>
    </w:p>
    <w:p w14:paraId="3BC7157E" w14:textId="77777777" w:rsidR="008B4529" w:rsidRDefault="00000000">
      <w:r>
        <w:t xml:space="preserve">On performance, rel-event is the reliable signal (balanced labels, ~250 test examples): column-wise and LLM clearly beat ID on ROC AUC (~0.68 vs ~0.60) and AUPRC, i.e. ID pays roughly 50× the parameters for the worst result. This matches expectation — ID embeddings are transductive, so entities appearing only at test time carry </w:t>
      </w:r>
      <w:r>
        <w:lastRenderedPageBreak/>
        <w:t>no learned signal, and the model can exploit little beyond graph structure. Column-wise is the best effort/reward point; LLM is competitive but did not beat the direct typed encoding here (the tabular content is largely numeric/categorical, which column-wise captures precisely, whereas the string embedding loses precision).</w:t>
      </w:r>
    </w:p>
    <w:p w14:paraId="5F9058B7" w14:textId="77777777" w:rsidR="008B4529" w:rsidRDefault="00000000">
      <w:r>
        <w:t>Two honest caveats for interpretation. (i) rel-f1 has only ~42 labeled val/test nodes at ~81% positive, so its metrics are noise-dominated (test AUC swings 0.24-0.54 while AUPRC mostly reflects the base rate); we therefore lead conclusions with rel-event. (ii) Precision/recall at a fixed 0.5 threshold are misleading under imbalance — the LLM variant on rel-event ranks well (AUC 0.68) yet outputs all-negative at 0.5 (precision=recall=0), a calibration artifact; AUC/AUPRC are the right headline metrics. On usability, ID is trivial to implement but not inductive; column-wise needs typed encoders fit on train but transfers; LLM is a one-line call but a heavy one-off embedding pass, and is naturally inductive.</w:t>
      </w:r>
    </w:p>
    <w:p w14:paraId="3FA84B6F" w14:textId="77777777" w:rsidR="008B4529" w:rsidRDefault="00000000">
      <w:r>
        <w:br w:type="page"/>
      </w:r>
    </w:p>
    <w:p w14:paraId="3662AAD4" w14:textId="77777777" w:rsidR="008B4529" w:rsidRDefault="00000000">
      <w:pPr>
        <w:pStyle w:val="Heading1"/>
      </w:pPr>
      <w:r>
        <w:lastRenderedPageBreak/>
        <w:t>Aspect 4 — Limitations of Deeper Models (Oversmoothing)</w:t>
      </w:r>
    </w:p>
    <w:p w14:paraId="02406820" w14:textId="77777777" w:rsidR="008B4529" w:rsidRDefault="00000000">
      <w:pPr>
        <w:pStyle w:val="Heading2"/>
      </w:pPr>
      <w:r>
        <w:t>Experimental design</w:t>
      </w:r>
    </w:p>
    <w:p w14:paraId="7BE756AF" w14:textId="77777777" w:rsidR="008B4529" w:rsidRDefault="00000000">
      <w:r>
        <w:t>Deep message passing causes oversmoothing: node representations converge and lose their distinctiveness. We use GraphSAGE with mean aggregation (a per-type linear encoder to a uniform hidden=64 width, then L SAGEConv(mean) layers lifted to the heterogeneous graph via to_hetero, sigmoid head). We sweep depth L ∈ {1,2,4,8,16} and, for each depth, measure oversmoothing directly on the target-node representations with two similarity measures:</w:t>
      </w:r>
    </w:p>
    <w:p w14:paraId="74F56738" w14:textId="77777777" w:rsidR="008B4529" w:rsidRDefault="00000000">
      <w:pPr>
        <w:pStyle w:val="ListBullet"/>
      </w:pPr>
      <w:r>
        <w:rPr>
          <w:b/>
        </w:rPr>
        <w:t xml:space="preserve">MAD (mean average distance). </w:t>
      </w:r>
      <w:r>
        <w:t>Mean pairwise cosine distance; → 0 when representations collapse.</w:t>
      </w:r>
    </w:p>
    <w:p w14:paraId="0585B2A1" w14:textId="77777777" w:rsidR="008B4529" w:rsidRDefault="00000000">
      <w:pPr>
        <w:pStyle w:val="ListBullet"/>
      </w:pPr>
      <w:r>
        <w:rPr>
          <w:b/>
        </w:rPr>
        <w:t xml:space="preserve">Mean cosine similarity. </w:t>
      </w:r>
      <w:r>
        <w:t>The dual view; → 1 when oversmoothed.</w:t>
      </w:r>
    </w:p>
    <w:p w14:paraId="75227186" w14:textId="77777777" w:rsidR="008B4529" w:rsidRDefault="00000000">
      <w:r>
        <w:t>As the follow-up, we compare the plain deep stack (none) against two mitigations: residual (skip) connections h ← h + SAGE(h), and DropEdge (randomly dropping a fraction of edges each training step). The uniform width across layers is what makes residual addition and the cross-depth metric comparison valid. Fairness: identical encoder/head, width, optimizer, loader and graph across all runs; only depth and mitigation change. Datasets are distinct from the other aspects: rel-f1/driver-dnf (small, shallow graph) and rel-trial/study-outcome (clinical trials; 15 node types, ~250k study nodes, ~800 balanced test labels). Metrics computed on a 1000-node sample, same cap across depths.</w:t>
      </w:r>
    </w:p>
    <w:p w14:paraId="456A13DF" w14:textId="77777777" w:rsidR="008B4529" w:rsidRDefault="00000000">
      <w:pPr>
        <w:pStyle w:val="Heading2"/>
      </w:pPr>
      <w:r>
        <w:t>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1368"/>
        <w:gridCol w:w="1368"/>
        <w:gridCol w:w="1368"/>
        <w:gridCol w:w="1368"/>
        <w:gridCol w:w="1368"/>
        <w:gridCol w:w="1368"/>
      </w:tblGrid>
      <w:tr w:rsidR="008B4529" w14:paraId="7C16E76F" w14:textId="77777777">
        <w:trPr>
          <w:jc w:val="center"/>
        </w:trPr>
        <w:tc>
          <w:tcPr>
            <w:tcW w:w="1152" w:type="dxa"/>
            <w:shd w:val="clear" w:color="auto" w:fill="1F3864"/>
          </w:tcPr>
          <w:p w14:paraId="118924F6" w14:textId="77777777" w:rsidR="008B452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Depth L</w:t>
            </w:r>
          </w:p>
        </w:tc>
        <w:tc>
          <w:tcPr>
            <w:tcW w:w="1368" w:type="dxa"/>
            <w:shd w:val="clear" w:color="auto" w:fill="1F3864"/>
          </w:tcPr>
          <w:p w14:paraId="555BA7C4" w14:textId="77777777" w:rsidR="008B452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none cos</w:t>
            </w:r>
          </w:p>
        </w:tc>
        <w:tc>
          <w:tcPr>
            <w:tcW w:w="1368" w:type="dxa"/>
            <w:shd w:val="clear" w:color="auto" w:fill="1F3864"/>
          </w:tcPr>
          <w:p w14:paraId="383FDF19" w14:textId="77777777" w:rsidR="008B452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none AUC</w:t>
            </w:r>
          </w:p>
        </w:tc>
        <w:tc>
          <w:tcPr>
            <w:tcW w:w="1368" w:type="dxa"/>
            <w:shd w:val="clear" w:color="auto" w:fill="1F3864"/>
          </w:tcPr>
          <w:p w14:paraId="055E9435" w14:textId="77777777" w:rsidR="008B452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resid cos</w:t>
            </w:r>
          </w:p>
        </w:tc>
        <w:tc>
          <w:tcPr>
            <w:tcW w:w="1368" w:type="dxa"/>
            <w:shd w:val="clear" w:color="auto" w:fill="1F3864"/>
          </w:tcPr>
          <w:p w14:paraId="18686BBB" w14:textId="77777777" w:rsidR="008B452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resid AUC</w:t>
            </w:r>
          </w:p>
        </w:tc>
        <w:tc>
          <w:tcPr>
            <w:tcW w:w="1368" w:type="dxa"/>
            <w:shd w:val="clear" w:color="auto" w:fill="1F3864"/>
          </w:tcPr>
          <w:p w14:paraId="78F99A6E" w14:textId="77777777" w:rsidR="008B452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drop cos</w:t>
            </w:r>
          </w:p>
        </w:tc>
        <w:tc>
          <w:tcPr>
            <w:tcW w:w="1368" w:type="dxa"/>
            <w:shd w:val="clear" w:color="auto" w:fill="1F3864"/>
          </w:tcPr>
          <w:p w14:paraId="1AA66254" w14:textId="77777777" w:rsidR="008B452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drop AUC</w:t>
            </w:r>
          </w:p>
        </w:tc>
      </w:tr>
      <w:tr w:rsidR="008B4529" w14:paraId="2ECDC1DE" w14:textId="77777777">
        <w:trPr>
          <w:jc w:val="center"/>
        </w:trPr>
        <w:tc>
          <w:tcPr>
            <w:tcW w:w="1152" w:type="dxa"/>
          </w:tcPr>
          <w:p w14:paraId="15B99300" w14:textId="77777777" w:rsidR="008B4529" w:rsidRDefault="00000000">
            <w:r>
              <w:rPr>
                <w:sz w:val="18"/>
              </w:rPr>
              <w:t>1</w:t>
            </w:r>
          </w:p>
        </w:tc>
        <w:tc>
          <w:tcPr>
            <w:tcW w:w="1368" w:type="dxa"/>
          </w:tcPr>
          <w:p w14:paraId="0B491C47" w14:textId="77777777" w:rsidR="008B4529" w:rsidRDefault="00000000">
            <w:pPr>
              <w:jc w:val="center"/>
            </w:pPr>
            <w:r>
              <w:rPr>
                <w:sz w:val="18"/>
              </w:rPr>
              <w:t>0.29</w:t>
            </w:r>
          </w:p>
        </w:tc>
        <w:tc>
          <w:tcPr>
            <w:tcW w:w="1368" w:type="dxa"/>
          </w:tcPr>
          <w:p w14:paraId="0ECE88E4" w14:textId="77777777" w:rsidR="008B4529" w:rsidRDefault="00000000">
            <w:pPr>
              <w:jc w:val="center"/>
            </w:pPr>
            <w:r>
              <w:rPr>
                <w:sz w:val="18"/>
              </w:rPr>
              <w:t>0.60</w:t>
            </w:r>
          </w:p>
        </w:tc>
        <w:tc>
          <w:tcPr>
            <w:tcW w:w="1368" w:type="dxa"/>
          </w:tcPr>
          <w:p w14:paraId="2466560A" w14:textId="77777777" w:rsidR="008B4529" w:rsidRDefault="00000000">
            <w:pPr>
              <w:jc w:val="center"/>
            </w:pPr>
            <w:r>
              <w:rPr>
                <w:sz w:val="18"/>
              </w:rPr>
              <w:t>0.28</w:t>
            </w:r>
          </w:p>
        </w:tc>
        <w:tc>
          <w:tcPr>
            <w:tcW w:w="1368" w:type="dxa"/>
          </w:tcPr>
          <w:p w14:paraId="04FF94DA" w14:textId="77777777" w:rsidR="008B4529" w:rsidRDefault="00000000">
            <w:pPr>
              <w:jc w:val="center"/>
            </w:pPr>
            <w:r>
              <w:rPr>
                <w:sz w:val="18"/>
              </w:rPr>
              <w:t>0.59</w:t>
            </w:r>
          </w:p>
        </w:tc>
        <w:tc>
          <w:tcPr>
            <w:tcW w:w="1368" w:type="dxa"/>
          </w:tcPr>
          <w:p w14:paraId="5BFE3327" w14:textId="77777777" w:rsidR="008B4529" w:rsidRDefault="00000000">
            <w:pPr>
              <w:jc w:val="center"/>
            </w:pPr>
            <w:r>
              <w:rPr>
                <w:sz w:val="18"/>
              </w:rPr>
              <w:t>0.27</w:t>
            </w:r>
          </w:p>
        </w:tc>
        <w:tc>
          <w:tcPr>
            <w:tcW w:w="1368" w:type="dxa"/>
          </w:tcPr>
          <w:p w14:paraId="41FD55B4" w14:textId="77777777" w:rsidR="008B4529" w:rsidRDefault="00000000">
            <w:pPr>
              <w:jc w:val="center"/>
            </w:pPr>
            <w:r>
              <w:rPr>
                <w:sz w:val="18"/>
              </w:rPr>
              <w:t>0.61</w:t>
            </w:r>
          </w:p>
        </w:tc>
      </w:tr>
      <w:tr w:rsidR="008B4529" w14:paraId="76D7C740" w14:textId="77777777">
        <w:trPr>
          <w:jc w:val="center"/>
        </w:trPr>
        <w:tc>
          <w:tcPr>
            <w:tcW w:w="1152" w:type="dxa"/>
            <w:shd w:val="clear" w:color="auto" w:fill="EAF0F8"/>
          </w:tcPr>
          <w:p w14:paraId="26933592" w14:textId="77777777" w:rsidR="008B4529" w:rsidRDefault="00000000">
            <w:r>
              <w:rPr>
                <w:sz w:val="18"/>
              </w:rPr>
              <w:t>2</w:t>
            </w:r>
          </w:p>
        </w:tc>
        <w:tc>
          <w:tcPr>
            <w:tcW w:w="1368" w:type="dxa"/>
            <w:shd w:val="clear" w:color="auto" w:fill="EAF0F8"/>
          </w:tcPr>
          <w:p w14:paraId="787AE64C" w14:textId="77777777" w:rsidR="008B4529" w:rsidRDefault="00000000">
            <w:pPr>
              <w:jc w:val="center"/>
            </w:pPr>
            <w:r>
              <w:rPr>
                <w:sz w:val="18"/>
              </w:rPr>
              <w:t>0.35</w:t>
            </w:r>
          </w:p>
        </w:tc>
        <w:tc>
          <w:tcPr>
            <w:tcW w:w="1368" w:type="dxa"/>
            <w:shd w:val="clear" w:color="auto" w:fill="EAF0F8"/>
          </w:tcPr>
          <w:p w14:paraId="1DE1DDA9" w14:textId="77777777" w:rsidR="008B4529" w:rsidRDefault="00000000">
            <w:pPr>
              <w:jc w:val="center"/>
            </w:pPr>
            <w:r>
              <w:rPr>
                <w:sz w:val="18"/>
              </w:rPr>
              <w:t>0.58</w:t>
            </w:r>
          </w:p>
        </w:tc>
        <w:tc>
          <w:tcPr>
            <w:tcW w:w="1368" w:type="dxa"/>
            <w:shd w:val="clear" w:color="auto" w:fill="EAF0F8"/>
          </w:tcPr>
          <w:p w14:paraId="7D014D2B" w14:textId="77777777" w:rsidR="008B4529" w:rsidRDefault="00000000">
            <w:pPr>
              <w:jc w:val="center"/>
            </w:pPr>
            <w:r>
              <w:rPr>
                <w:sz w:val="18"/>
              </w:rPr>
              <w:t>0.25</w:t>
            </w:r>
          </w:p>
        </w:tc>
        <w:tc>
          <w:tcPr>
            <w:tcW w:w="1368" w:type="dxa"/>
            <w:shd w:val="clear" w:color="auto" w:fill="EAF0F8"/>
          </w:tcPr>
          <w:p w14:paraId="35FA7457" w14:textId="77777777" w:rsidR="008B4529" w:rsidRDefault="00000000">
            <w:pPr>
              <w:jc w:val="center"/>
            </w:pPr>
            <w:r>
              <w:rPr>
                <w:sz w:val="18"/>
              </w:rPr>
              <w:t>0.57</w:t>
            </w:r>
          </w:p>
        </w:tc>
        <w:tc>
          <w:tcPr>
            <w:tcW w:w="1368" w:type="dxa"/>
            <w:shd w:val="clear" w:color="auto" w:fill="EAF0F8"/>
          </w:tcPr>
          <w:p w14:paraId="644E020C" w14:textId="77777777" w:rsidR="008B4529" w:rsidRDefault="00000000">
            <w:pPr>
              <w:jc w:val="center"/>
            </w:pPr>
            <w:r>
              <w:rPr>
                <w:sz w:val="18"/>
              </w:rPr>
              <w:t>0.31</w:t>
            </w:r>
          </w:p>
        </w:tc>
        <w:tc>
          <w:tcPr>
            <w:tcW w:w="1368" w:type="dxa"/>
            <w:shd w:val="clear" w:color="auto" w:fill="EAF0F8"/>
          </w:tcPr>
          <w:p w14:paraId="1FB17B66" w14:textId="77777777" w:rsidR="008B4529" w:rsidRDefault="00000000">
            <w:pPr>
              <w:jc w:val="center"/>
            </w:pPr>
            <w:r>
              <w:rPr>
                <w:sz w:val="18"/>
              </w:rPr>
              <w:t>0.59</w:t>
            </w:r>
          </w:p>
        </w:tc>
      </w:tr>
      <w:tr w:rsidR="008B4529" w14:paraId="74F48626" w14:textId="77777777">
        <w:trPr>
          <w:jc w:val="center"/>
        </w:trPr>
        <w:tc>
          <w:tcPr>
            <w:tcW w:w="1152" w:type="dxa"/>
          </w:tcPr>
          <w:p w14:paraId="4F03E23A" w14:textId="77777777" w:rsidR="008B4529" w:rsidRDefault="00000000">
            <w:r>
              <w:rPr>
                <w:sz w:val="18"/>
              </w:rPr>
              <w:t>4</w:t>
            </w:r>
          </w:p>
        </w:tc>
        <w:tc>
          <w:tcPr>
            <w:tcW w:w="1368" w:type="dxa"/>
          </w:tcPr>
          <w:p w14:paraId="630AAE33" w14:textId="77777777" w:rsidR="008B4529" w:rsidRDefault="00000000">
            <w:pPr>
              <w:jc w:val="center"/>
            </w:pPr>
            <w:r>
              <w:rPr>
                <w:sz w:val="18"/>
              </w:rPr>
              <w:t>0.59</w:t>
            </w:r>
          </w:p>
        </w:tc>
        <w:tc>
          <w:tcPr>
            <w:tcW w:w="1368" w:type="dxa"/>
          </w:tcPr>
          <w:p w14:paraId="2BC9C048" w14:textId="77777777" w:rsidR="008B4529" w:rsidRDefault="00000000">
            <w:pPr>
              <w:jc w:val="center"/>
            </w:pPr>
            <w:r>
              <w:rPr>
                <w:sz w:val="18"/>
              </w:rPr>
              <w:t>0.54</w:t>
            </w:r>
          </w:p>
        </w:tc>
        <w:tc>
          <w:tcPr>
            <w:tcW w:w="1368" w:type="dxa"/>
          </w:tcPr>
          <w:p w14:paraId="75E25741" w14:textId="77777777" w:rsidR="008B4529" w:rsidRDefault="00000000">
            <w:pPr>
              <w:jc w:val="center"/>
            </w:pPr>
            <w:r>
              <w:rPr>
                <w:sz w:val="18"/>
              </w:rPr>
              <w:t>0.30</w:t>
            </w:r>
          </w:p>
        </w:tc>
        <w:tc>
          <w:tcPr>
            <w:tcW w:w="1368" w:type="dxa"/>
          </w:tcPr>
          <w:p w14:paraId="073A554C" w14:textId="77777777" w:rsidR="008B4529" w:rsidRDefault="00000000">
            <w:pPr>
              <w:jc w:val="center"/>
            </w:pPr>
            <w:r>
              <w:rPr>
                <w:sz w:val="18"/>
              </w:rPr>
              <w:t>0.60</w:t>
            </w:r>
          </w:p>
        </w:tc>
        <w:tc>
          <w:tcPr>
            <w:tcW w:w="1368" w:type="dxa"/>
          </w:tcPr>
          <w:p w14:paraId="63E701AD" w14:textId="77777777" w:rsidR="008B4529" w:rsidRDefault="00000000">
            <w:pPr>
              <w:jc w:val="center"/>
            </w:pPr>
            <w:r>
              <w:rPr>
                <w:sz w:val="18"/>
              </w:rPr>
              <w:t>0.62</w:t>
            </w:r>
          </w:p>
        </w:tc>
        <w:tc>
          <w:tcPr>
            <w:tcW w:w="1368" w:type="dxa"/>
          </w:tcPr>
          <w:p w14:paraId="3038251D" w14:textId="77777777" w:rsidR="008B4529" w:rsidRDefault="00000000">
            <w:pPr>
              <w:jc w:val="center"/>
            </w:pPr>
            <w:r>
              <w:rPr>
                <w:sz w:val="18"/>
              </w:rPr>
              <w:t>0.57</w:t>
            </w:r>
          </w:p>
        </w:tc>
      </w:tr>
      <w:tr w:rsidR="008B4529" w14:paraId="349B4E85" w14:textId="77777777">
        <w:trPr>
          <w:jc w:val="center"/>
        </w:trPr>
        <w:tc>
          <w:tcPr>
            <w:tcW w:w="1152" w:type="dxa"/>
            <w:shd w:val="clear" w:color="auto" w:fill="EAF0F8"/>
          </w:tcPr>
          <w:p w14:paraId="63CB5DFB" w14:textId="77777777" w:rsidR="008B4529" w:rsidRDefault="00000000">
            <w:r>
              <w:rPr>
                <w:sz w:val="18"/>
              </w:rPr>
              <w:t>8</w:t>
            </w:r>
          </w:p>
        </w:tc>
        <w:tc>
          <w:tcPr>
            <w:tcW w:w="1368" w:type="dxa"/>
            <w:shd w:val="clear" w:color="auto" w:fill="EAF0F8"/>
          </w:tcPr>
          <w:p w14:paraId="0BE161E5" w14:textId="77777777" w:rsidR="008B4529" w:rsidRDefault="00000000">
            <w:pPr>
              <w:jc w:val="center"/>
            </w:pPr>
            <w:r>
              <w:rPr>
                <w:sz w:val="18"/>
              </w:rPr>
              <w:t>0.66</w:t>
            </w:r>
          </w:p>
        </w:tc>
        <w:tc>
          <w:tcPr>
            <w:tcW w:w="1368" w:type="dxa"/>
            <w:shd w:val="clear" w:color="auto" w:fill="EAF0F8"/>
          </w:tcPr>
          <w:p w14:paraId="60753D65" w14:textId="77777777" w:rsidR="008B4529" w:rsidRDefault="00000000">
            <w:pPr>
              <w:jc w:val="center"/>
            </w:pPr>
            <w:r>
              <w:rPr>
                <w:sz w:val="18"/>
              </w:rPr>
              <w:t>0.55</w:t>
            </w:r>
          </w:p>
        </w:tc>
        <w:tc>
          <w:tcPr>
            <w:tcW w:w="1368" w:type="dxa"/>
            <w:shd w:val="clear" w:color="auto" w:fill="EAF0F8"/>
          </w:tcPr>
          <w:p w14:paraId="0CC1362B" w14:textId="77777777" w:rsidR="008B4529" w:rsidRDefault="00000000">
            <w:pPr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w="1368" w:type="dxa"/>
            <w:shd w:val="clear" w:color="auto" w:fill="EAF0F8"/>
          </w:tcPr>
          <w:p w14:paraId="6B47C75E" w14:textId="77777777" w:rsidR="008B4529" w:rsidRDefault="00000000">
            <w:pPr>
              <w:jc w:val="center"/>
            </w:pPr>
            <w:r>
              <w:rPr>
                <w:sz w:val="18"/>
              </w:rPr>
              <w:t>0.50</w:t>
            </w:r>
          </w:p>
        </w:tc>
        <w:tc>
          <w:tcPr>
            <w:tcW w:w="1368" w:type="dxa"/>
            <w:shd w:val="clear" w:color="auto" w:fill="EAF0F8"/>
          </w:tcPr>
          <w:p w14:paraId="3BB84062" w14:textId="77777777" w:rsidR="008B4529" w:rsidRDefault="00000000">
            <w:pPr>
              <w:jc w:val="center"/>
            </w:pPr>
            <w:r>
              <w:rPr>
                <w:sz w:val="18"/>
              </w:rPr>
              <w:t>0.79</w:t>
            </w:r>
          </w:p>
        </w:tc>
        <w:tc>
          <w:tcPr>
            <w:tcW w:w="1368" w:type="dxa"/>
            <w:shd w:val="clear" w:color="auto" w:fill="EAF0F8"/>
          </w:tcPr>
          <w:p w14:paraId="268AC459" w14:textId="77777777" w:rsidR="008B4529" w:rsidRDefault="00000000">
            <w:pPr>
              <w:jc w:val="center"/>
            </w:pPr>
            <w:r>
              <w:rPr>
                <w:sz w:val="18"/>
              </w:rPr>
              <w:t>0.51</w:t>
            </w:r>
          </w:p>
        </w:tc>
      </w:tr>
      <w:tr w:rsidR="008B4529" w14:paraId="4D574FE4" w14:textId="77777777">
        <w:trPr>
          <w:jc w:val="center"/>
        </w:trPr>
        <w:tc>
          <w:tcPr>
            <w:tcW w:w="1152" w:type="dxa"/>
          </w:tcPr>
          <w:p w14:paraId="45200308" w14:textId="77777777" w:rsidR="008B4529" w:rsidRDefault="00000000">
            <w:r>
              <w:rPr>
                <w:sz w:val="18"/>
              </w:rPr>
              <w:t>16</w:t>
            </w:r>
          </w:p>
        </w:tc>
        <w:tc>
          <w:tcPr>
            <w:tcW w:w="1368" w:type="dxa"/>
          </w:tcPr>
          <w:p w14:paraId="78212504" w14:textId="77777777" w:rsidR="008B4529" w:rsidRDefault="00000000">
            <w:pPr>
              <w:jc w:val="center"/>
            </w:pPr>
            <w:r>
              <w:rPr>
                <w:sz w:val="18"/>
              </w:rPr>
              <w:t>0.99</w:t>
            </w:r>
          </w:p>
        </w:tc>
        <w:tc>
          <w:tcPr>
            <w:tcW w:w="1368" w:type="dxa"/>
          </w:tcPr>
          <w:p w14:paraId="2A9605DD" w14:textId="77777777" w:rsidR="008B4529" w:rsidRDefault="00000000">
            <w:pPr>
              <w:jc w:val="center"/>
            </w:pPr>
            <w:r>
              <w:rPr>
                <w:sz w:val="18"/>
              </w:rPr>
              <w:t>0.50</w:t>
            </w:r>
          </w:p>
        </w:tc>
        <w:tc>
          <w:tcPr>
            <w:tcW w:w="1368" w:type="dxa"/>
          </w:tcPr>
          <w:p w14:paraId="586BA90E" w14:textId="77777777" w:rsidR="008B4529" w:rsidRDefault="00000000">
            <w:pPr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w="1368" w:type="dxa"/>
          </w:tcPr>
          <w:p w14:paraId="354159A6" w14:textId="77777777" w:rsidR="008B4529" w:rsidRDefault="00000000">
            <w:pPr>
              <w:jc w:val="center"/>
            </w:pPr>
            <w:r>
              <w:rPr>
                <w:sz w:val="18"/>
              </w:rPr>
              <w:t>0.50</w:t>
            </w:r>
          </w:p>
        </w:tc>
        <w:tc>
          <w:tcPr>
            <w:tcW w:w="1368" w:type="dxa"/>
          </w:tcPr>
          <w:p w14:paraId="27190DCC" w14:textId="77777777" w:rsidR="008B4529" w:rsidRDefault="00000000">
            <w:pPr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w="1368" w:type="dxa"/>
          </w:tcPr>
          <w:p w14:paraId="07331272" w14:textId="77777777" w:rsidR="008B4529" w:rsidRDefault="00000000">
            <w:pPr>
              <w:jc w:val="center"/>
            </w:pPr>
            <w:r>
              <w:rPr>
                <w:sz w:val="18"/>
              </w:rPr>
              <w:t>0.50</w:t>
            </w:r>
          </w:p>
        </w:tc>
      </w:tr>
    </w:tbl>
    <w:p w14:paraId="29A0CBAD" w14:textId="77777777" w:rsidR="008B4529" w:rsidRDefault="00000000">
      <w:pPr>
        <w:jc w:val="center"/>
      </w:pPr>
      <w:r>
        <w:rPr>
          <w:i/>
          <w:color w:val="555555"/>
          <w:sz w:val="18"/>
        </w:rPr>
        <w:t>Table 2. rel-trial/study-outcome: cosine similarity (oversmoothing, ↑1) and test ROC AUC by depth and mitigation.</w:t>
      </w:r>
    </w:p>
    <w:p w14:paraId="18B26A44" w14:textId="77777777" w:rsidR="008B4529" w:rsidRDefault="008B4529"/>
    <w:p w14:paraId="0FA371F2" w14:textId="77777777" w:rsidR="008B452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859FDD8" wp14:editId="3F6C2C66">
            <wp:extent cx="5760720" cy="37550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4_dept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1015" w14:textId="77777777" w:rsidR="008B4529" w:rsidRDefault="00000000">
      <w:pPr>
        <w:jc w:val="center"/>
      </w:pPr>
      <w:r>
        <w:rPr>
          <w:i/>
          <w:color w:val="555555"/>
          <w:sz w:val="18"/>
        </w:rPr>
        <w:t>Figure 3. Oversmoothing (left, cosine similarity) and downstream AUPRC (right) versus depth.</w:t>
      </w:r>
    </w:p>
    <w:p w14:paraId="0310ADD4" w14:textId="77777777" w:rsidR="008B4529" w:rsidRDefault="00000000">
      <w:pPr>
        <w:jc w:val="center"/>
      </w:pPr>
      <w:r>
        <w:rPr>
          <w:noProof/>
        </w:rPr>
        <w:drawing>
          <wp:inline distT="0" distB="0" distL="0" distR="0" wp14:anchorId="33F0123B" wp14:editId="1BF83EB9">
            <wp:extent cx="4937760" cy="32219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4_scat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22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95A56" w14:textId="77777777" w:rsidR="008B4529" w:rsidRDefault="00000000">
      <w:pPr>
        <w:jc w:val="center"/>
      </w:pPr>
      <w:r>
        <w:rPr>
          <w:i/>
          <w:color w:val="555555"/>
          <w:sz w:val="18"/>
        </w:rPr>
        <w:t>Figure 4. Downstream ROC AUC collapses toward 0.5 as representations oversmooth (cosine similarity → 1).</w:t>
      </w:r>
    </w:p>
    <w:p w14:paraId="603B512F" w14:textId="77777777" w:rsidR="008B4529" w:rsidRDefault="00000000">
      <w:pPr>
        <w:pStyle w:val="Heading2"/>
      </w:pPr>
      <w:r>
        <w:lastRenderedPageBreak/>
        <w:t>Discussion</w:t>
      </w:r>
    </w:p>
    <w:p w14:paraId="5EA674E7" w14:textId="77777777" w:rsidR="008B4529" w:rsidRDefault="00000000">
      <w:r>
        <w:t>Oversmoothing is clearly demonstrated. On rel-trial, as depth grows the mean cosine similarity of study representations climbs from ~0.28 (L1) to ~0.99 (L16) and downstream ROC AUC decays from ~0.60 to 0.50 (random). At L16 every variant is fully collapsed and predicts at chance, and Figure 4 shows the two are coupled — performance falls as similarity rises. Peak performance is at shallow depth (L1-L4) on both datasets.</w:t>
      </w:r>
    </w:p>
    <w:p w14:paraId="32DFB349" w14:textId="77777777" w:rsidR="008B4529" w:rsidRDefault="00000000">
      <w:r>
        <w:t>The mitigations tell a nuanced, honest story: they delay collapse at moderate depth but do not prevent it at extreme depth. Residual is clearly best at L4 (it keeps cosine similarity at ~0.30 versus ~0.59 for the plain stack, and gives the single best AUC, ~0.60), i.e. skip connections push the oversmoothing threshold out a few layers. But at L8-L16 residual and DropEdge collapse just like the plain model — residual even collapses harder at L8 (cosine ~1.0), plausibly because the accumulating residual sum saturates under ReLU. The practical takeaway is that for these relational tasks a shallow model is preferable, and skip/DropEdge buy robustness for a handful of extra layers rather than unbounded depth. rel-f1 shows the same L16 collapse (cosine → 0.81) but with noisier downstream numbers due to its tiny evaluation set.</w:t>
      </w:r>
    </w:p>
    <w:p w14:paraId="4AEDCA8A" w14:textId="77777777" w:rsidR="008B4529" w:rsidRDefault="00000000">
      <w:r>
        <w:br w:type="page"/>
      </w:r>
    </w:p>
    <w:p w14:paraId="1F7FF3DD" w14:textId="77777777" w:rsidR="008B4529" w:rsidRDefault="00000000">
      <w:pPr>
        <w:pStyle w:val="Heading1"/>
      </w:pPr>
      <w:r>
        <w:lastRenderedPageBreak/>
        <w:t>Aspect 5 — Foundation Models (Design Question)</w:t>
      </w:r>
    </w:p>
    <w:p w14:paraId="0ABB3610" w14:textId="77777777" w:rsidR="008B4529" w:rsidRDefault="00000000">
      <w:r>
        <w:t>We take our heterogeneous HGT model from Aspect 3 and ask what would be required to use it as a foundation model: pretrain on one dataset and apply it to another dataset with a different schema, such that pretraining improves downstream performance.</w:t>
      </w:r>
    </w:p>
    <w:p w14:paraId="4B15AFF2" w14:textId="77777777" w:rsidR="008B4529" w:rsidRDefault="00000000">
      <w:pPr>
        <w:pStyle w:val="Heading2"/>
      </w:pPr>
      <w:r>
        <w:t>Why the current model does not transfer</w:t>
      </w:r>
    </w:p>
    <w:p w14:paraId="1A0BB03B" w14:textId="77777777" w:rsidR="008B4529" w:rsidRDefault="00000000">
      <w:r>
        <w:t>Almost every parameter in our model is bound to a specific schema. The input encoders are per-table linear layers whose input dimension equals that table's column count; the HGT backbone has per-node-type and per-edge-type projection and attention matrices keyed on the literal type identities; and the ID variant stores an embedding per node. A new dataset has different tables (node types), different columns (feature dimensions), and different relations (edge types), so none of these weights are even shape-compatible, let alone semantically aligned. Transfer therefore requires making every schema-specific component schema-agnostic.</w:t>
      </w:r>
    </w:p>
    <w:p w14:paraId="4D748EB1" w14:textId="77777777" w:rsidR="008B4529" w:rsidRDefault="00000000">
      <w:pPr>
        <w:pStyle w:val="Heading2"/>
      </w:pPr>
      <w:r>
        <w:t>Required changes</w:t>
      </w:r>
    </w:p>
    <w:p w14:paraId="0B92EC2E" w14:textId="77777777" w:rsidR="008B4529" w:rsidRDefault="00000000">
      <w:pPr>
        <w:pStyle w:val="ListBullet"/>
      </w:pPr>
      <w:r>
        <w:rPr>
          <w:b/>
        </w:rPr>
        <w:t xml:space="preserve">Schema-agnostic node encoder. </w:t>
      </w:r>
      <w:r>
        <w:t>Replace per-table encoders with an encoder that maps any tuple to a fixed-size vector independent of the schema. The LLM strategy from Aspect 3 already does this: stringifying a tuple as “col=val, …” and embedding it with a shared frozen text model yields a 384-d vector for any table of any dataset. This is the single most important enabler of transfer; the ID strategy is the opposite (its embeddings are dataset-specific and, as Aspect 3 showed, do not even generalize to new nodes within one dataset).</w:t>
      </w:r>
    </w:p>
    <w:p w14:paraId="1E7B45F4" w14:textId="77777777" w:rsidR="008B4529" w:rsidRDefault="00000000">
      <w:pPr>
        <w:pStyle w:val="ListBullet"/>
      </w:pPr>
      <w:r>
        <w:rPr>
          <w:b/>
        </w:rPr>
        <w:t xml:space="preserve">Type-agnostic message passing. </w:t>
      </w:r>
      <w:r>
        <w:t>Remove the dependence on literal type identities. Options: (a) fully share weights across node/edge types (a homogeneous backbone — simplest, but discards heterogeneity); or (b) condition the per-type/per-relation parameters on a text embedding of the table/relation name via a hypernetwork, so an unseen schema derives its projections from its descriptions rather than from a fixed lookup. Option (b) keeps heterogeneity while remaining schema-agnostic.</w:t>
      </w:r>
    </w:p>
    <w:p w14:paraId="7A375FAE" w14:textId="77777777" w:rsidR="008B4529" w:rsidRDefault="00000000">
      <w:pPr>
        <w:pStyle w:val="ListBullet"/>
      </w:pPr>
      <w:r>
        <w:rPr>
          <w:b/>
        </w:rPr>
        <w:t xml:space="preserve">Schema-independent structural features. </w:t>
      </w:r>
      <w:r>
        <w:t>Use structural encodings (degree, local subgraph descriptors, PK–FK role) rather than id embeddings, so structural signal transfers across graphs.</w:t>
      </w:r>
    </w:p>
    <w:p w14:paraId="395E7F56" w14:textId="77777777" w:rsidR="008B4529" w:rsidRDefault="00000000">
      <w:pPr>
        <w:pStyle w:val="ListBullet"/>
      </w:pPr>
      <w:r>
        <w:rPr>
          <w:b/>
        </w:rPr>
        <w:t xml:space="preserve">Self-supervised pretraining objective. </w:t>
      </w:r>
      <w:r>
        <w:t>Pretrain without downstream labels using a task-agnostic objective — e.g. PK–FK link prediction and/or masked-attribute reconstruction — so the backbone learns general relational structure. Attach a small task-specific head that is the only part (re)trained per downstream task.</w:t>
      </w:r>
    </w:p>
    <w:p w14:paraId="7947DA15" w14:textId="77777777" w:rsidR="008B4529" w:rsidRDefault="00000000">
      <w:pPr>
        <w:pStyle w:val="ListBullet"/>
      </w:pPr>
      <w:r>
        <w:rPr>
          <w:b/>
        </w:rPr>
        <w:t xml:space="preserve">Feature-space alignment / normalization. </w:t>
      </w:r>
      <w:r>
        <w:t>Normalize encoder outputs (e.g. shared LayerNorm, unit-norm text embeddings) so the representation space is comparable across datasets.</w:t>
      </w:r>
    </w:p>
    <w:p w14:paraId="548661A5" w14:textId="77777777" w:rsidR="008B4529" w:rsidRDefault="00000000">
      <w:r>
        <w:t>In short: an LLM (schema-agnostic) node encoder + type-conditioned or shared message passing + a self-supervised pretraining objective + a light per-task fine-tuned head.</w:t>
      </w:r>
    </w:p>
    <w:p w14:paraId="425CE742" w14:textId="77777777" w:rsidR="008B4529" w:rsidRDefault="00000000">
      <w:pPr>
        <w:pStyle w:val="Heading2"/>
      </w:pPr>
      <w:r>
        <w:t>Proposed experiment to test effectiveness</w:t>
      </w:r>
    </w:p>
    <w:p w14:paraId="0120B389" w14:textId="77777777" w:rsidR="008B4529" w:rsidRDefault="00000000">
      <w:r>
        <w:t>Pretrain the schema-agnostic model on a source dataset A (e.g. rel-trial) with the self-supervised objective (link prediction + masked-attribute reconstruction), using no downstream labels. Transfer to a target dataset B with a different schema (e.g. rel-f1 or rel-event) and evaluate entity classification. Compare three conditions under an identical architecture and downstream head:</w:t>
      </w:r>
    </w:p>
    <w:p w14:paraId="5E94391A" w14:textId="77777777" w:rsidR="008B4529" w:rsidRDefault="00000000">
      <w:pPr>
        <w:pStyle w:val="ListBullet"/>
      </w:pPr>
      <w:r>
        <w:rPr>
          <w:b/>
        </w:rPr>
        <w:t xml:space="preserve">From scratch. </w:t>
      </w:r>
      <w:r>
        <w:t>Random initialization, trained on B only (the baseline the foundation model must beat).</w:t>
      </w:r>
    </w:p>
    <w:p w14:paraId="775F8C56" w14:textId="77777777" w:rsidR="008B4529" w:rsidRDefault="00000000">
      <w:pPr>
        <w:pStyle w:val="ListBullet"/>
      </w:pPr>
      <w:r>
        <w:rPr>
          <w:b/>
        </w:rPr>
        <w:t xml:space="preserve">Fine-tuned. </w:t>
      </w:r>
      <w:r>
        <w:t>Pretrained on A, then fine-tuned on B.</w:t>
      </w:r>
    </w:p>
    <w:p w14:paraId="2797A825" w14:textId="77777777" w:rsidR="008B4529" w:rsidRDefault="00000000">
      <w:pPr>
        <w:pStyle w:val="ListBullet"/>
      </w:pPr>
      <w:r>
        <w:rPr>
          <w:b/>
        </w:rPr>
        <w:lastRenderedPageBreak/>
        <w:t xml:space="preserve">Linear probe. </w:t>
      </w:r>
      <w:r>
        <w:t>Pretrained on A, backbone frozen, only the head trained on B (measures how transferable the representations are as-is / zero-to-few-shot).</w:t>
      </w:r>
    </w:p>
    <w:p w14:paraId="001A524F" w14:textId="77777777" w:rsidR="008B4529" w:rsidRDefault="00000000">
      <w:r>
        <w:t>Primary metric: ROC AUC / AUPRC on B's test set. The decisive evidence for a foundation model is a data-efficiency curve — performance versus the number of labeled examples on B — where pretraining should help most in the low-label regime. Strengthen the design by (i) pretraining on several source datasets A₁..Aₖ and measuring whether more/diverse pretraining monotonically improves transfer; (ii) an ablation removing each component (LLM encoder, type-conditioning, objective) to attribute the gain; and (iii) multiple seeds with significance testing. Controls for fairness: identical parameter budget and head across conditions, and strict separation between pretraining and evaluation data. Success criterion: pretraining yields a statistically significant improvement over the from-scratch baseline, especially at low label counts.</w:t>
      </w:r>
    </w:p>
    <w:p w14:paraId="0CD46364" w14:textId="77777777" w:rsidR="008B4529" w:rsidRDefault="00000000">
      <w:pPr>
        <w:pStyle w:val="Heading2"/>
      </w:pPr>
      <w:r>
        <w:t>Note on AI assistance</w:t>
      </w:r>
    </w:p>
    <w:p w14:paraId="4AF599C4" w14:textId="77777777" w:rsidR="008B4529" w:rsidRDefault="00000000">
      <w:r>
        <w:t>AI tools assisted with implementing the experiment scaffolding (preprocessing, HGT/GraphSAGE models, training loops, plotting) and drafting this report. All results were produced by executing the code in a controlled conda environment and were validated against expectations (e.g. parameter-count checks, the oversmoothing trend, and cross-checking degenerate metrics such as the fixed-threshold precision/recall artifacts noted above). Findings and interpretations were reviewed for correctness before inclusion.</w:t>
      </w:r>
    </w:p>
    <w:sectPr w:rsidR="008B4529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8745700">
    <w:abstractNumId w:val="8"/>
  </w:num>
  <w:num w:numId="2" w16cid:durableId="1248809760">
    <w:abstractNumId w:val="6"/>
  </w:num>
  <w:num w:numId="3" w16cid:durableId="329217455">
    <w:abstractNumId w:val="5"/>
  </w:num>
  <w:num w:numId="4" w16cid:durableId="1411385826">
    <w:abstractNumId w:val="4"/>
  </w:num>
  <w:num w:numId="5" w16cid:durableId="44840051">
    <w:abstractNumId w:val="7"/>
  </w:num>
  <w:num w:numId="6" w16cid:durableId="1309018736">
    <w:abstractNumId w:val="3"/>
  </w:num>
  <w:num w:numId="7" w16cid:durableId="558395711">
    <w:abstractNumId w:val="2"/>
  </w:num>
  <w:num w:numId="8" w16cid:durableId="1192232813">
    <w:abstractNumId w:val="1"/>
  </w:num>
  <w:num w:numId="9" w16cid:durableId="184828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0F40"/>
    <w:rsid w:val="00326F90"/>
    <w:rsid w:val="00850D5D"/>
    <w:rsid w:val="008B452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7C8FF9"/>
  <w14:defaultImageDpi w14:val="300"/>
  <w15:docId w15:val="{A2D8A942-C779-4A28-92AC-7150A082D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1801</Words>
  <Characters>10268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Mintser</cp:lastModifiedBy>
  <cp:revision>3</cp:revision>
  <dcterms:created xsi:type="dcterms:W3CDTF">2013-12-23T23:15:00Z</dcterms:created>
  <dcterms:modified xsi:type="dcterms:W3CDTF">2026-07-09T14:50:00Z</dcterms:modified>
  <cp:category/>
</cp:coreProperties>
</file>