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C9B" w:rsidRPr="00E30C9B" w:rsidRDefault="00E30C9B" w:rsidP="00E30C9B">
      <w:pPr>
        <w:bidi w:val="0"/>
        <w:spacing w:before="100" w:beforeAutospacing="1" w:after="120" w:line="240" w:lineRule="auto"/>
        <w:outlineLvl w:val="0"/>
        <w:rPr>
          <w:rFonts w:ascii="Times New Roman" w:eastAsia="Times New Roman" w:hAnsi="Times New Roman" w:cs="Times New Roman"/>
          <w:b/>
          <w:bCs/>
          <w:color w:val="1F1F1F"/>
          <w:kern w:val="36"/>
          <w:sz w:val="48"/>
          <w:szCs w:val="48"/>
        </w:rPr>
      </w:pPr>
      <w:r w:rsidRPr="00E30C9B">
        <w:rPr>
          <w:rFonts w:ascii="Times New Roman" w:eastAsia="Times New Roman" w:hAnsi="Times New Roman" w:cs="Times New Roman"/>
          <w:b/>
          <w:bCs/>
          <w:color w:val="1F1F1F"/>
          <w:kern w:val="36"/>
          <w:sz w:val="48"/>
          <w:szCs w:val="48"/>
        </w:rPr>
        <w:t>Comprehensive Economic and Architectural Analysis of Gemini Embedding 2: Multimodal Vectorization Strategies and Financial Frameworks in 2026</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The commercial release of Gemini Embedding 2 on March 10, 2026, marked a decisive transition in the architecture of semantic information retrieval. This model represents Google’s primary attempt to consolidate disparate media modalities—text, imagery, video, audio, and complex document structures—into a single, unified high-dimensional vector space. For organizations operating at the intersection of large-scale data analytics and generative artificial intelligence, the pricing structure of Gemini Embedding 2 is not merely a line item in an infrastructure budget; it is a fundamental variable that dictates the feasibility of cross-modal search, sophisticated classification, and retrieval-augmented generation (RAG) pipelines.</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Historical Context and the Transition to Native Multimodality</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 xml:space="preserve">To understand the pricing of Gemini Embedding 2, it is necessary to examine the evolution of Google’s embedding portfolio. Prior to 2026, developers primarily relied on the Gecko series (e.g., </w:t>
      </w:r>
      <w:r w:rsidRPr="00E30C9B">
        <w:rPr>
          <w:rFonts w:ascii="Courier New" w:eastAsia="Times New Roman" w:hAnsi="Courier New" w:cs="Courier New"/>
          <w:color w:val="444746"/>
          <w:sz w:val="20"/>
          <w:szCs w:val="20"/>
          <w:bdr w:val="none" w:sz="0" w:space="0" w:color="auto" w:frame="1"/>
        </w:rPr>
        <w:t>textembedding-gecko</w:t>
      </w:r>
      <w:r w:rsidRPr="00E30C9B">
        <w:rPr>
          <w:rFonts w:ascii="Times New Roman" w:eastAsia="Times New Roman" w:hAnsi="Times New Roman" w:cs="Times New Roman"/>
          <w:color w:val="1F1F1F"/>
          <w:sz w:val="24"/>
          <w:szCs w:val="24"/>
          <w:bdr w:val="none" w:sz="0" w:space="0" w:color="auto" w:frame="1"/>
        </w:rPr>
        <w:t xml:space="preserve">) and the subsequent </w:t>
      </w:r>
      <w:r w:rsidRPr="00E30C9B">
        <w:rPr>
          <w:rFonts w:ascii="Courier New" w:eastAsia="Times New Roman" w:hAnsi="Courier New" w:cs="Courier New"/>
          <w:color w:val="444746"/>
          <w:sz w:val="20"/>
          <w:szCs w:val="20"/>
          <w:bdr w:val="none" w:sz="0" w:space="0" w:color="auto" w:frame="1"/>
        </w:rPr>
        <w:t>text-embedding-004</w:t>
      </w:r>
      <w:r w:rsidRPr="00E30C9B">
        <w:rPr>
          <w:rFonts w:ascii="Times New Roman" w:eastAsia="Times New Roman" w:hAnsi="Times New Roman" w:cs="Times New Roman"/>
          <w:color w:val="1F1F1F"/>
          <w:sz w:val="24"/>
          <w:szCs w:val="24"/>
          <w:bdr w:val="none" w:sz="0" w:space="0" w:color="auto" w:frame="1"/>
        </w:rPr>
        <w:t xml:space="preserve"> and </w:t>
      </w:r>
      <w:r w:rsidRPr="00E30C9B">
        <w:rPr>
          <w:rFonts w:ascii="Courier New" w:eastAsia="Times New Roman" w:hAnsi="Courier New" w:cs="Courier New"/>
          <w:color w:val="444746"/>
          <w:sz w:val="20"/>
          <w:szCs w:val="20"/>
          <w:bdr w:val="none" w:sz="0" w:space="0" w:color="auto" w:frame="1"/>
        </w:rPr>
        <w:t>005</w:t>
      </w:r>
      <w:r w:rsidRPr="00E30C9B">
        <w:rPr>
          <w:rFonts w:ascii="Times New Roman" w:eastAsia="Times New Roman" w:hAnsi="Times New Roman" w:cs="Times New Roman"/>
          <w:color w:val="1F1F1F"/>
          <w:sz w:val="24"/>
          <w:szCs w:val="24"/>
          <w:bdr w:val="none" w:sz="0" w:space="0" w:color="auto" w:frame="1"/>
        </w:rPr>
        <w:t xml:space="preserve"> models. These earlier iterations were priced at a standard rate of $0.10 per million tokens. As the ecosystem evolved, </w:t>
      </w:r>
      <w:r w:rsidRPr="00E30C9B">
        <w:rPr>
          <w:rFonts w:ascii="Courier New" w:eastAsia="Times New Roman" w:hAnsi="Courier New" w:cs="Courier New"/>
          <w:color w:val="444746"/>
          <w:sz w:val="20"/>
          <w:szCs w:val="20"/>
          <w:bdr w:val="none" w:sz="0" w:space="0" w:color="auto" w:frame="1"/>
        </w:rPr>
        <w:t>gemini-embedding-001</w:t>
      </w:r>
      <w:r w:rsidRPr="00E30C9B">
        <w:rPr>
          <w:rFonts w:ascii="Times New Roman" w:eastAsia="Times New Roman" w:hAnsi="Times New Roman" w:cs="Times New Roman"/>
          <w:color w:val="1F1F1F"/>
          <w:sz w:val="24"/>
          <w:szCs w:val="24"/>
          <w:bdr w:val="none" w:sz="0" w:space="0" w:color="auto" w:frame="1"/>
        </w:rPr>
        <w:t xml:space="preserve"> was introduced with a price point of $0.15 per million input tokens, reflecting the increased computational complexity of the Gemini architecture.</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 xml:space="preserve">The shift toward Gemini Embedding 2 was precipitated by the retirement of legacy models; notably, </w:t>
      </w:r>
      <w:r w:rsidRPr="00E30C9B">
        <w:rPr>
          <w:rFonts w:ascii="Courier New" w:eastAsia="Times New Roman" w:hAnsi="Courier New" w:cs="Courier New"/>
          <w:color w:val="444746"/>
          <w:sz w:val="20"/>
          <w:szCs w:val="20"/>
          <w:bdr w:val="none" w:sz="0" w:space="0" w:color="auto" w:frame="1"/>
        </w:rPr>
        <w:t>text-embedding-004</w:t>
      </w:r>
      <w:r w:rsidRPr="00E30C9B">
        <w:rPr>
          <w:rFonts w:ascii="Times New Roman" w:eastAsia="Times New Roman" w:hAnsi="Times New Roman" w:cs="Times New Roman"/>
          <w:color w:val="1F1F1F"/>
          <w:sz w:val="24"/>
          <w:szCs w:val="24"/>
          <w:bdr w:val="none" w:sz="0" w:space="0" w:color="auto" w:frame="1"/>
        </w:rPr>
        <w:t xml:space="preserve"> was decommissioned on January 13, 2026, forcing a broad migration to the newer, more capable Gemini-based architectures. Unlike its predecessors, Gemini Embedding 2 is natively multimodal, meaning it does not rely on intermediate transcription or captioning to process non-text media. This architectural breakthrough allows for direct signal-to-vector mapping, preserving nuances such as audio tone or visual spatio-temporal relationships that were previously lost.</w:t>
      </w:r>
    </w:p>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Comparative Evolution of Google Embedding Model Pricing</w:t>
      </w:r>
    </w:p>
    <w:tbl>
      <w:tblPr>
        <w:tblW w:w="0" w:type="auto"/>
        <w:tblCellSpacing w:w="15" w:type="dxa"/>
        <w:tblCellMar>
          <w:left w:w="0" w:type="dxa"/>
          <w:right w:w="0" w:type="dxa"/>
        </w:tblCellMar>
        <w:tblLook w:val="04A0" w:firstRow="1" w:lastRow="0" w:firstColumn="1" w:lastColumn="0" w:noHBand="0" w:noVBand="1"/>
      </w:tblPr>
      <w:tblGrid>
        <w:gridCol w:w="1877"/>
        <w:gridCol w:w="1681"/>
        <w:gridCol w:w="1477"/>
        <w:gridCol w:w="1615"/>
        <w:gridCol w:w="1640"/>
      </w:tblGrid>
      <w:tr w:rsidR="00E30C9B" w:rsidRPr="00E30C9B" w:rsidTr="00E30C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lastRenderedPageBreak/>
              <w:t>Model Generation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Primary Modality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Context Window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Price (per 1M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Status (as of March 2026)</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text-embedding-004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2,048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Retired Jan 13, 2026</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text-embedding-005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2,048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Active</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gemini-embedding-001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8,192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Active</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Gemini Embedding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Multimodal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8,192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Public Preview</w:t>
            </w:r>
          </w:p>
        </w:tc>
      </w:tr>
    </w:tbl>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Structural Pricing of Gemini Embedding 2</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 xml:space="preserve">The fiscal framework for Gemini Embedding 2 (specifically </w:t>
      </w:r>
      <w:r w:rsidRPr="00E30C9B">
        <w:rPr>
          <w:rFonts w:ascii="Courier New" w:eastAsia="Times New Roman" w:hAnsi="Courier New" w:cs="Courier New"/>
          <w:color w:val="444746"/>
          <w:sz w:val="20"/>
          <w:szCs w:val="20"/>
          <w:bdr w:val="none" w:sz="0" w:space="0" w:color="auto" w:frame="1"/>
        </w:rPr>
        <w:t>gemini-embedding-2-preview</w:t>
      </w:r>
      <w:r w:rsidRPr="00E30C9B">
        <w:rPr>
          <w:rFonts w:ascii="Times New Roman" w:eastAsia="Times New Roman" w:hAnsi="Times New Roman" w:cs="Times New Roman"/>
          <w:color w:val="1F1F1F"/>
          <w:sz w:val="24"/>
          <w:szCs w:val="24"/>
          <w:bdr w:val="none" w:sz="0" w:space="0" w:color="auto" w:frame="1"/>
        </w:rPr>
        <w:t>) is bifurcated into two primary consumption models: synchronous real-time inference and asynchronous batch processing. For real-time applications, the price is set at $0.20 per one million input tokens. This represents a 33% increase over the previous flagship embedding model, reflecting the added value of unified multimodal space and expanded input limits.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To mitigate these costs for high-volume users, the Batch API offers a substantial 50% discount, bringing the price down to $0.10 per million tokens. This batch pricing is particularly critical for the initial indexing of massive media archives, where latency is less important than total cost of ownership (TCO).</w:t>
      </w:r>
    </w:p>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Core Pricing Metrics for Gemini Embedding 2</w:t>
      </w:r>
    </w:p>
    <w:tbl>
      <w:tblPr>
        <w:tblW w:w="0" w:type="auto"/>
        <w:tblCellSpacing w:w="15" w:type="dxa"/>
        <w:tblCellMar>
          <w:left w:w="0" w:type="dxa"/>
          <w:right w:w="0" w:type="dxa"/>
        </w:tblCellMar>
        <w:tblLook w:val="04A0" w:firstRow="1" w:lastRow="0" w:firstColumn="1" w:lastColumn="0" w:noHBand="0" w:noVBand="1"/>
      </w:tblPr>
      <w:tblGrid>
        <w:gridCol w:w="2326"/>
        <w:gridCol w:w="2244"/>
        <w:gridCol w:w="3720"/>
      </w:tblGrid>
      <w:tr w:rsidR="00E30C9B" w:rsidRPr="00E30C9B" w:rsidTr="00E30C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Request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Price (per 1M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Optimal Use Case</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Standard (Real-time)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User-facing search, dynamic classification</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Batch (Asynchronous)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Initial indexing, archive re-embedding</w:t>
            </w:r>
          </w:p>
        </w:tc>
      </w:tr>
    </w:tbl>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lastRenderedPageBreak/>
        <w:t>The pricing of non-text modalities—images, video, and audio—is typically normalized into token counts based on the standard Gemini API media rates. This normalization ensures that a single billing metric can be applied to interleaved requests, such as a query containing both a 500-word description and two high-resolution images.</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Architectural Constraints and Multimodal Tokenization</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The "price" of an embedding is inextricably linked to the amount of information the model can digest in a single pass. Gemini Embedding 2 provides a maximum input window of 8,192 tokens, a fourfold increase over many legacy models, which allows for the processing of extensive documents or long-form textual descriptions without the semantic loss associated with aggressive chunking.</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However, multimodality introduces specific constraints that affect the effective cost of a request. The model supports up to six images, 128 seconds of video, 80 seconds of audio, or a six-page PDF document per individual request. Each of these inputs consumes a portion of the token budget and is billed according to the complexity of the media.</w:t>
      </w:r>
    </w:p>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Modality Input Limits and Metadata</w:t>
      </w:r>
    </w:p>
    <w:tbl>
      <w:tblPr>
        <w:tblW w:w="0" w:type="auto"/>
        <w:tblCellSpacing w:w="15" w:type="dxa"/>
        <w:tblCellMar>
          <w:left w:w="0" w:type="dxa"/>
          <w:right w:w="0" w:type="dxa"/>
        </w:tblCellMar>
        <w:tblLook w:val="04A0" w:firstRow="1" w:lastRow="0" w:firstColumn="1" w:lastColumn="0" w:noHBand="0" w:noVBand="1"/>
      </w:tblPr>
      <w:tblGrid>
        <w:gridCol w:w="1189"/>
        <w:gridCol w:w="1467"/>
        <w:gridCol w:w="2761"/>
        <w:gridCol w:w="2688"/>
      </w:tblGrid>
      <w:tr w:rsidR="00E30C9B" w:rsidRPr="00E30C9B" w:rsidTr="00E30C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Modality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Input Limit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Supported MIME Types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Architectural Impact</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8,192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Plain text,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Expanded RAG context</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Images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6 images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image/png, image/jpeg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Text-to-image comparison</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Video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128 seconds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video/mp4, video/mpeg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Temporal semantic capture</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Audio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80 seconds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audio/mp3, audio/wav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Tone/Emotion retention</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PDF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6 pages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application/pdf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Layout-aware embedding</w:t>
            </w:r>
          </w:p>
        </w:tc>
      </w:tr>
    </w:tbl>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The native processing of audio is perhaps the most significant economic innovation of Gemini Embedding 2. By bypassing the transcription phase, users avoid the per-minute costs of Speech-to-Text (STT) services, which often range from $0.01 to $0.02 per minute. For a corpus of 10,000 hours of audio, this represents a direct saving of approximately $6,000 to $12,000 in transcription fees alone, before the embedding costs are even considered.</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lastRenderedPageBreak/>
        <w:t>Platform-Specific Pricing: Google AI Studio vs. Vertex AI</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The effective price of Gemini Embedding 2 also depends on the choice of delivery platform. Google AI Studio and Vertex AI offer distinct billing and operational philosophies, catering to different segments of the developer and enterprise market.</w:t>
      </w:r>
    </w:p>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Google AI Studio: Free and Paid Tiers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Google AI Studio provides a robust entry point for developers through its tiered system. The Free Tier allows for 100 requests per minute (RPM) and 30,000 tokens per minute (TPM), with a daily cap of 1,000 requests (RPD). While this is ideal for prototyping, it comes with the caveat that Google may use the data to improve its products.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Upon enabling billing, users are moved to Tier 1, which increases throughput significantly. For embeddings, Tier 1 offers 300 RPM and 1 million TPM. As cumulative spend on the Google Cloud account increases—reaching $250 for Tier 2 and $1,000 for Tier 3—the rate limits expand accordingly, reaching upwards of 2,000 RPM and multi-million TPM.</w:t>
      </w:r>
    </w:p>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AI Studio Rate Limits for Embedding Models</w:t>
      </w:r>
    </w:p>
    <w:tbl>
      <w:tblPr>
        <w:tblW w:w="0" w:type="auto"/>
        <w:tblCellSpacing w:w="15" w:type="dxa"/>
        <w:tblCellMar>
          <w:left w:w="0" w:type="dxa"/>
          <w:right w:w="0" w:type="dxa"/>
        </w:tblCellMar>
        <w:tblLook w:val="04A0" w:firstRow="1" w:lastRow="0" w:firstColumn="1" w:lastColumn="0" w:noHBand="0" w:noVBand="1"/>
      </w:tblPr>
      <w:tblGrid>
        <w:gridCol w:w="835"/>
        <w:gridCol w:w="916"/>
        <w:gridCol w:w="1567"/>
        <w:gridCol w:w="1214"/>
        <w:gridCol w:w="2575"/>
      </w:tblGrid>
      <w:tr w:rsidR="00E30C9B" w:rsidRPr="00E30C9B" w:rsidTr="00E30C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Tier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TPM (Input)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RPD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Data Usage for Training</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Free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30,000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Yes</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Tier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300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1,000,000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No</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Tier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2,000,000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No</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Tier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2,000+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5,000,000+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Unlimited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No</w:t>
            </w:r>
          </w:p>
        </w:tc>
      </w:tr>
    </w:tbl>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Vertex AI: Enterprise-Grade Consumption</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On Vertex AI, the model is priced through a purely consumption-based Pay-As-You-Go (PayGo) model. In this environment, the $0.20 per 1M token rate is supplemented by regional availability and the possibility of Provisioned Throughput for mission-critical applications that require guaranteed low latency. Vertex AI also integrates with broader services like Vector Search (formerly Matching Engine), which carries its own indexing and query costs.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lastRenderedPageBreak/>
        <w:t>For organizations using Vertex AI Search, semantic indexing carries an additional fee of $0.75 per 1,000 counts plus $1.50 per GB per month for embedding storage. These fees cover the management of the vector database and the underlying infrastructure required to maintain high-availability retrieval.</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Matryoshka Representation Learning: Reducing Downstream Costs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A primary technical and economic advantage of Gemini Embedding 2 is its implementation of Matryoshka Representation Learning (MRL). Traditional embedding models produce a fixed-size vector, but MRL allows the model to "nest" semantic information, enabling developers to truncate the default 3,072-dimensional vector into smaller sizes—such as 1,536, 768, 512, or even 128—without a proportional loss in accuracy.</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The economic implications of MRL are profound when considering the storage costs of vector databases. While the inference price ($0.20 per 1M tokens) remains constant regardless of the output dimension, the cost of storing and querying those vectors scales linearly with their size.</w:t>
      </w:r>
    </w:p>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MTEB Performance vs. Dimensional Storage Requirements</w:t>
      </w:r>
    </w:p>
    <w:tbl>
      <w:tblPr>
        <w:tblW w:w="0" w:type="auto"/>
        <w:tblCellSpacing w:w="15" w:type="dxa"/>
        <w:tblCellMar>
          <w:left w:w="0" w:type="dxa"/>
          <w:right w:w="0" w:type="dxa"/>
        </w:tblCellMar>
        <w:tblLook w:val="04A0" w:firstRow="1" w:lastRow="0" w:firstColumn="1" w:lastColumn="0" w:noHBand="0" w:noVBand="1"/>
      </w:tblPr>
      <w:tblGrid>
        <w:gridCol w:w="1442"/>
        <w:gridCol w:w="2242"/>
        <w:gridCol w:w="1891"/>
        <w:gridCol w:w="2715"/>
      </w:tblGrid>
      <w:tr w:rsidR="00E30C9B" w:rsidRPr="00E30C9B" w:rsidTr="00E30C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Dimensions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MTEB Score (Baseline)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Storage Reduction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Recommended Use Case</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3,072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68.16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Maximum precision, large RAG</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1,536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68.17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Optimal price-performance</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768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67.99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Production sweet spot</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67.55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83.3%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Latency-critical apps</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66.19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91.6%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High-volume classification</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128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63.31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95.8%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Extreme compression</w:t>
            </w:r>
          </w:p>
        </w:tc>
      </w:tr>
    </w:tbl>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 xml:space="preserve">Data indicates that reducing a vector from 3,072 to 768 dimensions results in a 75% reduction in storage costs while maintaining 99.7% of the original semantic accuracy on the MTEB benchmark. For an enterprise managing 100 million embeddings, this </w:t>
      </w:r>
      <w:r w:rsidRPr="00E30C9B">
        <w:rPr>
          <w:rFonts w:ascii="Times New Roman" w:eastAsia="Times New Roman" w:hAnsi="Times New Roman" w:cs="Times New Roman"/>
          <w:color w:val="1F1F1F"/>
          <w:sz w:val="24"/>
          <w:szCs w:val="24"/>
          <w:bdr w:val="none" w:sz="0" w:space="0" w:color="auto" w:frame="1"/>
        </w:rPr>
        <w:lastRenderedPageBreak/>
        <w:t>optimization could represent the difference between an annual storage bill of $50,000 and $12,500.</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Competitive Market Analysis and Value Benchmarking</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 xml:space="preserve">When compared to its primary competitors—OpenAI and Cohere—Gemini Embedding 2 occupies a premium position based on its multimodal capabilities. OpenAI’s </w:t>
      </w:r>
      <w:r w:rsidRPr="00E30C9B">
        <w:rPr>
          <w:rFonts w:ascii="Courier New" w:eastAsia="Times New Roman" w:hAnsi="Courier New" w:cs="Courier New"/>
          <w:color w:val="444746"/>
          <w:sz w:val="20"/>
          <w:szCs w:val="20"/>
          <w:bdr w:val="none" w:sz="0" w:space="0" w:color="auto" w:frame="1"/>
        </w:rPr>
        <w:t>text-embedding-3-large</w:t>
      </w:r>
      <w:r w:rsidRPr="00E30C9B">
        <w:rPr>
          <w:rFonts w:ascii="Times New Roman" w:eastAsia="Times New Roman" w:hAnsi="Times New Roman" w:cs="Times New Roman"/>
          <w:color w:val="1F1F1F"/>
          <w:sz w:val="24"/>
          <w:szCs w:val="24"/>
          <w:bdr w:val="none" w:sz="0" w:space="0" w:color="auto" w:frame="1"/>
        </w:rPr>
        <w:t xml:space="preserve"> is priced at $0.13 per million tokens, while Cohere’s </w:t>
      </w:r>
      <w:r w:rsidRPr="00E30C9B">
        <w:rPr>
          <w:rFonts w:ascii="Courier New" w:eastAsia="Times New Roman" w:hAnsi="Courier New" w:cs="Courier New"/>
          <w:color w:val="444746"/>
          <w:sz w:val="20"/>
          <w:szCs w:val="20"/>
          <w:bdr w:val="none" w:sz="0" w:space="0" w:color="auto" w:frame="1"/>
        </w:rPr>
        <w:t>Embed v3</w:t>
      </w:r>
      <w:r w:rsidRPr="00E30C9B">
        <w:rPr>
          <w:rFonts w:ascii="Times New Roman" w:eastAsia="Times New Roman" w:hAnsi="Times New Roman" w:cs="Times New Roman"/>
          <w:color w:val="1F1F1F"/>
          <w:sz w:val="24"/>
          <w:szCs w:val="24"/>
          <w:bdr w:val="none" w:sz="0" w:space="0" w:color="auto" w:frame="1"/>
        </w:rPr>
        <w:t xml:space="preserve"> is available for $0.10. However, both models are strictly text-based, meaning they cannot directly index images, video, or raw audio.</w:t>
      </w:r>
    </w:p>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Comparative Pricing: Gemini vs. Industry Peers</w:t>
      </w:r>
    </w:p>
    <w:tbl>
      <w:tblPr>
        <w:tblW w:w="0" w:type="auto"/>
        <w:tblCellSpacing w:w="15" w:type="dxa"/>
        <w:tblCellMar>
          <w:left w:w="0" w:type="dxa"/>
          <w:right w:w="0" w:type="dxa"/>
        </w:tblCellMar>
        <w:tblLook w:val="04A0" w:firstRow="1" w:lastRow="0" w:firstColumn="1" w:lastColumn="0" w:noHBand="0" w:noVBand="1"/>
      </w:tblPr>
      <w:tblGrid>
        <w:gridCol w:w="2070"/>
        <w:gridCol w:w="2134"/>
        <w:gridCol w:w="2493"/>
        <w:gridCol w:w="1593"/>
      </w:tblGrid>
      <w:tr w:rsidR="00E30C9B" w:rsidRPr="00E30C9B" w:rsidTr="00E30C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Gemini Embedding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OpenAI text-embedding-3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Cohere Embed v3</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Price (1M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$0.10</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Multimodal 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Yes (Native)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No</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Max Context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8,192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8,191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512</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Task Instructions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Yes</w:t>
            </w:r>
          </w:p>
        </w:tc>
      </w:tr>
      <w:tr w:rsidR="00E30C9B" w:rsidRPr="00E30C9B" w:rsidTr="00E30C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Dimensionality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Flexible (MRL)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Flexible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Fixed</w:t>
            </w:r>
          </w:p>
        </w:tc>
      </w:tr>
    </w:tbl>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The true value proposition of Gemini Embedding 2 lies in its benchmark performance. In head-to-head testing, the model has demonstrated significant leads in specialized domains. Everlaw, for instance, reported that Gemini achieved 87% accuracy in semantic search across legal documents, compared to 73% for OpenAI. Similarly, in fintech transaction classification, Gemini Embedding 2 showed a 1.9% improvement in F1 scores over previous-generation models, enabling more precise liquidity insights for global B2B banking.</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Mathematical Foundations of Similarity and Normalization</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rPr>
        <w:t xml:space="preserve">The efficacy of Gemini Embedding 2 is rooted in its ability to map diverse inputs into a normalized vector space. Similarity between vectors </w:t>
      </w:r>
      <w:r w:rsidRPr="00E30C9B">
        <w:rPr>
          <w:rFonts w:ascii="Times New Roman" w:eastAsia="Times New Roman" w:hAnsi="Times New Roman" w:cs="Times New Roman"/>
          <w:color w:val="1F1F1F"/>
          <w:sz w:val="24"/>
          <w:szCs w:val="24"/>
          <w:bdr w:val="none" w:sz="0" w:space="0" w:color="auto" w:frame="1"/>
        </w:rPr>
        <w:t>$A$</w:t>
      </w:r>
      <w:r w:rsidRPr="00E30C9B">
        <w:rPr>
          <w:rFonts w:ascii="Times New Roman" w:eastAsia="Times New Roman" w:hAnsi="Times New Roman" w:cs="Times New Roman"/>
          <w:color w:val="1F1F1F"/>
          <w:sz w:val="24"/>
          <w:szCs w:val="24"/>
        </w:rPr>
        <w:t xml:space="preserve"> and </w:t>
      </w:r>
      <w:r w:rsidRPr="00E30C9B">
        <w:rPr>
          <w:rFonts w:ascii="Times New Roman" w:eastAsia="Times New Roman" w:hAnsi="Times New Roman" w:cs="Times New Roman"/>
          <w:color w:val="1F1F1F"/>
          <w:sz w:val="24"/>
          <w:szCs w:val="24"/>
          <w:bdr w:val="none" w:sz="0" w:space="0" w:color="auto" w:frame="1"/>
        </w:rPr>
        <w:t>$B$</w:t>
      </w:r>
      <w:r w:rsidRPr="00E30C9B">
        <w:rPr>
          <w:rFonts w:ascii="Times New Roman" w:eastAsia="Times New Roman" w:hAnsi="Times New Roman" w:cs="Times New Roman"/>
          <w:color w:val="1F1F1F"/>
          <w:sz w:val="24"/>
          <w:szCs w:val="24"/>
        </w:rPr>
        <w:t xml:space="preserve"> is typically </w:t>
      </w:r>
      <w:r w:rsidRPr="00E30C9B">
        <w:rPr>
          <w:rFonts w:ascii="Times New Roman" w:eastAsia="Times New Roman" w:hAnsi="Times New Roman" w:cs="Times New Roman"/>
          <w:color w:val="1F1F1F"/>
          <w:sz w:val="24"/>
          <w:szCs w:val="24"/>
        </w:rPr>
        <w:lastRenderedPageBreak/>
        <w:t>calculated via cosine similarity, ensuring that the magnitude of the vector (which might be influenced by input length) does not bias the retrieval results:</w:t>
      </w:r>
    </w:p>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rPr>
        <w:t>$$\text{Similarity}(A, B) = \cos(\theta) = \frac{A \cdot B}{\|A\| \|B\|}$$</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When using truncated dimensions via MRL, it is critical to perform manual normalization to maintain semantic accuracy. The model ensures that the most "important" information is front-loaded into the initial dimensions of the vector, a process that can be modeled as:</w:t>
      </w:r>
    </w:p>
    <w:p w:rsidR="00E30C9B" w:rsidRPr="00E30C9B" w:rsidRDefault="00E30C9B" w:rsidP="00E30C9B">
      <w:pPr>
        <w:bidi w:val="0"/>
        <w:spacing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rPr>
        <w:t>$$V_{truncated} = \text{Normalize}(V[0:k])$$</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where $k$ is the desired dimension size. This mathematical rigor ensures that even at 256 dimensions, the model retains the general topic and context of the input, though it may lose the fine-grained "nuance" required for strict constraints in specialized RAG systems.</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Total Cost of Ownership and Long-term Infrastructure ROI</w:t>
      </w:r>
    </w:p>
    <w:p w:rsidR="00E30C9B" w:rsidRPr="00E30C9B" w:rsidRDefault="00E30C9B" w:rsidP="00E30C9B">
      <w:pPr>
        <w:bidi w:val="0"/>
        <w:spacing w:before="100" w:beforeAutospacing="1" w:after="24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rPr>
        <w:t>For a typical enterprise deployment, the "price" of Gemini Embedding 2 must be calculated as a Total Cost of Ownership (TCO). This includes the initial inference, the storage in a vector database, and the eventual query costs.</w:t>
      </w:r>
    </w:p>
    <w:p w:rsidR="00E30C9B" w:rsidRPr="00E30C9B" w:rsidRDefault="00E30C9B" w:rsidP="00E30C9B">
      <w:pPr>
        <w:bidi w:val="0"/>
        <w:spacing w:before="100" w:beforeAutospacing="1" w:after="120" w:line="240" w:lineRule="auto"/>
        <w:outlineLvl w:val="2"/>
        <w:rPr>
          <w:rFonts w:ascii="Times New Roman" w:eastAsia="Times New Roman" w:hAnsi="Times New Roman" w:cs="Times New Roman"/>
          <w:b/>
          <w:bCs/>
          <w:color w:val="1F1F1F"/>
          <w:sz w:val="27"/>
          <w:szCs w:val="27"/>
        </w:rPr>
      </w:pPr>
      <w:r w:rsidRPr="00E30C9B">
        <w:rPr>
          <w:rFonts w:ascii="Times New Roman" w:eastAsia="Times New Roman" w:hAnsi="Times New Roman" w:cs="Times New Roman"/>
          <w:b/>
          <w:bCs/>
          <w:color w:val="1F1F1F"/>
          <w:sz w:val="27"/>
          <w:szCs w:val="27"/>
        </w:rPr>
        <w:t>Scenario: Indexing 10 Million Technical Documents</w:t>
      </w:r>
    </w:p>
    <w:p w:rsidR="00E30C9B" w:rsidRPr="00E30C9B" w:rsidRDefault="00E30C9B" w:rsidP="00E30C9B">
      <w:pPr>
        <w:bidi w:val="0"/>
        <w:spacing w:before="100" w:beforeAutospacing="1" w:after="12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rPr>
        <w:t>Consider an organization with 10 million documents, each averaging 1,000 tokens, requiring a RAG system.</w:t>
      </w:r>
    </w:p>
    <w:p w:rsidR="00E30C9B" w:rsidRPr="00E30C9B" w:rsidRDefault="00E30C9B" w:rsidP="00E30C9B">
      <w:pPr>
        <w:numPr>
          <w:ilvl w:val="0"/>
          <w:numId w:val="1"/>
        </w:numPr>
        <w:bidi w:val="0"/>
        <w:spacing w:before="100" w:beforeAutospacing="1" w:after="0" w:line="240" w:lineRule="auto"/>
        <w:ind w:left="0"/>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Inference Cost (Batch):</w:t>
      </w:r>
      <w:r w:rsidRPr="00E30C9B">
        <w:rPr>
          <w:rFonts w:ascii="Times New Roman" w:eastAsia="Times New Roman" w:hAnsi="Times New Roman" w:cs="Times New Roman"/>
          <w:color w:val="1F1F1F"/>
          <w:sz w:val="24"/>
          <w:szCs w:val="24"/>
          <w:bdr w:val="none" w:sz="0" w:space="0" w:color="auto" w:frame="1"/>
        </w:rPr>
        <w:t xml:space="preserve"> $10M \text{ docs} \times 1,000 \text{ tokens} / 1M \times \$0.10 = \$1,000$.</w:t>
      </w:r>
    </w:p>
    <w:p w:rsidR="00E30C9B" w:rsidRPr="00E30C9B" w:rsidRDefault="00E30C9B" w:rsidP="00E30C9B">
      <w:pPr>
        <w:numPr>
          <w:ilvl w:val="0"/>
          <w:numId w:val="1"/>
        </w:numPr>
        <w:bidi w:val="0"/>
        <w:spacing w:before="100" w:beforeAutospacing="1" w:after="0" w:line="240" w:lineRule="auto"/>
        <w:ind w:left="0"/>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Storage Cost (768 Dimensions):</w:t>
      </w:r>
      <w:r w:rsidRPr="00E30C9B">
        <w:rPr>
          <w:rFonts w:ascii="Times New Roman" w:eastAsia="Times New Roman" w:hAnsi="Times New Roman" w:cs="Times New Roman"/>
          <w:color w:val="1F1F1F"/>
          <w:sz w:val="24"/>
          <w:szCs w:val="24"/>
          <w:bdr w:val="none" w:sz="0" w:space="0" w:color="auto" w:frame="1"/>
        </w:rPr>
        <w:t xml:space="preserve"> 10 million vectors at 768 dimensions typically consume ~30GB of storage. At $1.50 per GB, this is $45/month.</w:t>
      </w:r>
    </w:p>
    <w:p w:rsidR="00E30C9B" w:rsidRPr="00E30C9B" w:rsidRDefault="00E30C9B" w:rsidP="00E30C9B">
      <w:pPr>
        <w:numPr>
          <w:ilvl w:val="0"/>
          <w:numId w:val="1"/>
        </w:numPr>
        <w:bidi w:val="0"/>
        <w:spacing w:before="100" w:beforeAutospacing="1" w:after="0" w:line="240" w:lineRule="auto"/>
        <w:ind w:left="0"/>
        <w:rPr>
          <w:rFonts w:ascii="Times New Roman" w:eastAsia="Times New Roman" w:hAnsi="Times New Roman" w:cs="Times New Roman"/>
          <w:color w:val="1F1F1F"/>
          <w:sz w:val="24"/>
          <w:szCs w:val="24"/>
        </w:rPr>
      </w:pPr>
      <w:r w:rsidRPr="00E30C9B">
        <w:rPr>
          <w:rFonts w:ascii="Times New Roman" w:eastAsia="Times New Roman" w:hAnsi="Times New Roman" w:cs="Times New Roman"/>
          <w:b/>
          <w:bCs/>
          <w:color w:val="1F1F1F"/>
          <w:sz w:val="24"/>
          <w:szCs w:val="24"/>
          <w:bdr w:val="none" w:sz="0" w:space="0" w:color="auto" w:frame="1"/>
        </w:rPr>
        <w:t>Query Cost (Vertex AI Search):</w:t>
      </w:r>
      <w:r w:rsidRPr="00E30C9B">
        <w:rPr>
          <w:rFonts w:ascii="Times New Roman" w:eastAsia="Times New Roman" w:hAnsi="Times New Roman" w:cs="Times New Roman"/>
          <w:color w:val="1F1F1F"/>
          <w:sz w:val="24"/>
          <w:szCs w:val="24"/>
          <w:bdr w:val="none" w:sz="0" w:space="0" w:color="auto" w:frame="1"/>
        </w:rPr>
        <w:t xml:space="preserve"> If the system handles 100,000 queries per month, the query cost is $150 (at $1.50 per 1,000 queries).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Total annual operating cost (exclusive of base cloud fees): Approximately $3,340. The shift to a multimodal model like Gemini Embedding 2 allows this same infrastructure to suddenly support image and video queries of the same documentation without additional architectural overhaul, providing a significant "future-proofing" ROI.</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Migration Strategies and Lifecycle Management</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 xml:space="preserve">The introduction of Gemini Embedding 2 necessitates a careful migration strategy for existing users. Because embedding spaces are generally incompatible between model versions, teams currently using </w:t>
      </w:r>
      <w:r w:rsidRPr="00E30C9B">
        <w:rPr>
          <w:rFonts w:ascii="Courier New" w:eastAsia="Times New Roman" w:hAnsi="Courier New" w:cs="Courier New"/>
          <w:color w:val="444746"/>
          <w:sz w:val="20"/>
          <w:szCs w:val="20"/>
          <w:bdr w:val="none" w:sz="0" w:space="0" w:color="auto" w:frame="1"/>
        </w:rPr>
        <w:t>gemini-embedding-001</w:t>
      </w:r>
      <w:r w:rsidRPr="00E30C9B">
        <w:rPr>
          <w:rFonts w:ascii="Times New Roman" w:eastAsia="Times New Roman" w:hAnsi="Times New Roman" w:cs="Times New Roman"/>
          <w:color w:val="1F1F1F"/>
          <w:sz w:val="24"/>
          <w:szCs w:val="24"/>
          <w:bdr w:val="none" w:sz="0" w:space="0" w:color="auto" w:frame="1"/>
        </w:rPr>
        <w:t xml:space="preserve"> or </w:t>
      </w:r>
      <w:r w:rsidRPr="00E30C9B">
        <w:rPr>
          <w:rFonts w:ascii="Courier New" w:eastAsia="Times New Roman" w:hAnsi="Courier New" w:cs="Courier New"/>
          <w:color w:val="444746"/>
          <w:sz w:val="20"/>
          <w:szCs w:val="20"/>
          <w:bdr w:val="none" w:sz="0" w:space="0" w:color="auto" w:frame="1"/>
        </w:rPr>
        <w:t>text-embedding-004</w:t>
      </w:r>
      <w:r w:rsidRPr="00E30C9B">
        <w:rPr>
          <w:rFonts w:ascii="Times New Roman" w:eastAsia="Times New Roman" w:hAnsi="Times New Roman" w:cs="Times New Roman"/>
          <w:color w:val="1F1F1F"/>
          <w:sz w:val="24"/>
          <w:szCs w:val="24"/>
          <w:bdr w:val="none" w:sz="0" w:space="0" w:color="auto" w:frame="1"/>
        </w:rPr>
        <w:t xml:space="preserve"> must re-index their entire dataset to take advantage of the new capabilities.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lastRenderedPageBreak/>
        <w:t xml:space="preserve">Failure to re-index results in a "semantic mismatch" where query vectors from the new model will not align with database vectors from the old model. Given that the batch pricing of Gemini Embedding 2 is equal to the standard pricing of the retired </w:t>
      </w:r>
      <w:r w:rsidRPr="00E30C9B">
        <w:rPr>
          <w:rFonts w:ascii="Courier New" w:eastAsia="Times New Roman" w:hAnsi="Courier New" w:cs="Courier New"/>
          <w:color w:val="444746"/>
          <w:sz w:val="20"/>
          <w:szCs w:val="20"/>
          <w:bdr w:val="none" w:sz="0" w:space="0" w:color="auto" w:frame="1"/>
        </w:rPr>
        <w:t>text-embedding-004</w:t>
      </w:r>
      <w:r w:rsidRPr="00E30C9B">
        <w:rPr>
          <w:rFonts w:ascii="Times New Roman" w:eastAsia="Times New Roman" w:hAnsi="Times New Roman" w:cs="Times New Roman"/>
          <w:color w:val="1F1F1F"/>
          <w:sz w:val="24"/>
          <w:szCs w:val="24"/>
          <w:bdr w:val="none" w:sz="0" w:space="0" w:color="auto" w:frame="1"/>
        </w:rPr>
        <w:t xml:space="preserve"> ($0.10 per 1M tokens), Google has effectively provided a path for migration that maintains cost-neutrality for large-scale indexing.</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Future Outlook and Emerging Industry Trends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As of March 2026, the trend in semantic vectorization is moving toward "unified intelligence". Gemini Embedding 2 is the first model to successfully commoditize native multimodal embeddings at a price point accessible to mid-market developers. The future of this technology likely involves even larger context windows and the inclusion of more exotic modalities, such as sensor data or proprietary proprietary formats like 3D CAD files.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The economic pressure from competitors like OpenAI and the open-source community (e.g., the E5 and BGE model series) will likely keep pricing stable, but the differentiator will remain "capability-per-token". By offering 8,192 tokens and multimodal support at $0.20 per million tokens, Gemini Embedding 2 positions itself as the infrastructure of choice for the next generation of "AI-first" applications that treat all media as equally searchable and comparable.</w:t>
      </w:r>
    </w:p>
    <w:p w:rsidR="00E30C9B" w:rsidRPr="00E30C9B" w:rsidRDefault="00E30C9B" w:rsidP="00E30C9B">
      <w:pPr>
        <w:bidi w:val="0"/>
        <w:spacing w:before="100" w:beforeAutospacing="1" w:after="120" w:line="240" w:lineRule="auto"/>
        <w:outlineLvl w:val="1"/>
        <w:rPr>
          <w:rFonts w:ascii="Times New Roman" w:eastAsia="Times New Roman" w:hAnsi="Times New Roman" w:cs="Times New Roman"/>
          <w:b/>
          <w:bCs/>
          <w:color w:val="1F1F1F"/>
          <w:sz w:val="36"/>
          <w:szCs w:val="36"/>
        </w:rPr>
      </w:pPr>
      <w:r w:rsidRPr="00E30C9B">
        <w:rPr>
          <w:rFonts w:ascii="Times New Roman" w:eastAsia="Times New Roman" w:hAnsi="Times New Roman" w:cs="Times New Roman"/>
          <w:b/>
          <w:bCs/>
          <w:color w:val="1F1F1F"/>
          <w:sz w:val="36"/>
          <w:szCs w:val="36"/>
        </w:rPr>
        <w:t>Operational Guidelines for Vertex AI Implementation</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 xml:space="preserve">Implementing Gemini Embedding 2 on Vertex AI requires adherence to specific service quotas and location restrictions. To ensure high availability, developers should utilize the </w:t>
      </w:r>
      <w:r w:rsidRPr="00E30C9B">
        <w:rPr>
          <w:rFonts w:ascii="Courier New" w:eastAsia="Times New Roman" w:hAnsi="Courier New" w:cs="Courier New"/>
          <w:color w:val="444746"/>
          <w:sz w:val="20"/>
          <w:szCs w:val="20"/>
          <w:bdr w:val="none" w:sz="0" w:space="0" w:color="auto" w:frame="1"/>
        </w:rPr>
        <w:t>aiplatform.googleapis.com/textembedding_gecko_concurrent_batch_prediction_jobs</w:t>
      </w:r>
      <w:r w:rsidRPr="00E30C9B">
        <w:rPr>
          <w:rFonts w:ascii="Times New Roman" w:eastAsia="Times New Roman" w:hAnsi="Times New Roman" w:cs="Times New Roman"/>
          <w:color w:val="1F1F1F"/>
          <w:sz w:val="24"/>
          <w:szCs w:val="24"/>
          <w:bdr w:val="none" w:sz="0" w:space="0" w:color="auto" w:frame="1"/>
        </w:rPr>
        <w:t xml:space="preserve"> quota management tool in the Google Cloud console. Requests are only charged when they return a 200 success code; 4xx and 5xx errors do not incur token costs, providing a level of financial protection against infrastructure or API failures.</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Additionally, character counts in the text modality are calculated by UTF-8 code points, with whitespace typically excluded from the billing count, though this can vary depending on the specific model endpoint used. This nuance can lead to a 5-10% cost reduction in token-heavy, whitespace-rich data such as raw code or formatted tabular data.</w:t>
      </w:r>
    </w:p>
    <w:p w:rsidR="00E30C9B" w:rsidRPr="00E30C9B" w:rsidRDefault="00E30C9B" w:rsidP="00E30C9B">
      <w:pPr>
        <w:bidi w:val="0"/>
        <w:spacing w:before="100" w:beforeAutospacing="1" w:after="0" w:line="240" w:lineRule="auto"/>
        <w:rPr>
          <w:rFonts w:ascii="Times New Roman" w:eastAsia="Times New Roman" w:hAnsi="Times New Roman" w:cs="Times New Roman"/>
          <w:color w:val="1F1F1F"/>
          <w:sz w:val="24"/>
          <w:szCs w:val="24"/>
        </w:rPr>
      </w:pPr>
      <w:r w:rsidRPr="00E30C9B">
        <w:rPr>
          <w:rFonts w:ascii="Times New Roman" w:eastAsia="Times New Roman" w:hAnsi="Times New Roman" w:cs="Times New Roman"/>
          <w:color w:val="1F1F1F"/>
          <w:sz w:val="24"/>
          <w:szCs w:val="24"/>
          <w:bdr w:val="none" w:sz="0" w:space="0" w:color="auto" w:frame="1"/>
        </w:rPr>
        <w:t>In conclusion, the $0.20 per million token price for Gemini Embedding 2 represents a strategic valuation of "Native Multimodality". While more expensive than legacy text-only models, its ability to collapse complex media pipelines into a single, efficient vector space—optimized by Matryoshka learning—provides a superior economic and technical foundation for modern AI architectures.</w:t>
      </w:r>
    </w:p>
    <w:p w:rsidR="0040226B" w:rsidRPr="00E30C9B" w:rsidRDefault="0040226B">
      <w:pPr>
        <w:rPr>
          <w:rFonts w:hint="cs"/>
        </w:rPr>
      </w:pPr>
      <w:bookmarkStart w:id="0" w:name="_GoBack"/>
      <w:bookmarkEnd w:id="0"/>
    </w:p>
    <w:sectPr w:rsidR="0040226B" w:rsidRPr="00E30C9B" w:rsidSect="009A33E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870AE1"/>
    <w:multiLevelType w:val="multilevel"/>
    <w:tmpl w:val="2DE6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A22"/>
    <w:rsid w:val="0040226B"/>
    <w:rsid w:val="00940A22"/>
    <w:rsid w:val="009A33E4"/>
    <w:rsid w:val="00E30C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84E84C-D72B-4D29-9895-8C5ADB2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E30C9B"/>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0C9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0C9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C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0C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0C9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0C9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30C9B"/>
    <w:rPr>
      <w:rFonts w:ascii="Courier New" w:eastAsia="Times New Roman" w:hAnsi="Courier New" w:cs="Courier New"/>
      <w:sz w:val="20"/>
      <w:szCs w:val="20"/>
    </w:rPr>
  </w:style>
  <w:style w:type="character" w:styleId="Strong">
    <w:name w:val="Strong"/>
    <w:basedOn w:val="DefaultParagraphFont"/>
    <w:uiPriority w:val="22"/>
    <w:qFormat/>
    <w:rsid w:val="00E30C9B"/>
    <w:rPr>
      <w:b/>
      <w:bCs/>
    </w:rPr>
  </w:style>
  <w:style w:type="character" w:customStyle="1" w:styleId="math-inline">
    <w:name w:val="math-inline"/>
    <w:basedOn w:val="DefaultParagraphFont"/>
    <w:rsid w:val="00E30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483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2294</Words>
  <Characters>13081</Characters>
  <Application>Microsoft Office Word</Application>
  <DocSecurity>0</DocSecurity>
  <Lines>109</Lines>
  <Paragraphs>30</Paragraphs>
  <ScaleCrop>false</ScaleCrop>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gazy</dc:creator>
  <cp:keywords/>
  <dc:description/>
  <cp:lastModifiedBy>ahmed gazy</cp:lastModifiedBy>
  <cp:revision>2</cp:revision>
  <dcterms:created xsi:type="dcterms:W3CDTF">2026-03-11T20:46:00Z</dcterms:created>
  <dcterms:modified xsi:type="dcterms:W3CDTF">2026-03-11T20:46:00Z</dcterms:modified>
</cp:coreProperties>
</file>