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p>
    <w:p>
      <w:pPr>
        <w:spacing w:after="400"/>
        <w:jc w:val="center"/>
      </w:pPr>
      <w:r>
        <w:drawing>
          <wp:inline xmlns:a="http://schemas.openxmlformats.org/drawingml/2006/main" xmlns:pic="http://schemas.openxmlformats.org/drawingml/2006/picture">
            <wp:extent cx="1645920" cy="1685242"/>
            <wp:docPr id="1" name="Picture 1"/>
            <wp:cNvGraphicFramePr>
              <a:graphicFrameLocks noChangeAspect="1"/>
            </wp:cNvGraphicFramePr>
            <a:graphic>
              <a:graphicData uri="http://schemas.openxmlformats.org/drawingml/2006/picture">
                <pic:pic>
                  <pic:nvPicPr>
                    <pic:cNvPr id="0" name="logo_clinica.png"/>
                    <pic:cNvPicPr/>
                  </pic:nvPicPr>
                  <pic:blipFill>
                    <a:blip r:embed="rId11"/>
                    <a:stretch>
                      <a:fillRect/>
                    </a:stretch>
                  </pic:blipFill>
                  <pic:spPr>
                    <a:xfrm>
                      <a:off x="0" y="0"/>
                      <a:ext cx="1645920" cy="1685242"/>
                    </a:xfrm>
                    <a:prstGeom prst="rect"/>
                  </pic:spPr>
                </pic:pic>
              </a:graphicData>
            </a:graphic>
          </wp:inline>
        </w:drawing>
      </w:r>
    </w:p>
    <w:p>
      <w:pPr>
        <w:spacing w:after="120"/>
        <w:jc w:val="center"/>
      </w:pPr>
      <w:r>
        <w:rPr>
          <w:rFonts w:ascii="Segoe UI" w:hAnsi="Segoe UI"/>
          <w:b/>
          <w:color w:val="0C3C60"/>
          <w:sz w:val="48"/>
        </w:rPr>
        <w:t>MANUAL DE INSTRUÇÕES E UTILIZAÇÃO</w:t>
      </w:r>
    </w:p>
    <w:p>
      <w:pPr>
        <w:spacing w:after="700"/>
        <w:jc w:val="center"/>
      </w:pPr>
      <w:r>
        <w:rPr>
          <w:rFonts w:ascii="Segoe UI" w:hAnsi="Segoe UI"/>
          <w:color w:val="165A8C"/>
          <w:sz w:val="26"/>
        </w:rPr>
        <w:t>Aplicação de Gestão Clínica, Planeamento Cirúrgico e Controlo de Stock Galimplant (V2)</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543"/>
        <w:gridCol w:w="4543"/>
      </w:tblGrid>
      <w:tr>
        <w:tc>
          <w:tcPr>
            <w:tcW w:type="dxa" w:w="3168"/>
            <w:shd w:fill="F4F6F9"/>
            <w:tcMar>
              <w:top w:w="90" w:type="dxa"/>
              <w:bottom w:w="90" w:type="dxa"/>
              <w:left w:w="120" w:type="dxa"/>
              <w:right w:w="120" w:type="dxa"/>
            </w:tcMar>
          </w:tcPr>
          <w:p>
            <w:pPr>
              <w:spacing w:after="40"/>
            </w:pPr>
            <w:r>
              <w:rPr>
                <w:rFonts w:ascii="Segoe UI" w:hAnsi="Segoe UI"/>
                <w:b/>
                <w:color w:val="0C3C60"/>
                <w:sz w:val="19"/>
              </w:rPr>
              <w:t>Entidade Clínica:</w:t>
            </w:r>
          </w:p>
        </w:tc>
        <w:tc>
          <w:tcPr>
            <w:tcW w:type="dxa" w:w="6192"/>
            <w:shd w:fill="FFFFFF"/>
            <w:tcMar>
              <w:top w:w="90" w:type="dxa"/>
              <w:bottom w:w="90" w:type="dxa"/>
              <w:left w:w="120" w:type="dxa"/>
              <w:right w:w="120" w:type="dxa"/>
            </w:tcMar>
          </w:tcPr>
          <w:p>
            <w:pPr>
              <w:spacing w:after="40"/>
            </w:pPr>
            <w:r>
              <w:rPr>
                <w:rFonts w:ascii="Segoe UI" w:hAnsi="Segoe UI"/>
                <w:color w:val="333333"/>
                <w:sz w:val="19"/>
              </w:rPr>
              <w:t>Clínica Médico-Dentária de Aver-o-Mar, Lda</w:t>
            </w:r>
          </w:p>
        </w:tc>
      </w:tr>
      <w:tr>
        <w:tc>
          <w:tcPr>
            <w:tcW w:type="dxa" w:w="3168"/>
            <w:shd w:fill="F4F6F9"/>
            <w:tcMar>
              <w:top w:w="90" w:type="dxa"/>
              <w:bottom w:w="90" w:type="dxa"/>
              <w:left w:w="120" w:type="dxa"/>
              <w:right w:w="120" w:type="dxa"/>
            </w:tcMar>
          </w:tcPr>
          <w:p>
            <w:pPr>
              <w:spacing w:after="40"/>
            </w:pPr>
            <w:r>
              <w:rPr>
                <w:rFonts w:ascii="Segoe UI" w:hAnsi="Segoe UI"/>
                <w:b/>
                <w:color w:val="0C3C60"/>
                <w:sz w:val="19"/>
              </w:rPr>
              <w:t>Direção Clínica:</w:t>
            </w:r>
          </w:p>
        </w:tc>
        <w:tc>
          <w:tcPr>
            <w:tcW w:type="dxa" w:w="6192"/>
            <w:shd w:fill="FFFFFF"/>
            <w:tcMar>
              <w:top w:w="90" w:type="dxa"/>
              <w:bottom w:w="90" w:type="dxa"/>
              <w:left w:w="120" w:type="dxa"/>
              <w:right w:w="120" w:type="dxa"/>
            </w:tcMar>
          </w:tcPr>
          <w:p>
            <w:pPr>
              <w:spacing w:after="40"/>
            </w:pPr>
            <w:r>
              <w:rPr>
                <w:rFonts w:ascii="Segoe UI" w:hAnsi="Segoe UI"/>
                <w:color w:val="333333"/>
                <w:sz w:val="19"/>
              </w:rPr>
              <w:t>Dr. Luís Zeferino (Cédula Profissional OMD 01162)</w:t>
            </w:r>
          </w:p>
        </w:tc>
      </w:tr>
      <w:tr>
        <w:tc>
          <w:tcPr>
            <w:tcW w:type="dxa" w:w="3168"/>
            <w:shd w:fill="F4F6F9"/>
            <w:tcMar>
              <w:top w:w="90" w:type="dxa"/>
              <w:bottom w:w="90" w:type="dxa"/>
              <w:left w:w="120" w:type="dxa"/>
              <w:right w:w="120" w:type="dxa"/>
            </w:tcMar>
          </w:tcPr>
          <w:p>
            <w:pPr>
              <w:spacing w:after="40"/>
            </w:pPr>
            <w:r>
              <w:rPr>
                <w:rFonts w:ascii="Segoe UI" w:hAnsi="Segoe UI"/>
                <w:b/>
                <w:color w:val="0C3C60"/>
                <w:sz w:val="19"/>
              </w:rPr>
              <w:t>Localização:</w:t>
            </w:r>
          </w:p>
        </w:tc>
        <w:tc>
          <w:tcPr>
            <w:tcW w:type="dxa" w:w="6192"/>
            <w:shd w:fill="FFFFFF"/>
            <w:tcMar>
              <w:top w:w="90" w:type="dxa"/>
              <w:bottom w:w="90" w:type="dxa"/>
              <w:left w:w="120" w:type="dxa"/>
              <w:right w:w="120" w:type="dxa"/>
            </w:tcMar>
          </w:tcPr>
          <w:p>
            <w:pPr>
              <w:spacing w:after="40"/>
            </w:pPr>
            <w:r>
              <w:rPr>
                <w:rFonts w:ascii="Segoe UI" w:hAnsi="Segoe UI"/>
                <w:color w:val="333333"/>
                <w:sz w:val="19"/>
              </w:rPr>
              <w:t>Rua Aquilino Ribeiro, 315 — 4900-441 Viana do Castelo</w:t>
            </w:r>
          </w:p>
        </w:tc>
      </w:tr>
      <w:tr>
        <w:tc>
          <w:tcPr>
            <w:tcW w:type="dxa" w:w="3168"/>
            <w:shd w:fill="F4F6F9"/>
            <w:tcMar>
              <w:top w:w="90" w:type="dxa"/>
              <w:bottom w:w="90" w:type="dxa"/>
              <w:left w:w="120" w:type="dxa"/>
              <w:right w:w="120" w:type="dxa"/>
            </w:tcMar>
          </w:tcPr>
          <w:p>
            <w:pPr>
              <w:spacing w:after="40"/>
            </w:pPr>
            <w:r>
              <w:rPr>
                <w:rFonts w:ascii="Segoe UI" w:hAnsi="Segoe UI"/>
                <w:b/>
                <w:color w:val="0C3C60"/>
                <w:sz w:val="19"/>
              </w:rPr>
              <w:t>Versão do Software:</w:t>
            </w:r>
          </w:p>
        </w:tc>
        <w:tc>
          <w:tcPr>
            <w:tcW w:type="dxa" w:w="6192"/>
            <w:shd w:fill="FFFFFF"/>
            <w:tcMar>
              <w:top w:w="90" w:type="dxa"/>
              <w:bottom w:w="90" w:type="dxa"/>
              <w:left w:w="120" w:type="dxa"/>
              <w:right w:w="120" w:type="dxa"/>
            </w:tcMar>
          </w:tcPr>
          <w:p>
            <w:pPr>
              <w:spacing w:after="40"/>
            </w:pPr>
            <w:r>
              <w:rPr>
                <w:rFonts w:ascii="Segoe UI" w:hAnsi="Segoe UI"/>
                <w:color w:val="333333"/>
                <w:sz w:val="19"/>
              </w:rPr>
              <w:t>Galimplant App V2 (Revisão 2026-09)</w:t>
            </w:r>
          </w:p>
        </w:tc>
      </w:tr>
      <w:tr>
        <w:tc>
          <w:tcPr>
            <w:tcW w:type="dxa" w:w="3168"/>
            <w:shd w:fill="F4F6F9"/>
            <w:tcMar>
              <w:top w:w="90" w:type="dxa"/>
              <w:bottom w:w="90" w:type="dxa"/>
              <w:left w:w="120" w:type="dxa"/>
              <w:right w:w="120" w:type="dxa"/>
            </w:tcMar>
          </w:tcPr>
          <w:p>
            <w:pPr>
              <w:spacing w:after="40"/>
            </w:pPr>
            <w:r>
              <w:rPr>
                <w:rFonts w:ascii="Segoe UI" w:hAnsi="Segoe UI"/>
                <w:b/>
                <w:color w:val="0C3C60"/>
                <w:sz w:val="19"/>
              </w:rPr>
              <w:t>Âmbito Técnico:</w:t>
            </w:r>
          </w:p>
        </w:tc>
        <w:tc>
          <w:tcPr>
            <w:tcW w:type="dxa" w:w="6192"/>
            <w:shd w:fill="FFFFFF"/>
            <w:tcMar>
              <w:top w:w="90" w:type="dxa"/>
              <w:bottom w:w="90" w:type="dxa"/>
              <w:left w:w="120" w:type="dxa"/>
              <w:right w:w="120" w:type="dxa"/>
            </w:tcMar>
          </w:tcPr>
          <w:p>
            <w:pPr>
              <w:spacing w:after="40"/>
            </w:pPr>
            <w:r>
              <w:rPr>
                <w:rFonts w:ascii="Segoe UI" w:hAnsi="Segoe UI"/>
                <w:color w:val="333333"/>
                <w:sz w:val="19"/>
              </w:rPr>
              <w:t>Progressive Web App (PWA) Offline-First &amp; Google Drive Sync</w:t>
            </w:r>
          </w:p>
        </w:tc>
      </w:tr>
      <w:tr>
        <w:tc>
          <w:tcPr>
            <w:tcW w:type="dxa" w:w="3168"/>
            <w:shd w:fill="F4F6F9"/>
            <w:tcMar>
              <w:top w:w="90" w:type="dxa"/>
              <w:bottom w:w="90" w:type="dxa"/>
              <w:left w:w="120" w:type="dxa"/>
              <w:right w:w="120" w:type="dxa"/>
            </w:tcMar>
          </w:tcPr>
          <w:p>
            <w:pPr>
              <w:spacing w:after="40"/>
            </w:pPr>
            <w:r>
              <w:rPr>
                <w:rFonts w:ascii="Segoe UI" w:hAnsi="Segoe UI"/>
                <w:b/>
                <w:color w:val="0C3C60"/>
                <w:sz w:val="19"/>
              </w:rPr>
              <w:t>Data de Homologação:</w:t>
            </w:r>
          </w:p>
        </w:tc>
        <w:tc>
          <w:tcPr>
            <w:tcW w:type="dxa" w:w="6192"/>
            <w:shd w:fill="FFFFFF"/>
            <w:tcMar>
              <w:top w:w="90" w:type="dxa"/>
              <w:bottom w:w="90" w:type="dxa"/>
              <w:left w:w="120" w:type="dxa"/>
              <w:right w:w="120" w:type="dxa"/>
            </w:tcMar>
          </w:tcPr>
          <w:p>
            <w:pPr>
              <w:spacing w:after="40"/>
            </w:pPr>
            <w:r>
              <w:rPr>
                <w:rFonts w:ascii="Segoe UI" w:hAnsi="Segoe UI"/>
                <w:color w:val="333333"/>
                <w:sz w:val="19"/>
              </w:rPr>
              <w:t>Setembro de 2026</w:t>
            </w:r>
          </w:p>
        </w:tc>
      </w:tr>
    </w:tbl>
    <w:p>
      <w:r>
        <w:br w:type="page"/>
      </w:r>
    </w:p>
    <w:p>
      <w:pPr>
        <w:pStyle w:val="Heading1"/>
        <w:spacing w:after="280"/>
      </w:pPr>
      <w:r>
        <w:rPr>
          <w:rFonts w:ascii="Segoe UI" w:hAnsi="Segoe UI"/>
          <w:color w:val="0C3C60"/>
          <w:sz w:val="36"/>
        </w:rPr>
        <w:t>ÍNDICE GERAL</w:t>
      </w:r>
    </w:p>
    <w:tbl>
      <w:tblPr>
        <w:tblW w:type="auto" w:w="0"/>
        <w:jc w:val="center"/>
        <w:tblLayout w:type="fixed"/>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43"/>
        <w:gridCol w:w="4543"/>
      </w:tblGrid>
      <w:tr>
        <w:tc>
          <w:tcPr>
            <w:tcW w:type="dxa" w:w="4608"/>
            <w:shd w:fill="F8FAFC"/>
            <w:tcMar>
              <w:top w:w="70" w:type="dxa"/>
              <w:bottom w:w="70" w:type="dxa"/>
              <w:left w:w="100" w:type="dxa"/>
              <w:right w:w="100" w:type="dxa"/>
            </w:tcMar>
          </w:tcPr>
          <w:p>
            <w:pPr>
              <w:spacing w:after="0"/>
            </w:pPr>
            <w:r>
              <w:rPr>
                <w:rFonts w:ascii="Segoe UI" w:hAnsi="Segoe UI"/>
                <w:b/>
                <w:color w:val="0C3C60"/>
                <w:sz w:val="19"/>
              </w:rPr>
              <w:t>1. Introdução e Visão Geral do Sistema</w:t>
            </w:r>
          </w:p>
        </w:tc>
        <w:tc>
          <w:tcPr>
            <w:tcW w:type="dxa" w:w="4752"/>
            <w:shd w:fill="F8FAFC"/>
            <w:tcMar>
              <w:top w:w="70" w:type="dxa"/>
              <w:bottom w:w="70" w:type="dxa"/>
              <w:left w:w="100" w:type="dxa"/>
              <w:right w:w="100" w:type="dxa"/>
            </w:tcMar>
          </w:tcPr>
          <w:p>
            <w:pPr>
              <w:spacing w:after="0"/>
            </w:pPr>
            <w:r>
              <w:rPr>
                <w:rFonts w:ascii="Segoe UI" w:hAnsi="Segoe UI"/>
                <w:color w:val="666666"/>
                <w:sz w:val="17"/>
              </w:rPr>
              <w:t>Propósito clínico, funcionalidades chave e arquitetura técnica.</w:t>
            </w:r>
          </w:p>
        </w:tc>
      </w:tr>
      <w:tr>
        <w:tc>
          <w:tcPr>
            <w:tcW w:type="dxa" w:w="4608"/>
            <w:shd w:fill="FFFFFF"/>
            <w:tcMar>
              <w:top w:w="70" w:type="dxa"/>
              <w:bottom w:w="70" w:type="dxa"/>
              <w:left w:w="100" w:type="dxa"/>
              <w:right w:w="100" w:type="dxa"/>
            </w:tcMar>
          </w:tcPr>
          <w:p>
            <w:pPr>
              <w:spacing w:after="0"/>
            </w:pPr>
            <w:r>
              <w:rPr>
                <w:rFonts w:ascii="Segoe UI" w:hAnsi="Segoe UI"/>
                <w:b/>
                <w:color w:val="0C3C60"/>
                <w:sz w:val="19"/>
              </w:rPr>
              <w:t>2. Instalação e Modos de Operação</w:t>
            </w:r>
          </w:p>
        </w:tc>
        <w:tc>
          <w:tcPr>
            <w:tcW w:type="dxa" w:w="4752"/>
            <w:shd w:fill="FFFFFF"/>
            <w:tcMar>
              <w:top w:w="70" w:type="dxa"/>
              <w:bottom w:w="70" w:type="dxa"/>
              <w:left w:w="100" w:type="dxa"/>
              <w:right w:w="100" w:type="dxa"/>
            </w:tcMar>
          </w:tcPr>
          <w:p>
            <w:pPr>
              <w:spacing w:after="0"/>
            </w:pPr>
            <w:r>
              <w:rPr>
                <w:rFonts w:ascii="Segoe UI" w:hAnsi="Segoe UI"/>
                <w:color w:val="666666"/>
                <w:sz w:val="17"/>
              </w:rPr>
              <w:t>Instalação no Windows/macOS, Android, iOS e execução portátil local.</w:t>
            </w:r>
          </w:p>
        </w:tc>
      </w:tr>
      <w:tr>
        <w:tc>
          <w:tcPr>
            <w:tcW w:type="dxa" w:w="4608"/>
            <w:shd w:fill="F8FAFC"/>
            <w:tcMar>
              <w:top w:w="70" w:type="dxa"/>
              <w:bottom w:w="70" w:type="dxa"/>
              <w:left w:w="100" w:type="dxa"/>
              <w:right w:w="100" w:type="dxa"/>
            </w:tcMar>
          </w:tcPr>
          <w:p>
            <w:pPr>
              <w:spacing w:after="0"/>
            </w:pPr>
            <w:r>
              <w:rPr>
                <w:rFonts w:ascii="Segoe UI" w:hAnsi="Segoe UI"/>
                <w:b/>
                <w:color w:val="0C3C60"/>
                <w:sz w:val="19"/>
              </w:rPr>
              <w:t>3. Painel de Controlo e Indicadores (Dashboard)</w:t>
            </w:r>
          </w:p>
        </w:tc>
        <w:tc>
          <w:tcPr>
            <w:tcW w:type="dxa" w:w="4752"/>
            <w:shd w:fill="F8FAFC"/>
            <w:tcMar>
              <w:top w:w="70" w:type="dxa"/>
              <w:bottom w:w="70" w:type="dxa"/>
              <w:left w:w="100" w:type="dxa"/>
              <w:right w:w="100" w:type="dxa"/>
            </w:tcMar>
          </w:tcPr>
          <w:p>
            <w:pPr>
              <w:spacing w:after="0"/>
            </w:pPr>
            <w:r>
              <w:rPr>
                <w:rFonts w:ascii="Segoe UI" w:hAnsi="Segoe UI"/>
                <w:color w:val="666666"/>
                <w:sz w:val="17"/>
              </w:rPr>
              <w:t>Fichas ativas, alertas de 7 dias, peças em rutura e quota de memória.</w:t>
            </w:r>
          </w:p>
        </w:tc>
      </w:tr>
      <w:tr>
        <w:tc>
          <w:tcPr>
            <w:tcW w:type="dxa" w:w="4608"/>
            <w:shd w:fill="FFFFFF"/>
            <w:tcMar>
              <w:top w:w="70" w:type="dxa"/>
              <w:bottom w:w="70" w:type="dxa"/>
              <w:left w:w="100" w:type="dxa"/>
              <w:right w:w="100" w:type="dxa"/>
            </w:tcMar>
          </w:tcPr>
          <w:p>
            <w:pPr>
              <w:spacing w:after="0"/>
            </w:pPr>
            <w:r>
              <w:rPr>
                <w:rFonts w:ascii="Segoe UI" w:hAnsi="Segoe UI"/>
                <w:b/>
                <w:color w:val="0C3C60"/>
                <w:sz w:val="19"/>
              </w:rPr>
              <w:t>4. Guia Clínico: Ficha Cirúrgica e Planeamento</w:t>
            </w:r>
          </w:p>
        </w:tc>
        <w:tc>
          <w:tcPr>
            <w:tcW w:type="dxa" w:w="4752"/>
            <w:shd w:fill="FFFFFF"/>
            <w:tcMar>
              <w:top w:w="70" w:type="dxa"/>
              <w:bottom w:w="70" w:type="dxa"/>
              <w:left w:w="100" w:type="dxa"/>
              <w:right w:w="100" w:type="dxa"/>
            </w:tcMar>
          </w:tcPr>
          <w:p>
            <w:pPr>
              <w:spacing w:after="0"/>
            </w:pPr>
            <w:r>
              <w:rPr>
                <w:rFonts w:ascii="Segoe UI" w:hAnsi="Segoe UI"/>
                <w:color w:val="666666"/>
                <w:sz w:val="17"/>
              </w:rPr>
              <w:t>Registo do doente, biomateriais, dentes/zonas e regras de compatibilidade.</w:t>
            </w:r>
          </w:p>
        </w:tc>
      </w:tr>
      <w:tr>
        <w:tc>
          <w:tcPr>
            <w:tcW w:type="dxa" w:w="4608"/>
            <w:shd w:fill="F8FAFC"/>
            <w:tcMar>
              <w:top w:w="70" w:type="dxa"/>
              <w:bottom w:w="70" w:type="dxa"/>
              <w:left w:w="100" w:type="dxa"/>
              <w:right w:w="100" w:type="dxa"/>
            </w:tcMar>
          </w:tcPr>
          <w:p>
            <w:pPr>
              <w:spacing w:after="0"/>
            </w:pPr>
            <w:r>
              <w:rPr>
                <w:rFonts w:ascii="Segoe UI" w:hAnsi="Segoe UI"/>
                <w:b/>
                <w:color w:val="0C3C60"/>
                <w:sz w:val="19"/>
              </w:rPr>
              <w:t>5. Histórico Clínico e Edição Segura</w:t>
            </w:r>
          </w:p>
        </w:tc>
        <w:tc>
          <w:tcPr>
            <w:tcW w:type="dxa" w:w="4752"/>
            <w:shd w:fill="F8FAFC"/>
            <w:tcMar>
              <w:top w:w="70" w:type="dxa"/>
              <w:bottom w:w="70" w:type="dxa"/>
              <w:left w:w="100" w:type="dxa"/>
              <w:right w:w="100" w:type="dxa"/>
            </w:tcMar>
          </w:tcPr>
          <w:p>
            <w:pPr>
              <w:spacing w:after="0"/>
            </w:pPr>
            <w:r>
              <w:rPr>
                <w:rFonts w:ascii="Segoe UI" w:hAnsi="Segoe UI"/>
                <w:color w:val="666666"/>
                <w:sz w:val="17"/>
              </w:rPr>
              <w:t>Filtros rápidos, proteção de histórico, desbloqueio e reconciliação de stock.</w:t>
            </w:r>
          </w:p>
        </w:tc>
      </w:tr>
      <w:tr>
        <w:tc>
          <w:tcPr>
            <w:tcW w:type="dxa" w:w="4608"/>
            <w:shd w:fill="FFFFFF"/>
            <w:tcMar>
              <w:top w:w="70" w:type="dxa"/>
              <w:bottom w:w="70" w:type="dxa"/>
              <w:left w:w="100" w:type="dxa"/>
              <w:right w:w="100" w:type="dxa"/>
            </w:tcMar>
          </w:tcPr>
          <w:p>
            <w:pPr>
              <w:spacing w:after="0"/>
            </w:pPr>
            <w:r>
              <w:rPr>
                <w:rFonts w:ascii="Segoe UI" w:hAnsi="Segoe UI"/>
                <w:b/>
                <w:color w:val="0C3C60"/>
                <w:sz w:val="19"/>
              </w:rPr>
              <w:t>6. Gestão de Inventário e Lista de Encomendas</w:t>
            </w:r>
          </w:p>
        </w:tc>
        <w:tc>
          <w:tcPr>
            <w:tcW w:type="dxa" w:w="4752"/>
            <w:shd w:fill="FFFFFF"/>
            <w:tcMar>
              <w:top w:w="70" w:type="dxa"/>
              <w:bottom w:w="70" w:type="dxa"/>
              <w:left w:w="100" w:type="dxa"/>
              <w:right w:w="100" w:type="dxa"/>
            </w:tcMar>
          </w:tcPr>
          <w:p>
            <w:pPr>
              <w:spacing w:after="0"/>
            </w:pPr>
            <w:r>
              <w:rPr>
                <w:rFonts w:ascii="Segoe UI" w:hAnsi="Segoe UI"/>
                <w:color w:val="666666"/>
                <w:sz w:val="17"/>
              </w:rPr>
              <w:t>Controlo de stock em tempo real, cálculo de necessidades e PDF de encomenda.</w:t>
            </w:r>
          </w:p>
        </w:tc>
      </w:tr>
      <w:tr>
        <w:tc>
          <w:tcPr>
            <w:tcW w:type="dxa" w:w="4608"/>
            <w:shd w:fill="F8FAFC"/>
            <w:tcMar>
              <w:top w:w="70" w:type="dxa"/>
              <w:bottom w:w="70" w:type="dxa"/>
              <w:left w:w="100" w:type="dxa"/>
              <w:right w:w="100" w:type="dxa"/>
            </w:tcMar>
          </w:tcPr>
          <w:p>
            <w:pPr>
              <w:spacing w:after="0"/>
            </w:pPr>
            <w:r>
              <w:rPr>
                <w:rFonts w:ascii="Segoe UI" w:hAnsi="Segoe UI"/>
                <w:b/>
                <w:color w:val="0C3C60"/>
                <w:sz w:val="19"/>
              </w:rPr>
              <w:t>7. Gestão e Personalização do Catálogo</w:t>
            </w:r>
          </w:p>
        </w:tc>
        <w:tc>
          <w:tcPr>
            <w:tcW w:type="dxa" w:w="4752"/>
            <w:shd w:fill="F8FAFC"/>
            <w:tcMar>
              <w:top w:w="70" w:type="dxa"/>
              <w:bottom w:w="70" w:type="dxa"/>
              <w:left w:w="100" w:type="dxa"/>
              <w:right w:w="100" w:type="dxa"/>
            </w:tcMar>
          </w:tcPr>
          <w:p>
            <w:pPr>
              <w:spacing w:after="0"/>
            </w:pPr>
            <w:r>
              <w:rPr>
                <w:rFonts w:ascii="Segoe UI" w:hAnsi="Segoe UI"/>
                <w:color w:val="666666"/>
                <w:sz w:val="17"/>
              </w:rPr>
              <w:t>Catálogo oficial Galimplant (285+ peças), adição, edição e proteções.</w:t>
            </w:r>
          </w:p>
        </w:tc>
      </w:tr>
      <w:tr>
        <w:tc>
          <w:tcPr>
            <w:tcW w:type="dxa" w:w="4608"/>
            <w:shd w:fill="FFFFFF"/>
            <w:tcMar>
              <w:top w:w="70" w:type="dxa"/>
              <w:bottom w:w="70" w:type="dxa"/>
              <w:left w:w="100" w:type="dxa"/>
              <w:right w:w="100" w:type="dxa"/>
            </w:tcMar>
          </w:tcPr>
          <w:p>
            <w:pPr>
              <w:spacing w:after="0"/>
            </w:pPr>
            <w:r>
              <w:rPr>
                <w:rFonts w:ascii="Segoe UI" w:hAnsi="Segoe UI"/>
                <w:b/>
                <w:color w:val="0C3C60"/>
                <w:sz w:val="19"/>
              </w:rPr>
              <w:t>8. Emissão de Documentos e Impressão em PDF</w:t>
            </w:r>
          </w:p>
        </w:tc>
        <w:tc>
          <w:tcPr>
            <w:tcW w:type="dxa" w:w="4752"/>
            <w:shd w:fill="FFFFFF"/>
            <w:tcMar>
              <w:top w:w="70" w:type="dxa"/>
              <w:bottom w:w="70" w:type="dxa"/>
              <w:left w:w="100" w:type="dxa"/>
              <w:right w:w="100" w:type="dxa"/>
            </w:tcMar>
          </w:tcPr>
          <w:p>
            <w:pPr>
              <w:spacing w:after="0"/>
            </w:pPr>
            <w:r>
              <w:rPr>
                <w:rFonts w:ascii="Segoe UI" w:hAnsi="Segoe UI"/>
                <w:color w:val="666666"/>
                <w:sz w:val="17"/>
              </w:rPr>
              <w:t>Ficha cirúrgica em PDF, impressão de papel e lista de encomendas.</w:t>
            </w:r>
          </w:p>
        </w:tc>
      </w:tr>
      <w:tr>
        <w:tc>
          <w:tcPr>
            <w:tcW w:type="dxa" w:w="4608"/>
            <w:shd w:fill="F8FAFC"/>
            <w:tcMar>
              <w:top w:w="70" w:type="dxa"/>
              <w:bottom w:w="70" w:type="dxa"/>
              <w:left w:w="100" w:type="dxa"/>
              <w:right w:w="100" w:type="dxa"/>
            </w:tcMar>
          </w:tcPr>
          <w:p>
            <w:pPr>
              <w:spacing w:after="0"/>
            </w:pPr>
            <w:r>
              <w:rPr>
                <w:rFonts w:ascii="Segoe UI" w:hAnsi="Segoe UI"/>
                <w:b/>
                <w:color w:val="0C3C60"/>
                <w:sz w:val="19"/>
              </w:rPr>
              <w:t>9. Sincronização em Nuvem (Google Drive) e Encriptação</w:t>
            </w:r>
          </w:p>
        </w:tc>
        <w:tc>
          <w:tcPr>
            <w:tcW w:type="dxa" w:w="4752"/>
            <w:shd w:fill="F8FAFC"/>
            <w:tcMar>
              <w:top w:w="70" w:type="dxa"/>
              <w:bottom w:w="70" w:type="dxa"/>
              <w:left w:w="100" w:type="dxa"/>
              <w:right w:w="100" w:type="dxa"/>
            </w:tcMar>
          </w:tcPr>
          <w:p>
            <w:pPr>
              <w:spacing w:after="0"/>
            </w:pPr>
            <w:r>
              <w:rPr>
                <w:rFonts w:ascii="Segoe UI" w:hAnsi="Segoe UI"/>
                <w:color w:val="666666"/>
                <w:sz w:val="17"/>
              </w:rPr>
              <w:t>OAuth 2.0 appDataFolder, cifra AES-GCM 256 bits e histórico de versões (90 dias).</w:t>
            </w:r>
          </w:p>
        </w:tc>
      </w:tr>
      <w:tr>
        <w:tc>
          <w:tcPr>
            <w:tcW w:type="dxa" w:w="4608"/>
            <w:shd w:fill="FFFFFF"/>
            <w:tcMar>
              <w:top w:w="70" w:type="dxa"/>
              <w:bottom w:w="70" w:type="dxa"/>
              <w:left w:w="100" w:type="dxa"/>
              <w:right w:w="100" w:type="dxa"/>
            </w:tcMar>
          </w:tcPr>
          <w:p>
            <w:pPr>
              <w:spacing w:after="0"/>
            </w:pPr>
            <w:r>
              <w:rPr>
                <w:rFonts w:ascii="Segoe UI" w:hAnsi="Segoe UI"/>
                <w:b/>
                <w:color w:val="0C3C60"/>
                <w:sz w:val="19"/>
              </w:rPr>
              <w:t>10. Segurança Local, Backups e Recuperação de Emergência</w:t>
            </w:r>
          </w:p>
        </w:tc>
        <w:tc>
          <w:tcPr>
            <w:tcW w:type="dxa" w:w="4752"/>
            <w:shd w:fill="FFFFFF"/>
            <w:tcMar>
              <w:top w:w="70" w:type="dxa"/>
              <w:bottom w:w="70" w:type="dxa"/>
              <w:left w:w="100" w:type="dxa"/>
              <w:right w:w="100" w:type="dxa"/>
            </w:tcMar>
          </w:tcPr>
          <w:p>
            <w:pPr>
              <w:spacing w:after="0"/>
            </w:pPr>
            <w:r>
              <w:rPr>
                <w:rFonts w:ascii="Segoe UI" w:hAnsi="Segoe UI"/>
                <w:color w:val="666666"/>
                <w:sz w:val="17"/>
              </w:rPr>
              <w:t>Exportar/Importar JSON, proteção contra perda e utilitário recovery.html.</w:t>
            </w:r>
          </w:p>
        </w:tc>
      </w:tr>
      <w:tr>
        <w:tc>
          <w:tcPr>
            <w:tcW w:type="dxa" w:w="4608"/>
            <w:shd w:fill="F8FAFC"/>
            <w:tcMar>
              <w:top w:w="70" w:type="dxa"/>
              <w:bottom w:w="70" w:type="dxa"/>
              <w:left w:w="100" w:type="dxa"/>
              <w:right w:w="100" w:type="dxa"/>
            </w:tcMar>
          </w:tcPr>
          <w:p>
            <w:pPr>
              <w:spacing w:after="0"/>
            </w:pPr>
            <w:r>
              <w:rPr>
                <w:rFonts w:ascii="Segoe UI" w:hAnsi="Segoe UI"/>
                <w:b/>
                <w:color w:val="0C3C60"/>
                <w:sz w:val="19"/>
              </w:rPr>
              <w:t>11. Perguntas Frequentes (FAQ) e Resolução de Problemas</w:t>
            </w:r>
          </w:p>
        </w:tc>
        <w:tc>
          <w:tcPr>
            <w:tcW w:type="dxa" w:w="4752"/>
            <w:shd w:fill="F8FAFC"/>
            <w:tcMar>
              <w:top w:w="70" w:type="dxa"/>
              <w:bottom w:w="70" w:type="dxa"/>
              <w:left w:w="100" w:type="dxa"/>
              <w:right w:w="100" w:type="dxa"/>
            </w:tcMar>
          </w:tcPr>
          <w:p>
            <w:pPr>
              <w:spacing w:after="0"/>
            </w:pPr>
            <w:r>
              <w:rPr>
                <w:rFonts w:ascii="Segoe UI" w:hAnsi="Segoe UI"/>
                <w:color w:val="666666"/>
                <w:sz w:val="17"/>
              </w:rPr>
              <w:t>Cenários de erro práticos e soluções imediatas para a clínica.</w:t>
            </w:r>
          </w:p>
        </w:tc>
      </w:tr>
      <w:tr>
        <w:tc>
          <w:tcPr>
            <w:tcW w:type="dxa" w:w="4608"/>
            <w:shd w:fill="FFFFFF"/>
            <w:tcMar>
              <w:top w:w="70" w:type="dxa"/>
              <w:bottom w:w="70" w:type="dxa"/>
              <w:left w:w="100" w:type="dxa"/>
              <w:right w:w="100" w:type="dxa"/>
            </w:tcMar>
          </w:tcPr>
          <w:p>
            <w:pPr>
              <w:spacing w:after="0"/>
            </w:pPr>
            <w:r>
              <w:rPr>
                <w:rFonts w:ascii="Segoe UI" w:hAnsi="Segoe UI"/>
                <w:b/>
                <w:color w:val="0C3C60"/>
                <w:sz w:val="19"/>
              </w:rPr>
              <w:t>12. Anexos e Tabelas Técnicas de Compatibilidade</w:t>
            </w:r>
          </w:p>
        </w:tc>
        <w:tc>
          <w:tcPr>
            <w:tcW w:type="dxa" w:w="4752"/>
            <w:shd w:fill="FFFFFF"/>
            <w:tcMar>
              <w:top w:w="70" w:type="dxa"/>
              <w:bottom w:w="70" w:type="dxa"/>
              <w:left w:w="100" w:type="dxa"/>
              <w:right w:w="100" w:type="dxa"/>
            </w:tcMar>
          </w:tcPr>
          <w:p>
            <w:pPr>
              <w:spacing w:after="0"/>
            </w:pPr>
            <w:r>
              <w:rPr>
                <w:rFonts w:ascii="Segoe UI" w:hAnsi="Segoe UI"/>
                <w:color w:val="666666"/>
                <w:sz w:val="17"/>
              </w:rPr>
              <w:t>Matriz Galimplant Clássico vs M2 Único e grupos de acessórios A a F.</w:t>
            </w:r>
          </w:p>
        </w:tc>
      </w:tr>
    </w:tbl>
    <w:p>
      <w:r>
        <w:br w:type="page"/>
      </w:r>
    </w:p>
    <w:p>
      <w:pPr>
        <w:pStyle w:val="Heading1"/>
        <w:keepNext/>
        <w:spacing w:before="360" w:after="160"/>
      </w:pPr>
      <w:r>
        <w:rPr>
          <w:rFonts w:ascii="Segoe UI" w:hAnsi="Segoe UI"/>
          <w:color w:val="0C3C60"/>
          <w:sz w:val="32"/>
        </w:rPr>
        <w:t>1. Introdução e Visão Geral do Sistema</w:t>
      </w:r>
    </w:p>
    <w:p>
      <w:pPr>
        <w:spacing w:after="120" w:line="276" w:lineRule="auto"/>
      </w:pPr>
      <w:r>
        <w:rPr>
          <w:rFonts w:ascii="Segoe UI" w:hAnsi="Segoe UI"/>
          <w:color w:val="333333"/>
          <w:sz w:val="20"/>
        </w:rPr>
        <w:t>A aplicação Galimplant Gestão Clínica e Stock V2 foi concebida de forma personalizada para a Clínica Médico-Dentária de Aver-o-Mar, Lda, sob a orientação clínica do Dr. Luís Zeferino (OMD 01162). O software responde a uma necessidade crítica da prática cirúrgica de implantologia e reabilitação oral: assegurar a rastreabilidade integral dos implantes e componentes protéticos colocados em cada paciente, manter o inventário rigorosamente reconciliado e garantir a disponibilidade atempada de stock através do planeamento cirúrgico prévio.</w:t>
      </w:r>
    </w:p>
    <w:p>
      <w:pPr>
        <w:spacing w:after="120" w:line="276" w:lineRule="auto"/>
      </w:pPr>
      <w:r>
        <w:rPr>
          <w:rFonts w:ascii="Segoe UI" w:hAnsi="Segoe UI"/>
          <w:color w:val="333333"/>
          <w:sz w:val="20"/>
        </w:rPr>
        <w:t>Ao contrário dos sistemas hospitalares ou de gestão genérica, esta plataforma foca-se especificamente no ecossistema e protocolo de componentes Galimplant (gamas IPX, ICI, IPXC M2, ICIC M2, pilares de métrica clássica Ø1.6 e série Único M2 Ø2.0), prevenindo ativamente erros cirúrgicos de incompatibilidade e automatizando a dedução e encomenda de material.</w:t>
      </w:r>
    </w:p>
    <w:p>
      <w:pPr>
        <w:pStyle w:val="Heading2"/>
        <w:keepNext/>
        <w:spacing w:before="280" w:after="80"/>
      </w:pPr>
      <w:r>
        <w:rPr>
          <w:rFonts w:ascii="Segoe UI" w:hAnsi="Segoe UI"/>
          <w:color w:val="165A8C"/>
          <w:sz w:val="26"/>
        </w:rPr>
        <w:t>1.1. Principais Pilares do Sistema</w:t>
      </w:r>
    </w:p>
    <w:p>
      <w:pPr>
        <w:pStyle w:val="ListBullet"/>
        <w:spacing w:after="60" w:line="276" w:lineRule="auto"/>
      </w:pPr>
      <w:r>
        <w:rPr>
          <w:rFonts w:ascii="Segoe UI" w:hAnsi="Segoe UI"/>
          <w:b/>
          <w:color w:val="0C3C60"/>
          <w:sz w:val="19"/>
        </w:rPr>
        <w:t xml:space="preserve">Rastreabilidade Cirúrgica Total: </w:t>
      </w:r>
      <w:r>
        <w:rPr>
          <w:rFonts w:ascii="Segoe UI" w:hAnsi="Segoe UI"/>
          <w:color w:val="333333"/>
          <w:sz w:val="19"/>
        </w:rPr>
        <w:t>Registo por dente/zona anatómica da referência exata do implante, pilar transepiteliar, até 10 acessórios protéticos, torque de inserção (Ncm) e evolução em 3 fases clínicas.</w:t>
      </w:r>
    </w:p>
    <w:p>
      <w:pPr>
        <w:pStyle w:val="ListBullet"/>
        <w:spacing w:after="60" w:line="276" w:lineRule="auto"/>
      </w:pPr>
      <w:r>
        <w:rPr>
          <w:rFonts w:ascii="Segoe UI" w:hAnsi="Segoe UI"/>
          <w:b/>
          <w:color w:val="0C3C60"/>
          <w:sz w:val="19"/>
        </w:rPr>
        <w:t xml:space="preserve">Prevenção Ativa de Incompatibilidades: </w:t>
      </w:r>
      <w:r>
        <w:rPr>
          <w:rFonts w:ascii="Segoe UI" w:hAnsi="Segoe UI"/>
          <w:color w:val="333333"/>
          <w:sz w:val="19"/>
        </w:rPr>
        <w:t>Validação em tempo real entre o implante e a métrica do pilar (Clássico vs M2), bem como entre o pilar selecionado e os respetivos acessórios (tampas, scan bodies, análogos).</w:t>
      </w:r>
    </w:p>
    <w:p>
      <w:pPr>
        <w:pStyle w:val="ListBullet"/>
        <w:spacing w:after="60" w:line="276" w:lineRule="auto"/>
      </w:pPr>
      <w:r>
        <w:rPr>
          <w:rFonts w:ascii="Segoe UI" w:hAnsi="Segoe UI"/>
          <w:b/>
          <w:color w:val="0C3C60"/>
          <w:sz w:val="19"/>
        </w:rPr>
        <w:t xml:space="preserve">Gestão Inteligente de Stock e Planeamento: </w:t>
      </w:r>
      <w:r>
        <w:rPr>
          <w:rFonts w:ascii="Segoe UI" w:hAnsi="Segoe UI"/>
          <w:color w:val="333333"/>
          <w:sz w:val="19"/>
        </w:rPr>
        <w:t>Peças em fase de planeamento não abatem stock de imediato, permitindo calcular carências e gerar listas de encomenda automatizadas para a Galimplant em formato PDF.</w:t>
      </w:r>
    </w:p>
    <w:p>
      <w:pPr>
        <w:pStyle w:val="ListBullet"/>
        <w:spacing w:after="60" w:line="276" w:lineRule="auto"/>
      </w:pPr>
      <w:r>
        <w:rPr>
          <w:rFonts w:ascii="Segoe UI" w:hAnsi="Segoe UI"/>
          <w:b/>
          <w:color w:val="0C3C60"/>
          <w:sz w:val="19"/>
        </w:rPr>
        <w:t xml:space="preserve">Arquitetura Offline-First (PWA): </w:t>
      </w:r>
      <w:r>
        <w:rPr>
          <w:rFonts w:ascii="Segoe UI" w:hAnsi="Segoe UI"/>
          <w:color w:val="333333"/>
          <w:sz w:val="19"/>
        </w:rPr>
        <w:t>A aplicação funciona a 100% sem qualquer dependência de ligação à internet. Os dados residem na memória segura do dispositivo.</w:t>
      </w:r>
    </w:p>
    <w:p>
      <w:pPr>
        <w:pStyle w:val="ListBullet"/>
        <w:spacing w:after="60" w:line="276" w:lineRule="auto"/>
      </w:pPr>
      <w:r>
        <w:rPr>
          <w:rFonts w:ascii="Segoe UI" w:hAnsi="Segoe UI"/>
          <w:b/>
          <w:color w:val="0C3C60"/>
          <w:sz w:val="19"/>
        </w:rPr>
        <w:t xml:space="preserve">Sincronização em Nuvem Encriptada: </w:t>
      </w:r>
      <w:r>
        <w:rPr>
          <w:rFonts w:ascii="Segoe UI" w:hAnsi="Segoe UI"/>
          <w:color w:val="333333"/>
          <w:sz w:val="19"/>
        </w:rPr>
        <w:t>Integração direta com o Google Drive privado (appDataFolder), com opção de cifra militar AES-GCM (256 bits) e histórico de versões diárias tipo Time Machine até 90 dias.</w:t>
      </w:r>
    </w:p>
    <w:tbl>
      <w:tblPr>
        <w:tblW w:type="auto" w:w="0"/>
        <w:jc w:val="center"/>
        <w:tblLayout w:type="fixed"/>
        <w:tblLook w:firstColumn="1" w:firstRow="1" w:lastColumn="0" w:lastRow="0" w:noHBand="0" w:noVBand="1" w:val="04A0"/>
      </w:tblPr>
      <w:tblGrid>
        <w:gridCol w:w="9087"/>
      </w:tblGrid>
      <w:tr>
        <w:tc>
          <w:tcPr>
            <w:tcW w:type="dxa" w:w="9360"/>
            <w:shd w:fill="EAFAF1"/>
            <w:tcBorders>
              <w:top w:val="none"/>
              <w:left w:val="single" w:sz="36" w:space="0" w:color="27AE60"/>
              <w:bottom w:val="none"/>
              <w:right w:val="none"/>
            </w:tcBorders>
            <w:tcMar>
              <w:top w:w="140" w:type="dxa"/>
              <w:bottom w:w="140" w:type="dxa"/>
              <w:left w:w="200" w:type="dxa"/>
              <w:right w:w="180" w:type="dxa"/>
            </w:tcMar>
          </w:tcPr>
          <w:p>
            <w:pPr>
              <w:spacing w:before="0" w:after="80"/>
            </w:pPr>
            <w:r>
              <w:rPr>
                <w:b/>
                <w:color w:val="27AE60"/>
                <w:sz w:val="21"/>
              </w:rPr>
              <w:t>✅ Soberania e Privacidade de Dados de Saúde</w:t>
              <w:br/>
            </w:r>
            <w:r>
              <w:rPr>
                <w:color w:val="333333"/>
                <w:sz w:val="19"/>
              </w:rPr>
              <w:t>Todos os dados dos pacientes (nomes, datas, processos e intervenções) são guardados localmente no seu computador. Quando a sincronização na nuvem está ativa, os ficheiros são guardados exclusivamente no espaço privado do seu Google Drive institucional, sem servidores intermediários nem partilha com terceiros.</w:t>
            </w:r>
          </w:p>
        </w:tc>
      </w:tr>
    </w:tbl>
    <w:p>
      <w:pPr>
        <w:spacing w:before="0" w:after="120"/>
      </w:pPr>
    </w:p>
    <w:p>
      <w:pPr>
        <w:pStyle w:val="Heading1"/>
        <w:keepNext/>
        <w:spacing w:before="360" w:after="160"/>
      </w:pPr>
      <w:r>
        <w:rPr>
          <w:rFonts w:ascii="Segoe UI" w:hAnsi="Segoe UI"/>
          <w:color w:val="0C3C60"/>
          <w:sz w:val="32"/>
        </w:rPr>
        <w:t>2. Instalação e Modos de Operação</w:t>
      </w:r>
    </w:p>
    <w:p>
      <w:pPr>
        <w:spacing w:after="120" w:line="276" w:lineRule="auto"/>
      </w:pPr>
      <w:r>
        <w:rPr>
          <w:rFonts w:ascii="Segoe UI" w:hAnsi="Segoe UI"/>
          <w:color w:val="333333"/>
          <w:sz w:val="20"/>
        </w:rPr>
        <w:t>O sistema foi desenvolvido segundo os mais modernos padrões de Progressive Web App (PWA). Isto significa que pode ser executado diretamente em qualquer navegador web moderno, mas também instalado como um aplicativo nativo no Windows, macOS, Android e iOS, criando atalhos dedicados na área de trabalho e na barra de tarefas.</w:t>
      </w:r>
    </w:p>
    <w:p>
      <w:pPr>
        <w:pStyle w:val="Heading2"/>
        <w:keepNext/>
        <w:spacing w:before="280" w:after="80"/>
      </w:pPr>
      <w:r>
        <w:rPr>
          <w:rFonts w:ascii="Segoe UI" w:hAnsi="Segoe UI"/>
          <w:color w:val="165A8C"/>
          <w:sz w:val="26"/>
        </w:rPr>
        <w:t>2.1. Requisitos de Hardware e Software</w:t>
      </w:r>
    </w:p>
    <w:p>
      <w:pPr>
        <w:pStyle w:val="ListBullet"/>
        <w:spacing w:after="60" w:line="276" w:lineRule="auto"/>
      </w:pPr>
      <w:r>
        <w:rPr>
          <w:rFonts w:ascii="Segoe UI" w:hAnsi="Segoe UI"/>
          <w:b/>
          <w:color w:val="0C3C60"/>
          <w:sz w:val="19"/>
        </w:rPr>
        <w:t xml:space="preserve">Sistemas Operativos: </w:t>
      </w:r>
      <w:r>
        <w:rPr>
          <w:rFonts w:ascii="Segoe UI" w:hAnsi="Segoe UI"/>
          <w:color w:val="333333"/>
          <w:sz w:val="19"/>
        </w:rPr>
        <w:t>Windows 10 ou 11, macOS 11+, Android 10+, iPadOS / iOS 15+.</w:t>
      </w:r>
    </w:p>
    <w:p>
      <w:pPr>
        <w:pStyle w:val="ListBullet"/>
        <w:spacing w:after="60" w:line="276" w:lineRule="auto"/>
      </w:pPr>
      <w:r>
        <w:rPr>
          <w:rFonts w:ascii="Segoe UI" w:hAnsi="Segoe UI"/>
          <w:b/>
          <w:color w:val="0C3C60"/>
          <w:sz w:val="19"/>
        </w:rPr>
        <w:t xml:space="preserve">Navegadores Homologados: </w:t>
      </w:r>
      <w:r>
        <w:rPr>
          <w:rFonts w:ascii="Segoe UI" w:hAnsi="Segoe UI"/>
          <w:color w:val="333333"/>
          <w:sz w:val="19"/>
        </w:rPr>
        <w:t>Google Chrome (recomendado), Microsoft Edge (recomendado), Safari (iOS/macOS), Mozilla Firefox, Opera.</w:t>
      </w:r>
    </w:p>
    <w:p>
      <w:pPr>
        <w:pStyle w:val="ListBullet"/>
        <w:spacing w:after="60" w:line="276" w:lineRule="auto"/>
      </w:pPr>
      <w:r>
        <w:rPr>
          <w:rFonts w:ascii="Segoe UI" w:hAnsi="Segoe UI"/>
          <w:b/>
          <w:color w:val="0C3C60"/>
          <w:sz w:val="19"/>
        </w:rPr>
        <w:t xml:space="preserve">Espaço em Disco: </w:t>
      </w:r>
      <w:r>
        <w:rPr>
          <w:rFonts w:ascii="Segoe UI" w:hAnsi="Segoe UI"/>
          <w:color w:val="333333"/>
          <w:sz w:val="19"/>
        </w:rPr>
        <w:t>Menos de 5 MB de espaço para a aplicação e ficheiros de biblioteca PDF local.</w:t>
      </w:r>
    </w:p>
    <w:p>
      <w:pPr>
        <w:pStyle w:val="Heading2"/>
        <w:keepNext/>
        <w:spacing w:before="280" w:after="80"/>
      </w:pPr>
      <w:r>
        <w:rPr>
          <w:rFonts w:ascii="Segoe UI" w:hAnsi="Segoe UI"/>
          <w:color w:val="165A8C"/>
          <w:sz w:val="26"/>
        </w:rPr>
        <w:t>2.2. Instalação no Computador (Windows / macOS)</w:t>
      </w:r>
    </w:p>
    <w:p>
      <w:pPr>
        <w:spacing w:after="120" w:line="276" w:lineRule="auto"/>
      </w:pPr>
      <w:r>
        <w:rPr>
          <w:rFonts w:ascii="Segoe UI" w:hAnsi="Segoe UI"/>
          <w:color w:val="333333"/>
          <w:sz w:val="20"/>
        </w:rPr>
        <w:t>A instalação no computador oferece a melhor experiência de trabalho, permitindo abrir o software numa janela independente, sem barras de endereços ou distrações do navegador:</w:t>
      </w:r>
    </w:p>
    <w:p>
      <w:pPr>
        <w:pStyle w:val="ListBullet"/>
        <w:spacing w:after="60" w:line="276" w:lineRule="auto"/>
      </w:pPr>
      <w:r>
        <w:rPr>
          <w:rFonts w:ascii="Segoe UI" w:hAnsi="Segoe UI"/>
          <w:b/>
          <w:color w:val="0C3C60"/>
          <w:sz w:val="19"/>
        </w:rPr>
        <w:t xml:space="preserve">Passo 1: </w:t>
      </w:r>
      <w:r>
        <w:rPr>
          <w:rFonts w:ascii="Segoe UI" w:hAnsi="Segoe UI"/>
          <w:color w:val="333333"/>
          <w:sz w:val="19"/>
        </w:rPr>
        <w:t>Abra o Google Chrome ou o Microsoft Edge e aceda à pasta onde o ficheiro index.html está alojado (ou aceda ao endereço local/rede da clínica).</w:t>
      </w:r>
    </w:p>
    <w:p>
      <w:pPr>
        <w:pStyle w:val="ListBullet"/>
        <w:spacing w:after="60" w:line="276" w:lineRule="auto"/>
      </w:pPr>
      <w:r>
        <w:rPr>
          <w:rFonts w:ascii="Segoe UI" w:hAnsi="Segoe UI"/>
          <w:b/>
          <w:color w:val="0C3C60"/>
          <w:sz w:val="19"/>
        </w:rPr>
        <w:t xml:space="preserve">Passo 2: </w:t>
      </w:r>
      <w:r>
        <w:rPr>
          <w:rFonts w:ascii="Segoe UI" w:hAnsi="Segoe UI"/>
          <w:color w:val="333333"/>
          <w:sz w:val="19"/>
        </w:rPr>
        <w:t>Repare na barra de endereços do navegador (lado direito): surgirá um ícone de instalação (um monitor com uma seta para baixo ou um símbolo '+').</w:t>
      </w:r>
    </w:p>
    <w:p>
      <w:pPr>
        <w:pStyle w:val="ListBullet"/>
        <w:spacing w:after="60" w:line="276" w:lineRule="auto"/>
      </w:pPr>
      <w:r>
        <w:rPr>
          <w:rFonts w:ascii="Segoe UI" w:hAnsi="Segoe UI"/>
          <w:b/>
          <w:color w:val="0C3C60"/>
          <w:sz w:val="19"/>
        </w:rPr>
        <w:t xml:space="preserve">Passo 3: </w:t>
      </w:r>
      <w:r>
        <w:rPr>
          <w:rFonts w:ascii="Segoe UI" w:hAnsi="Segoe UI"/>
          <w:color w:val="333333"/>
          <w:sz w:val="19"/>
        </w:rPr>
        <w:t>Clique nesse ícone e selecione 'Instalar Gestão Clínica e Stock Galimplant'.</w:t>
      </w:r>
    </w:p>
    <w:p>
      <w:pPr>
        <w:pStyle w:val="ListBullet"/>
        <w:spacing w:after="60" w:line="276" w:lineRule="auto"/>
      </w:pPr>
      <w:r>
        <w:rPr>
          <w:rFonts w:ascii="Segoe UI" w:hAnsi="Segoe UI"/>
          <w:b/>
          <w:color w:val="0C3C60"/>
          <w:sz w:val="19"/>
        </w:rPr>
        <w:t xml:space="preserve">Passo 4: </w:t>
      </w:r>
      <w:r>
        <w:rPr>
          <w:rFonts w:ascii="Segoe UI" w:hAnsi="Segoe UI"/>
          <w:color w:val="333333"/>
          <w:sz w:val="19"/>
        </w:rPr>
        <w:t>O programa abrirá de imediato como uma aplicação de secretária. Pode fixar o ícone na Barra de Tarefas do Windows para acesso com 1 clique.</w:t>
      </w:r>
    </w:p>
    <w:p>
      <w:pPr>
        <w:pStyle w:val="Heading2"/>
        <w:keepNext/>
        <w:spacing w:before="280" w:after="80"/>
      </w:pPr>
      <w:r>
        <w:rPr>
          <w:rFonts w:ascii="Segoe UI" w:hAnsi="Segoe UI"/>
          <w:color w:val="165A8C"/>
          <w:sz w:val="26"/>
        </w:rPr>
        <w:t>2.3. Instalação em Tablets e Dispositivos Móveis</w:t>
      </w:r>
    </w:p>
    <w:p>
      <w:pPr>
        <w:pStyle w:val="ListBullet"/>
        <w:spacing w:after="60" w:line="276" w:lineRule="auto"/>
      </w:pPr>
      <w:r>
        <w:rPr>
          <w:rFonts w:ascii="Segoe UI" w:hAnsi="Segoe UI"/>
          <w:b/>
          <w:color w:val="0C3C60"/>
          <w:sz w:val="19"/>
        </w:rPr>
        <w:t xml:space="preserve">Android (via Google Chrome): </w:t>
      </w:r>
      <w:r>
        <w:rPr>
          <w:rFonts w:ascii="Segoe UI" w:hAnsi="Segoe UI"/>
          <w:color w:val="333333"/>
          <w:sz w:val="19"/>
        </w:rPr>
        <w:t>Abra o aplicativo no Chrome, toque no menu de 3 pontos verticais (canto superior direito) e selecione 'Instalar aplicação' ou 'Adicionar ao ecrã principal'. O ícone da Galimplant aparecerá na grelha de aplicações.</w:t>
      </w:r>
    </w:p>
    <w:p>
      <w:pPr>
        <w:pStyle w:val="ListBullet"/>
        <w:spacing w:after="60" w:line="276" w:lineRule="auto"/>
      </w:pPr>
      <w:r>
        <w:rPr>
          <w:rFonts w:ascii="Segoe UI" w:hAnsi="Segoe UI"/>
          <w:b/>
          <w:color w:val="0C3C60"/>
          <w:sz w:val="19"/>
        </w:rPr>
        <w:t xml:space="preserve">iPad e iPhone (via Safari): </w:t>
      </w:r>
      <w:r>
        <w:rPr>
          <w:rFonts w:ascii="Segoe UI" w:hAnsi="Segoe UI"/>
          <w:color w:val="333333"/>
          <w:sz w:val="19"/>
        </w:rPr>
        <w:t>Abra o aplicativo no Safari, toque no botão de 'Partilha' (ícone quadrado com uma seta para cima), deslize as opções e escolha 'Adicionar ao Ecrã Principal'. Confirme no botão 'Adicionar'.</w:t>
      </w:r>
    </w:p>
    <w:p>
      <w:pPr>
        <w:pStyle w:val="Heading2"/>
        <w:keepNext/>
        <w:spacing w:before="280" w:after="80"/>
      </w:pPr>
      <w:r>
        <w:rPr>
          <w:rFonts w:ascii="Segoe UI" w:hAnsi="Segoe UI"/>
          <w:color w:val="165A8C"/>
          <w:sz w:val="26"/>
        </w:rPr>
        <w:t>2.4. Modo Portátil e Offline Direto (Sem Instalação)</w:t>
      </w:r>
    </w:p>
    <w:p>
      <w:pPr>
        <w:spacing w:after="120" w:line="276" w:lineRule="auto"/>
      </w:pPr>
      <w:r>
        <w:rPr>
          <w:rFonts w:ascii="Segoe UI" w:hAnsi="Segoe UI"/>
          <w:color w:val="333333"/>
          <w:sz w:val="20"/>
        </w:rPr>
        <w:t>Caso pretenda transportar o programa numa pen USB ou utilizá-lo sem efetuar qualquer instalação no sistema operativo, basta dar duplo clique no ficheiro index.html. Graças ao Service Worker (sw.js) e aos ficheiros locais jspdf.umd.min.js e jspdf.plugin.autotable.min.js, todas as ferramentas — incluindo a geração de PDFs — funcionam de imediato e sem necessidade de rede.</w:t>
      </w:r>
    </w:p>
    <w:tbl>
      <w:tblPr>
        <w:tblW w:type="auto" w:w="0"/>
        <w:jc w:val="center"/>
        <w:tblLayout w:type="fixed"/>
        <w:tblLook w:firstColumn="1" w:firstRow="1" w:lastColumn="0" w:lastRow="0" w:noHBand="0" w:noVBand="1" w:val="04A0"/>
      </w:tblPr>
      <w:tblGrid>
        <w:gridCol w:w="9087"/>
      </w:tblGrid>
      <w:tr>
        <w:tc>
          <w:tcPr>
            <w:tcW w:type="dxa" w:w="9360"/>
            <w:shd w:fill="FEF9E7"/>
            <w:tcBorders>
              <w:top w:val="none"/>
              <w:left w:val="single" w:sz="36" w:space="0" w:color="E67E22"/>
              <w:bottom w:val="none"/>
              <w:right w:val="none"/>
            </w:tcBorders>
            <w:tcMar>
              <w:top w:w="140" w:type="dxa"/>
              <w:bottom w:w="140" w:type="dxa"/>
              <w:left w:w="200" w:type="dxa"/>
              <w:right w:w="180" w:type="dxa"/>
            </w:tcMar>
          </w:tcPr>
          <w:p>
            <w:pPr>
              <w:spacing w:before="0" w:after="80"/>
            </w:pPr>
            <w:r>
              <w:rPr>
                <w:b/>
                <w:color w:val="E67E22"/>
                <w:sz w:val="21"/>
              </w:rPr>
              <w:t>⚠️ Permissão de Janelas Pop-up para Impressão</w:t>
              <w:br/>
            </w:r>
            <w:r>
              <w:rPr>
                <w:color w:val="333333"/>
                <w:sz w:val="19"/>
              </w:rPr>
              <w:t>Ao imprimir fichas clínicas em papel pela primeira vez, o navegador poderá apresentar uma notificação: 'Janela de pop-up bloqueada'. Clique nessa notificação e selecione 'Permitir sempre pop-ups para esta aplicação'. Caso contrário, a janela de impressão não abrirá.</w:t>
            </w:r>
          </w:p>
        </w:tc>
      </w:tr>
    </w:tbl>
    <w:p>
      <w:pPr>
        <w:spacing w:before="0" w:after="120"/>
      </w:pPr>
    </w:p>
    <w:p>
      <w:pPr>
        <w:pStyle w:val="Heading1"/>
        <w:keepNext/>
        <w:spacing w:before="360" w:after="160"/>
      </w:pPr>
      <w:r>
        <w:rPr>
          <w:rFonts w:ascii="Segoe UI" w:hAnsi="Segoe UI"/>
          <w:color w:val="0C3C60"/>
          <w:sz w:val="32"/>
        </w:rPr>
        <w:t>3. Interface Principal e Painel de Controlo (Dashboard)</w:t>
      </w:r>
    </w:p>
    <w:p>
      <w:pPr>
        <w:spacing w:after="120" w:line="276" w:lineRule="auto"/>
      </w:pPr>
      <w:r>
        <w:rPr>
          <w:rFonts w:ascii="Segoe UI" w:hAnsi="Segoe UI"/>
          <w:color w:val="333333"/>
          <w:sz w:val="20"/>
        </w:rPr>
        <w:t>O ecrã principal do programa foi desenhado com base em princípios ergonómicos e visuais para ambiente clínico. No topo da página encontra-se o Cabeçalho Institucional com a barra de ferramentas de sincronização e segurança, seguido pelo Dashboard Dinâmico de 4 cartões de estado.</w:t>
      </w:r>
    </w:p>
    <w:p>
      <w:pPr>
        <w:pStyle w:val="Heading2"/>
        <w:keepNext/>
        <w:spacing w:before="280" w:after="80"/>
      </w:pPr>
      <w:r>
        <w:rPr>
          <w:rFonts w:ascii="Segoe UI" w:hAnsi="Segoe UI"/>
          <w:color w:val="165A8C"/>
          <w:sz w:val="26"/>
        </w:rPr>
        <w:t>3.1. Os 4 Indicadores Dinâmicos do Dashboard</w:t>
      </w:r>
    </w:p>
    <w:p>
      <w:pPr>
        <w:pStyle w:val="ListBullet"/>
        <w:spacing w:after="60" w:line="276" w:lineRule="auto"/>
      </w:pPr>
      <w:r>
        <w:rPr>
          <w:rFonts w:ascii="Segoe UI" w:hAnsi="Segoe UI"/>
          <w:b/>
          <w:color w:val="0C3C60"/>
          <w:sz w:val="19"/>
        </w:rPr>
        <w:t xml:space="preserve">Fichas Ativas (Cartão Azul): </w:t>
      </w:r>
      <w:r>
        <w:rPr>
          <w:rFonts w:ascii="Segoe UI" w:hAnsi="Segoe UI"/>
          <w:color w:val="333333"/>
          <w:sz w:val="19"/>
        </w:rPr>
        <w:t>Indica o número total de pacientes e processos cirúrgicos arquivados na base de dados do dispositivo.</w:t>
      </w:r>
    </w:p>
    <w:p>
      <w:pPr>
        <w:pStyle w:val="ListBullet"/>
        <w:spacing w:after="60" w:line="276" w:lineRule="auto"/>
      </w:pPr>
      <w:r>
        <w:rPr>
          <w:rFonts w:ascii="Segoe UI" w:hAnsi="Segoe UI"/>
          <w:b/>
          <w:color w:val="0C3C60"/>
          <w:sz w:val="19"/>
        </w:rPr>
        <w:t xml:space="preserve">Consultas &lt; 7 Dias (Cartão Vermelho): </w:t>
      </w:r>
      <w:r>
        <w:rPr>
          <w:rFonts w:ascii="Segoe UI" w:hAnsi="Segoe UI"/>
          <w:color w:val="333333"/>
          <w:sz w:val="19"/>
        </w:rPr>
        <w:t>Identifica em tempo real pacientes com consultas marcadas para os próximos 7 dias (incluindo o próprio dia). O cartão é CLICÁVEL: ao clicar no número, abre uma janela modal com a lista discriminada dos doentes e respetivas datas de retorno.</w:t>
      </w:r>
    </w:p>
    <w:p>
      <w:pPr>
        <w:pStyle w:val="ListBullet"/>
        <w:spacing w:after="60" w:line="276" w:lineRule="auto"/>
      </w:pPr>
      <w:r>
        <w:rPr>
          <w:rFonts w:ascii="Segoe UI" w:hAnsi="Segoe UI"/>
          <w:b/>
          <w:color w:val="0C3C60"/>
          <w:sz w:val="19"/>
        </w:rPr>
        <w:t xml:space="preserve">Peças em Rutura / Críticas (Cartão Amarelo): </w:t>
      </w:r>
      <w:r>
        <w:rPr>
          <w:rFonts w:ascii="Segoe UI" w:hAnsi="Segoe UI"/>
          <w:color w:val="333333"/>
          <w:sz w:val="19"/>
        </w:rPr>
        <w:t>Apresenta o total de referências cujo stock atual se encontra em 0 (sem stock) ou entre 1 e 2 unidades (nível crítico). Serve de aviso prévio permanente antes de iniciar cirurgias.</w:t>
      </w:r>
    </w:p>
    <w:p>
      <w:pPr>
        <w:pStyle w:val="ListBullet"/>
        <w:spacing w:after="60" w:line="276" w:lineRule="auto"/>
      </w:pPr>
      <w:r>
        <w:rPr>
          <w:rFonts w:ascii="Segoe UI" w:hAnsi="Segoe UI"/>
          <w:b/>
          <w:color w:val="0C3C60"/>
          <w:sz w:val="19"/>
        </w:rPr>
        <w:t xml:space="preserve">Memória Livre (Cartão Verde): </w:t>
      </w:r>
      <w:r>
        <w:rPr>
          <w:rFonts w:ascii="Segoe UI" w:hAnsi="Segoe UI"/>
          <w:color w:val="333333"/>
          <w:sz w:val="19"/>
        </w:rPr>
        <w:t>Monitoriza a percentagem e o volume em Megabytes (usado / total) do armazenamento seguro do navegador. Se a quota livre descer abaixo de 20%, o sistema emite um alerta automático instruindo a exportação de dados.</w:t>
      </w:r>
    </w:p>
    <w:p>
      <w:pPr>
        <w:pStyle w:val="Heading2"/>
        <w:keepNext/>
        <w:spacing w:before="280" w:after="80"/>
      </w:pPr>
      <w:r>
        <w:rPr>
          <w:rFonts w:ascii="Segoe UI" w:hAnsi="Segoe UI"/>
          <w:color w:val="165A8C"/>
          <w:sz w:val="26"/>
        </w:rPr>
        <w:t>3.2. Painéis de Ação Superior</w:t>
      </w:r>
    </w:p>
    <w:p>
      <w:pPr>
        <w:spacing w:after="120" w:line="276" w:lineRule="auto"/>
      </w:pPr>
      <w:r>
        <w:rPr>
          <w:rFonts w:ascii="Segoe UI" w:hAnsi="Segoe UI"/>
          <w:color w:val="333333"/>
          <w:sz w:val="20"/>
        </w:rPr>
        <w:t>O cabeçalho divide-se em 3 painéis operacionais fundamentais:</w:t>
      </w:r>
    </w:p>
    <w:p>
      <w:pPr>
        <w:pStyle w:val="ListBullet"/>
        <w:spacing w:after="60" w:line="276" w:lineRule="auto"/>
      </w:pPr>
      <w:r>
        <w:rPr>
          <w:rFonts w:ascii="Segoe UI" w:hAnsi="Segoe UI"/>
          <w:b/>
          <w:color w:val="0C3C60"/>
          <w:sz w:val="19"/>
        </w:rPr>
        <w:t xml:space="preserve">Backup Local: </w:t>
      </w:r>
      <w:r>
        <w:rPr>
          <w:rFonts w:ascii="Segoe UI" w:hAnsi="Segoe UI"/>
          <w:color w:val="333333"/>
          <w:sz w:val="19"/>
        </w:rPr>
        <w:t>Permite exportar instantaneamente um ficheiro estruturado com todos os dados (.txt/.json) ou importar cópias de segurança anteriores. Apresenta o indicador do último backup realizado.</w:t>
      </w:r>
    </w:p>
    <w:p>
      <w:pPr>
        <w:pStyle w:val="ListBullet"/>
        <w:spacing w:after="60" w:line="276" w:lineRule="auto"/>
      </w:pPr>
      <w:r>
        <w:rPr>
          <w:rFonts w:ascii="Segoe UI" w:hAnsi="Segoe UI"/>
          <w:b/>
          <w:color w:val="0C3C60"/>
          <w:sz w:val="19"/>
        </w:rPr>
        <w:t xml:space="preserve">Sincronização (Google Drive): </w:t>
      </w:r>
      <w:r>
        <w:rPr>
          <w:rFonts w:ascii="Segoe UI" w:hAnsi="Segoe UI"/>
          <w:color w:val="333333"/>
          <w:sz w:val="19"/>
        </w:rPr>
        <w:t>Gere a ligação à conta Google da clínica, permitindo envio manual ('Enviar agora'), descarregamento ('Transferir da nuvem'), histórico de versões diárias e ativação de cifra ponta a ponta.</w:t>
      </w:r>
    </w:p>
    <w:p>
      <w:pPr>
        <w:pStyle w:val="ListBullet"/>
        <w:spacing w:after="60" w:line="276" w:lineRule="auto"/>
      </w:pPr>
      <w:r>
        <w:rPr>
          <w:rFonts w:ascii="Segoe UI" w:hAnsi="Segoe UI"/>
          <w:b/>
          <w:color w:val="0C3C60"/>
          <w:sz w:val="19"/>
        </w:rPr>
        <w:t xml:space="preserve">Zona de Risco (Reset Completo): </w:t>
      </w:r>
      <w:r>
        <w:rPr>
          <w:rFonts w:ascii="Segoe UI" w:hAnsi="Segoe UI"/>
          <w:color w:val="333333"/>
          <w:sz w:val="19"/>
        </w:rPr>
        <w:t>Área de segurança destacada a vermelho para reinicialização do sistema. Permite limpar todos os dados e repor o catálogo original de fábrica, realizando sempre um backup automático prévio de proteção.</w:t>
      </w:r>
    </w:p>
    <w:p>
      <w:pPr>
        <w:pStyle w:val="Heading1"/>
        <w:keepNext/>
        <w:spacing w:before="360" w:after="160"/>
      </w:pPr>
      <w:r>
        <w:rPr>
          <w:rFonts w:ascii="Segoe UI" w:hAnsi="Segoe UI"/>
          <w:color w:val="0C3C60"/>
          <w:sz w:val="32"/>
        </w:rPr>
        <w:t>4. Guia Clínico: Ficha Cirúrgica e Planeamento</w:t>
      </w:r>
    </w:p>
    <w:p>
      <w:pPr>
        <w:spacing w:after="120" w:line="276" w:lineRule="auto"/>
      </w:pPr>
      <w:r>
        <w:rPr>
          <w:rFonts w:ascii="Segoe UI" w:hAnsi="Segoe UI"/>
          <w:color w:val="333333"/>
          <w:sz w:val="20"/>
        </w:rPr>
        <w:t>A criação de uma Ficha Cirúrgica representa o coração operacional da aplicação. O formulário divide-se em 4 secções estruturadas que garantem um registo clínico completo e a devida gestão de stock.</w:t>
      </w:r>
    </w:p>
    <w:p>
      <w:pPr>
        <w:pStyle w:val="Heading2"/>
        <w:keepNext/>
        <w:spacing w:before="280" w:after="80"/>
      </w:pPr>
      <w:r>
        <w:rPr>
          <w:rFonts w:ascii="Segoe UI" w:hAnsi="Segoe UI"/>
          <w:color w:val="165A8C"/>
          <w:sz w:val="26"/>
        </w:rPr>
        <w:t>4.1. Secção 1 — Identificação do Paciente</w:t>
      </w:r>
    </w:p>
    <w:p>
      <w:pPr>
        <w:pStyle w:val="ListBullet"/>
        <w:spacing w:after="60" w:line="276" w:lineRule="auto"/>
      </w:pPr>
      <w:r>
        <w:rPr>
          <w:rFonts w:ascii="Segoe UI" w:hAnsi="Segoe UI"/>
          <w:b/>
          <w:color w:val="0C3C60"/>
          <w:sz w:val="19"/>
        </w:rPr>
        <w:t xml:space="preserve">Nº Processo / ID: </w:t>
      </w:r>
      <w:r>
        <w:rPr>
          <w:rFonts w:ascii="Segoe UI" w:hAnsi="Segoe UI"/>
          <w:color w:val="333333"/>
          <w:sz w:val="19"/>
        </w:rPr>
        <w:t>Identificador único interno da clínica (ex: 2026-042 ou P-115). O sistema valida duplicados e impede a criação de dois processos com o mesmo número.</w:t>
      </w:r>
    </w:p>
    <w:p>
      <w:pPr>
        <w:pStyle w:val="ListBullet"/>
        <w:spacing w:after="60" w:line="276" w:lineRule="auto"/>
      </w:pPr>
      <w:r>
        <w:rPr>
          <w:rFonts w:ascii="Segoe UI" w:hAnsi="Segoe UI"/>
          <w:b/>
          <w:color w:val="0C3C60"/>
          <w:sz w:val="19"/>
        </w:rPr>
        <w:t xml:space="preserve">Data de Abertura do Processo (*): </w:t>
      </w:r>
      <w:r>
        <w:rPr>
          <w:rFonts w:ascii="Segoe UI" w:hAnsi="Segoe UI"/>
          <w:color w:val="333333"/>
          <w:sz w:val="19"/>
        </w:rPr>
        <w:t>Data da primeira consulta cirúrgica ou abertura de ficha. Campo obrigatório.</w:t>
      </w:r>
    </w:p>
    <w:p>
      <w:pPr>
        <w:pStyle w:val="ListBullet"/>
        <w:spacing w:after="60" w:line="276" w:lineRule="auto"/>
      </w:pPr>
      <w:r>
        <w:rPr>
          <w:rFonts w:ascii="Segoe UI" w:hAnsi="Segoe UI"/>
          <w:b/>
          <w:color w:val="0C3C60"/>
          <w:sz w:val="19"/>
        </w:rPr>
        <w:t xml:space="preserve">Data Próxima Consulta Geral: </w:t>
      </w:r>
      <w:r>
        <w:rPr>
          <w:rFonts w:ascii="Segoe UI" w:hAnsi="Segoe UI"/>
          <w:color w:val="333333"/>
          <w:sz w:val="19"/>
        </w:rPr>
        <w:t>Agendamento da próxima consulta de controlo ou intervenção. Alimenta o alerta automático de 'Consultas &lt; 7 Dias' no Dashboard.</w:t>
      </w:r>
    </w:p>
    <w:p>
      <w:pPr>
        <w:pStyle w:val="ListBullet"/>
        <w:spacing w:after="60" w:line="276" w:lineRule="auto"/>
      </w:pPr>
      <w:r>
        <w:rPr>
          <w:rFonts w:ascii="Segoe UI" w:hAnsi="Segoe UI"/>
          <w:b/>
          <w:color w:val="0C3C60"/>
          <w:sz w:val="19"/>
        </w:rPr>
        <w:t xml:space="preserve">Nome Completo (*): </w:t>
      </w:r>
      <w:r>
        <w:rPr>
          <w:rFonts w:ascii="Segoe UI" w:hAnsi="Segoe UI"/>
          <w:color w:val="333333"/>
          <w:sz w:val="19"/>
        </w:rPr>
        <w:t>Nome do paciente. Campo obrigatório e utilizado para pesquisas e emissão de relatórios.</w:t>
      </w:r>
    </w:p>
    <w:p>
      <w:pPr>
        <w:pStyle w:val="ListBullet"/>
        <w:spacing w:after="60" w:line="276" w:lineRule="auto"/>
      </w:pPr>
      <w:r>
        <w:rPr>
          <w:rFonts w:ascii="Segoe UI" w:hAnsi="Segoe UI"/>
          <w:b/>
          <w:color w:val="0C3C60"/>
          <w:sz w:val="19"/>
        </w:rPr>
        <w:t xml:space="preserve">Sexo e Data de Nascimento (*): </w:t>
      </w:r>
      <w:r>
        <w:rPr>
          <w:rFonts w:ascii="Segoe UI" w:hAnsi="Segoe UI"/>
          <w:color w:val="333333"/>
          <w:sz w:val="19"/>
        </w:rPr>
        <w:t>Campos fundamentais. O sistema valida se a data de nascimento não é no futuro nem posterior à data de abertura.</w:t>
      </w:r>
    </w:p>
    <w:p>
      <w:pPr>
        <w:pStyle w:val="ListBullet"/>
        <w:spacing w:after="60" w:line="276" w:lineRule="auto"/>
      </w:pPr>
      <w:r>
        <w:rPr>
          <w:rFonts w:ascii="Segoe UI" w:hAnsi="Segoe UI"/>
          <w:b/>
          <w:color w:val="0C3C60"/>
          <w:sz w:val="19"/>
        </w:rPr>
        <w:t xml:space="preserve">Riscos Clínicos: </w:t>
      </w:r>
      <w:r>
        <w:rPr>
          <w:rFonts w:ascii="Segoe UI" w:hAnsi="Segoe UI"/>
          <w:color w:val="333333"/>
          <w:sz w:val="19"/>
        </w:rPr>
        <w:t>Área de texto de alta visibilidade para registo de alergias (ex: penicilina, látex), patologias sistémicas (diabetes, hipertensão) e medicação relevante (anticoagulantes, bisfosfonatos). Nos relatórios em PDF, este campo é impresso a vermelho para máxima precaução da equipa cirúrgica.</w:t>
      </w:r>
    </w:p>
    <w:p>
      <w:pPr>
        <w:pStyle w:val="Heading2"/>
        <w:keepNext/>
        <w:spacing w:before="280" w:after="80"/>
      </w:pPr>
      <w:r>
        <w:rPr>
          <w:rFonts w:ascii="Segoe UI" w:hAnsi="Segoe UI"/>
          <w:color w:val="165A8C"/>
          <w:sz w:val="26"/>
        </w:rPr>
        <w:t>4.2. Secção 2 — Planeamento &amp; Biomateriais</w:t>
      </w:r>
    </w:p>
    <w:p>
      <w:pPr>
        <w:pStyle w:val="ListBullet"/>
        <w:spacing w:after="60" w:line="276" w:lineRule="auto"/>
      </w:pPr>
      <w:r>
        <w:rPr>
          <w:rFonts w:ascii="Segoe UI" w:hAnsi="Segoe UI"/>
          <w:b/>
          <w:color w:val="0C3C60"/>
          <w:sz w:val="19"/>
        </w:rPr>
        <w:t xml:space="preserve">Prótese Planeada: </w:t>
      </w:r>
      <w:r>
        <w:rPr>
          <w:rFonts w:ascii="Segoe UI" w:hAnsi="Segoe UI"/>
          <w:color w:val="333333"/>
          <w:sz w:val="19"/>
        </w:rPr>
        <w:t>Indicação do tipo de trabalho reabilitador previsto (ex: 'Prótese fixa total aparafusada tipo protocolo', 'Coroa unitária zircónio aparafusada', 'Ponte 3 elementos sobre 2 implantes').</w:t>
      </w:r>
    </w:p>
    <w:p>
      <w:pPr>
        <w:pStyle w:val="ListBullet"/>
        <w:spacing w:after="60" w:line="276" w:lineRule="auto"/>
      </w:pPr>
      <w:r>
        <w:rPr>
          <w:rFonts w:ascii="Segoe UI" w:hAnsi="Segoe UI"/>
          <w:b/>
          <w:color w:val="0C3C60"/>
          <w:sz w:val="19"/>
        </w:rPr>
        <w:t xml:space="preserve">Osso (Marca e Apresentação): </w:t>
      </w:r>
      <w:r>
        <w:rPr>
          <w:rFonts w:ascii="Segoe UI" w:hAnsi="Segoe UI"/>
          <w:color w:val="333333"/>
          <w:sz w:val="19"/>
        </w:rPr>
        <w:t>Registo do enxerto ósseo utilizado (ex: 'Bio-Oss grânulos pequenos 0.5g', 'Osso autólogo raspado').</w:t>
      </w:r>
    </w:p>
    <w:p>
      <w:pPr>
        <w:pStyle w:val="ListBullet"/>
        <w:spacing w:after="60" w:line="276" w:lineRule="auto"/>
      </w:pPr>
      <w:r>
        <w:rPr>
          <w:rFonts w:ascii="Segoe UI" w:hAnsi="Segoe UI"/>
          <w:b/>
          <w:color w:val="0C3C60"/>
          <w:sz w:val="19"/>
        </w:rPr>
        <w:t xml:space="preserve">Membrana: </w:t>
      </w:r>
      <w:r>
        <w:rPr>
          <w:rFonts w:ascii="Segoe UI" w:hAnsi="Segoe UI"/>
          <w:color w:val="333333"/>
          <w:sz w:val="19"/>
        </w:rPr>
        <w:t>Registo da membrana biológica associada (ex: 'Bio-Gide 25x25mm', 'Membrana de titânio').</w:t>
      </w:r>
    </w:p>
    <w:p>
      <w:pPr>
        <w:pStyle w:val="Heading2"/>
        <w:keepNext/>
        <w:spacing w:before="280" w:after="80"/>
      </w:pPr>
      <w:r>
        <w:rPr>
          <w:rFonts w:ascii="Segoe UI" w:hAnsi="Segoe UI"/>
          <w:color w:val="165A8C"/>
          <w:sz w:val="26"/>
        </w:rPr>
        <w:t>4.3. Secção 3 — Componentes por Dente / Zona Anatómica</w:t>
      </w:r>
    </w:p>
    <w:p>
      <w:pPr>
        <w:spacing w:after="120" w:line="276" w:lineRule="auto"/>
      </w:pPr>
      <w:r>
        <w:rPr>
          <w:rFonts w:ascii="Segoe UI" w:hAnsi="Segoe UI"/>
          <w:color w:val="333333"/>
          <w:sz w:val="20"/>
        </w:rPr>
        <w:t>Pode adicionar quantos dentes ou zonas cirúrgicas forem necessários clicando em '+ Adicionar Dente / Zona a Tratar'. Cada linha de dente contém:</w:t>
      </w:r>
    </w:p>
    <w:p>
      <w:pPr>
        <w:pStyle w:val="ListBullet"/>
        <w:spacing w:after="60" w:line="276" w:lineRule="auto"/>
      </w:pPr>
      <w:r>
        <w:rPr>
          <w:rFonts w:ascii="Segoe UI" w:hAnsi="Segoe UI"/>
          <w:b/>
          <w:color w:val="0C3C60"/>
          <w:sz w:val="19"/>
        </w:rPr>
        <w:t xml:space="preserve">Identificação do Dente / Zona: </w:t>
      </w:r>
      <w:r>
        <w:rPr>
          <w:rFonts w:ascii="Segoe UI" w:hAnsi="Segoe UI"/>
          <w:color w:val="333333"/>
          <w:sz w:val="19"/>
        </w:rPr>
        <w:t>Número do dente em notação FDI (ex: 16, 21, 36, 47) ou designação da zona (ex: 'Zona 15-16', '16-Distal'). Dentes duplicados na mesma ficha são bloqueados para evitar ambiguidades no cronograma.</w:t>
      </w:r>
    </w:p>
    <w:p>
      <w:pPr>
        <w:pStyle w:val="ListBullet"/>
        <w:spacing w:after="60" w:line="276" w:lineRule="auto"/>
      </w:pPr>
      <w:r>
        <w:rPr>
          <w:rFonts w:ascii="Segoe UI" w:hAnsi="Segoe UI"/>
          <w:b/>
          <w:color w:val="0C3C60"/>
          <w:sz w:val="19"/>
        </w:rPr>
        <w:t xml:space="preserve">Torque Cirúrgico (Ncm): </w:t>
      </w:r>
      <w:r>
        <w:rPr>
          <w:rFonts w:ascii="Segoe UI" w:hAnsi="Segoe UI"/>
          <w:color w:val="333333"/>
          <w:sz w:val="19"/>
        </w:rPr>
        <w:t>Valor numérico do torque final de assentamento (ex: 35, 45, 50 Ncm). Elemento essencial para decisões de carga imediata versus carga diferida.</w:t>
      </w:r>
    </w:p>
    <w:p>
      <w:pPr>
        <w:pStyle w:val="ListBullet"/>
        <w:spacing w:after="60" w:line="276" w:lineRule="auto"/>
      </w:pPr>
      <w:r>
        <w:rPr>
          <w:rFonts w:ascii="Segoe UI" w:hAnsi="Segoe UI"/>
          <w:b/>
          <w:color w:val="0C3C60"/>
          <w:sz w:val="19"/>
        </w:rPr>
        <w:t xml:space="preserve">Estado Atual: </w:t>
      </w:r>
      <w:r>
        <w:rPr>
          <w:rFonts w:ascii="Segoe UI" w:hAnsi="Segoe UI"/>
          <w:color w:val="333333"/>
          <w:sz w:val="19"/>
        </w:rPr>
        <w:t>Define o momento clínico do dente:</w:t>
      </w:r>
    </w:p>
    <w:p>
      <w:pPr>
        <w:spacing w:after="120" w:line="276" w:lineRule="auto"/>
      </w:pPr>
      <w:r>
        <w:rPr>
          <w:rFonts w:ascii="Segoe UI" w:hAnsi="Segoe UI"/>
          <w:color w:val="333333"/>
          <w:sz w:val="20"/>
        </w:rPr>
        <w:t xml:space="preserve">  • Planeamento: Fase preparatória. As peças selecionadas NÃO abatem stock, permitindo calcular necessidades de encomenda antes da cirurgia.</w:t>
        <w:br/>
        <w:t xml:space="preserve">  • Em osseointegração: Implante colocado em período de cicatrização óssea primária.</w:t>
        <w:br/>
        <w:t xml:space="preserve">  • Tampa colocada: 2º tempo cirúrgico; colocação da tampa de cicatrização para perfil tecidular.</w:t>
        <w:br/>
        <w:t xml:space="preserve">  • Pilar instalado: Instalação do pilar transepiteliar definitivo ou provisório.</w:t>
        <w:br/>
        <w:t xml:space="preserve">  • Coroa entregue: Trabalho protético final cimentado ou aparafusado e reabilitação concluída.</w:t>
        <w:br/>
        <w:t xml:space="preserve">  • Complicação / Aviso: Alerta para intercorrências (ex: perda de implante, mucosite, peri-implantite, reabsorção óssea, fratura de parafuso).</w:t>
      </w:r>
    </w:p>
    <w:p>
      <w:pPr>
        <w:pStyle w:val="ListBullet"/>
        <w:spacing w:after="60" w:line="276" w:lineRule="auto"/>
      </w:pPr>
      <w:r>
        <w:rPr>
          <w:rFonts w:ascii="Segoe UI" w:hAnsi="Segoe UI"/>
          <w:b/>
          <w:color w:val="0C3C60"/>
          <w:sz w:val="19"/>
        </w:rPr>
        <w:t xml:space="preserve">Campo Implante: </w:t>
      </w:r>
      <w:r>
        <w:rPr>
          <w:rFonts w:ascii="Segoe UI" w:hAnsi="Segoe UI"/>
          <w:color w:val="333333"/>
          <w:sz w:val="19"/>
        </w:rPr>
        <w:t>Seleção do implante com autocomplete inteligente (filtrado automaticamente pelas famílias IPX e ICI).</w:t>
      </w:r>
    </w:p>
    <w:p>
      <w:pPr>
        <w:pStyle w:val="ListBullet"/>
        <w:spacing w:after="60" w:line="276" w:lineRule="auto"/>
      </w:pPr>
      <w:r>
        <w:rPr>
          <w:rFonts w:ascii="Segoe UI" w:hAnsi="Segoe UI"/>
          <w:b/>
          <w:color w:val="0C3C60"/>
          <w:sz w:val="19"/>
        </w:rPr>
        <w:t xml:space="preserve">Campo Pilar / Trans.: </w:t>
      </w:r>
      <w:r>
        <w:rPr>
          <w:rFonts w:ascii="Segoe UI" w:hAnsi="Segoe UI"/>
          <w:color w:val="333333"/>
          <w:sz w:val="19"/>
        </w:rPr>
        <w:t>Seleção do pilar com autocomplete inteligente (MUSR, MUSA, MUST, EMU, etc.).</w:t>
      </w:r>
    </w:p>
    <w:p>
      <w:pPr>
        <w:pStyle w:val="ListBullet"/>
        <w:spacing w:after="60" w:line="276" w:lineRule="auto"/>
      </w:pPr>
      <w:r>
        <w:rPr>
          <w:rFonts w:ascii="Segoe UI" w:hAnsi="Segoe UI"/>
          <w:b/>
          <w:color w:val="0C3C60"/>
          <w:sz w:val="19"/>
        </w:rPr>
        <w:t xml:space="preserve">Campo Peças Adicionais (Multi-peças): </w:t>
      </w:r>
      <w:r>
        <w:rPr>
          <w:rFonts w:ascii="Segoe UI" w:hAnsi="Segoe UI"/>
          <w:color w:val="333333"/>
          <w:sz w:val="19"/>
        </w:rPr>
        <w:t>Permite associar até 10 componentes adicionais por dente (tampas de cicatrização, scan bodies digitais, interfases de titânio, transferes de impressão, parafusos definitivos, análogos). Cada peça digitada ou selecionada transforma-se numa 'etiqueta' (chip) removível.</w:t>
      </w:r>
    </w:p>
    <w:p>
      <w:pPr>
        <w:pStyle w:val="Heading2"/>
        <w:keepNext/>
        <w:spacing w:before="280" w:after="80"/>
      </w:pPr>
      <w:r>
        <w:rPr>
          <w:rFonts w:ascii="Segoe UI" w:hAnsi="Segoe UI"/>
          <w:color w:val="165A8C"/>
          <w:sz w:val="26"/>
        </w:rPr>
        <w:t>4.4. Sistema Inteligente de Verificação de Compatibilidade</w:t>
      </w:r>
    </w:p>
    <w:p>
      <w:pPr>
        <w:spacing w:after="120" w:line="276" w:lineRule="auto"/>
      </w:pPr>
      <w:r>
        <w:rPr>
          <w:rFonts w:ascii="Segoe UI" w:hAnsi="Segoe UI"/>
          <w:color w:val="333333"/>
          <w:sz w:val="20"/>
        </w:rPr>
        <w:t>Para evitar a utilização inadvertida de peças incompatíveis em mesa cirúrgica, o sistema analisa automaticamente as referências inseridas em dois níveis rigorosos:</w:t>
      </w:r>
    </w:p>
    <w:p>
      <w:pPr>
        <w:pStyle w:val="ListBullet"/>
        <w:spacing w:after="60" w:line="276" w:lineRule="auto"/>
      </w:pPr>
      <w:r>
        <w:rPr>
          <w:rFonts w:ascii="Segoe UI" w:hAnsi="Segoe UI"/>
          <w:b/>
          <w:color w:val="0C3C60"/>
          <w:sz w:val="19"/>
        </w:rPr>
        <w:t xml:space="preserve">Nível 1 — Implante ↔ Pilar (Métrica): </w:t>
      </w:r>
      <w:r>
        <w:rPr>
          <w:rFonts w:ascii="Segoe UI" w:hAnsi="Segoe UI"/>
          <w:color w:val="333333"/>
          <w:sz w:val="19"/>
        </w:rPr>
        <w:t>Os implantes e pilares da série Único M2 possuem métrica de conexão Ø2.0mm, sendo física e mecanicamente incompatíveis com o sistema Clássico Galimplant (métrica Ø1.6mm). Se misturar um implante M2 com um pilar Clássico (ou vice-versa), os campos ficam com rebordo vermelho forte e surge um aviso descritivo.</w:t>
      </w:r>
    </w:p>
    <w:p>
      <w:pPr>
        <w:pStyle w:val="ListBullet"/>
        <w:spacing w:after="60" w:line="276" w:lineRule="auto"/>
      </w:pPr>
      <w:r>
        <w:rPr>
          <w:rFonts w:ascii="Segoe UI" w:hAnsi="Segoe UI"/>
          <w:b/>
          <w:color w:val="0C3C60"/>
          <w:sz w:val="19"/>
        </w:rPr>
        <w:t xml:space="preserve">Nível 2 — Pilar ↔ Peças Adicionais: </w:t>
      </w:r>
      <w:r>
        <w:rPr>
          <w:rFonts w:ascii="Segoe UI" w:hAnsi="Segoe UI"/>
          <w:color w:val="333333"/>
          <w:sz w:val="19"/>
        </w:rPr>
        <w:t>Cada família de pilar multi-posição (Estético Estreito 3.8mm, Unitário 3.8mm, Ancho Múltiplo 4.8mm, Ancho Unitário M2 4.8mm, Transformável a Externa M2, Recto não-estético) possui tampas, parafusos e transferes próprios. Se tentar associar uma tampa não desenhada para o pilar escolhido, o chip da peça fica destacado a vermelho com aviso de incompatibilidade.</w:t>
      </w:r>
    </w:p>
    <w:p>
      <w:pPr>
        <w:pStyle w:val="Heading2"/>
        <w:keepNext/>
        <w:spacing w:before="280" w:after="80"/>
      </w:pPr>
      <w:r>
        <w:rPr>
          <w:rFonts w:ascii="Segoe UI" w:hAnsi="Segoe UI"/>
          <w:color w:val="165A8C"/>
          <w:sz w:val="26"/>
        </w:rPr>
        <w:t>4.5. Secção 4 — Cronograma Clínico e Observações por Fase</w:t>
      </w:r>
    </w:p>
    <w:p>
      <w:pPr>
        <w:spacing w:after="120" w:line="276" w:lineRule="auto"/>
      </w:pPr>
      <w:r>
        <w:rPr>
          <w:rFonts w:ascii="Segoe UI" w:hAnsi="Segoe UI"/>
          <w:color w:val="333333"/>
          <w:sz w:val="20"/>
        </w:rPr>
        <w:t>Logo abaixo da definição das peças, o sistema gera automaticamente áreas dedicadas para cada dente/zona, divididas pelas 3 fases clássicas do tratamento:</w:t>
      </w:r>
    </w:p>
    <w:p>
      <w:pPr>
        <w:pStyle w:val="ListBullet"/>
        <w:spacing w:after="60" w:line="276" w:lineRule="auto"/>
      </w:pPr>
      <w:r>
        <w:rPr>
          <w:rFonts w:ascii="Segoe UI" w:hAnsi="Segoe UI"/>
          <w:b/>
          <w:color w:val="0C3C60"/>
          <w:sz w:val="19"/>
        </w:rPr>
        <w:t xml:space="preserve">Fase 1: Cirurgia Implantar: </w:t>
      </w:r>
      <w:r>
        <w:rPr>
          <w:rFonts w:ascii="Segoe UI" w:hAnsi="Segoe UI"/>
          <w:color w:val="333333"/>
          <w:sz w:val="19"/>
        </w:rPr>
        <w:t>Data exata da cirurgia e notas de evolução (estabilidade primária, tipo de osso D1/D2/D3/D4, regeneração óssea guiada, tipo de sutura, medicação prescrita).</w:t>
      </w:r>
    </w:p>
    <w:p>
      <w:pPr>
        <w:pStyle w:val="ListBullet"/>
        <w:spacing w:after="60" w:line="276" w:lineRule="auto"/>
      </w:pPr>
      <w:r>
        <w:rPr>
          <w:rFonts w:ascii="Segoe UI" w:hAnsi="Segoe UI"/>
          <w:b/>
          <w:color w:val="0C3C60"/>
          <w:sz w:val="19"/>
        </w:rPr>
        <w:t xml:space="preserve">Fase 2: Avaliação / Reabertura: </w:t>
      </w:r>
      <w:r>
        <w:rPr>
          <w:rFonts w:ascii="Segoe UI" w:hAnsi="Segoe UI"/>
          <w:color w:val="333333"/>
          <w:sz w:val="19"/>
        </w:rPr>
        <w:t>Data de avaliação tecidular e notas (estabilidade após 8 a 12 semanas, remoção de parafuso de fecho, colocação de tampa de cicatrização, qualidade da gengiva queratinizada).</w:t>
      </w:r>
    </w:p>
    <w:p>
      <w:pPr>
        <w:pStyle w:val="ListBullet"/>
        <w:spacing w:after="60" w:line="276" w:lineRule="auto"/>
      </w:pPr>
      <w:r>
        <w:rPr>
          <w:rFonts w:ascii="Segoe UI" w:hAnsi="Segoe UI"/>
          <w:b/>
          <w:color w:val="0C3C60"/>
          <w:sz w:val="19"/>
        </w:rPr>
        <w:t xml:space="preserve">Fase 3: Colocação de Coroa / Prótese: </w:t>
      </w:r>
      <w:r>
        <w:rPr>
          <w:rFonts w:ascii="Segoe UI" w:hAnsi="Segoe UI"/>
          <w:color w:val="333333"/>
          <w:sz w:val="19"/>
        </w:rPr>
        <w:t>Data de entrega da prótese e notas (prova de estrutura, ajustes de pontos de contacto, torque de aperto do parafuso protético a 25-30 Ncm, selamento de chaminé, radiografia de controlo).</w:t>
      </w:r>
    </w:p>
    <w:p>
      <w:pPr>
        <w:pStyle w:val="Heading2"/>
        <w:keepNext/>
        <w:spacing w:before="280" w:after="80"/>
      </w:pPr>
      <w:r>
        <w:rPr>
          <w:rFonts w:ascii="Segoe UI" w:hAnsi="Segoe UI"/>
          <w:color w:val="165A8C"/>
          <w:sz w:val="26"/>
        </w:rPr>
        <w:t>4.6. Gravação da Ficha, Alertas de Planeamento e Abate de Stock</w:t>
      </w:r>
    </w:p>
    <w:p>
      <w:pPr>
        <w:spacing w:after="120" w:line="276" w:lineRule="auto"/>
      </w:pPr>
      <w:r>
        <w:rPr>
          <w:rFonts w:ascii="Segoe UI" w:hAnsi="Segoe UI"/>
          <w:color w:val="333333"/>
          <w:sz w:val="20"/>
        </w:rPr>
        <w:t>Ao premir o botão verde 'Gravar Ficha e Abater Stock', o sistema executa o seguinte protocolo de segurança e apoio ao planeamento:</w:t>
      </w:r>
    </w:p>
    <w:p>
      <w:pPr>
        <w:spacing w:after="120" w:line="276" w:lineRule="auto"/>
      </w:pPr>
      <w:r>
        <w:rPr>
          <w:rFonts w:ascii="Segoe UI" w:hAnsi="Segoe UI"/>
          <w:color w:val="333333"/>
          <w:sz w:val="20"/>
        </w:rPr>
        <w:t>1. Validação de dados obrigatórios (Nome, Data de Abertura, Nascimento, Dentes).</w:t>
        <w:br/>
        <w:t>2. Análise de Peças em Planeamento: Para todos os dentes em estado 'Planeamento', o sistema cruza as peças necessárias com o stock disponível no armário. A gravação NÃO é bloqueada, mas se faltarem peças, surge uma janela modal detalhada indicando exatamente o que está em falta (Necessário | Em Stock | A Encomendar) com um botão direto '📦 Abrir Lista de Encomendas' para exportar o PDF para a Galimplant.</w:t>
        <w:br/>
        <w:t>3. Verificação de Peças Ativas (Cirurgia Imediata): Para dentes em fases cirúrgicas ativas (fora de Planeamento), se alguma peça estiver com stock inferior ao total necessário, A GRAVAÇÃO É INTERROMPIDA com indicação da referência em falta, impedindo stocks negativos acidentais.</w:t>
        <w:br/>
        <w:t>4. Abate de stock: deduz 1 unidade no inventário para cada implante, pilar e peça adicional que NÃO esteja em 'Planeamento'.</w:t>
        <w:br/>
        <w:t>5. Avisos Visuais em Tempo Real no Formulário: Sempre que seleciona ou altera uma peça, surge uma notificação com as quantidades e uma caixa amarela (.aviso-stock) sob o dente com a indicação de carências no armário.</w:t>
        <w:br/>
        <w:t>6. Emissão de avisos imediatos se alguma peça ficou em nível crítico (&lt;= 2 unidades).</w:t>
        <w:br/>
        <w:t>7. Acionamento da sincronização em nuvem silenciosa (se o Google Drive estiver ligado).</w:t>
      </w:r>
    </w:p>
    <w:p>
      <w:pPr>
        <w:pStyle w:val="Heading1"/>
        <w:keepNext/>
        <w:spacing w:before="360" w:after="160"/>
      </w:pPr>
      <w:r>
        <w:rPr>
          <w:rFonts w:ascii="Segoe UI" w:hAnsi="Segoe UI"/>
          <w:color w:val="0C3C60"/>
          <w:sz w:val="32"/>
        </w:rPr>
        <w:t>5. Histórico Clínico e Edição Segura de Fichas</w:t>
      </w:r>
    </w:p>
    <w:p>
      <w:pPr>
        <w:spacing w:after="120" w:line="276" w:lineRule="auto"/>
      </w:pPr>
      <w:r>
        <w:rPr>
          <w:rFonts w:ascii="Segoe UI" w:hAnsi="Segoe UI"/>
          <w:color w:val="333333"/>
          <w:sz w:val="20"/>
        </w:rPr>
        <w:t>O módulo 'Histórico de Fichas Clínicas' armazena todas as intervenções realizadas, permitindo auditoria cirúrgica e consulta instantânea do histórico protético de qualquer paciente.</w:t>
      </w:r>
    </w:p>
    <w:p>
      <w:pPr>
        <w:pStyle w:val="Heading2"/>
        <w:keepNext/>
        <w:spacing w:before="280" w:after="80"/>
      </w:pPr>
      <w:r>
        <w:rPr>
          <w:rFonts w:ascii="Segoe UI" w:hAnsi="Segoe UI"/>
          <w:color w:val="165A8C"/>
          <w:sz w:val="26"/>
        </w:rPr>
        <w:t>5.1. Pesquisa e Filtros no Histórico</w:t>
      </w:r>
    </w:p>
    <w:p>
      <w:pPr>
        <w:pStyle w:val="ListBullet"/>
        <w:spacing w:after="60" w:line="276" w:lineRule="auto"/>
      </w:pPr>
      <w:r>
        <w:rPr>
          <w:rFonts w:ascii="Segoe UI" w:hAnsi="Segoe UI"/>
          <w:b/>
          <w:color w:val="0C3C60"/>
          <w:sz w:val="19"/>
        </w:rPr>
        <w:t xml:space="preserve">Filtro por Nome / Processo: </w:t>
      </w:r>
      <w:r>
        <w:rPr>
          <w:rFonts w:ascii="Segoe UI" w:hAnsi="Segoe UI"/>
          <w:color w:val="333333"/>
          <w:sz w:val="19"/>
        </w:rPr>
        <w:t>Pesquisa instantânea à medida que digita quer pelo nome do paciente quer pelo número de processo.</w:t>
      </w:r>
    </w:p>
    <w:p>
      <w:pPr>
        <w:pStyle w:val="ListBullet"/>
        <w:spacing w:after="60" w:line="276" w:lineRule="auto"/>
      </w:pPr>
      <w:r>
        <w:rPr>
          <w:rFonts w:ascii="Segoe UI" w:hAnsi="Segoe UI"/>
          <w:b/>
          <w:color w:val="0C3C60"/>
          <w:sz w:val="19"/>
        </w:rPr>
        <w:t xml:space="preserve">Filtro por Sexo: </w:t>
      </w:r>
      <w:r>
        <w:rPr>
          <w:rFonts w:ascii="Segoe UI" w:hAnsi="Segoe UI"/>
          <w:color w:val="333333"/>
          <w:sz w:val="19"/>
        </w:rPr>
        <w:t>Filtra por Masculino, Feminino ou Todos.</w:t>
      </w:r>
    </w:p>
    <w:p>
      <w:pPr>
        <w:pStyle w:val="ListBullet"/>
        <w:spacing w:after="60" w:line="276" w:lineRule="auto"/>
      </w:pPr>
      <w:r>
        <w:rPr>
          <w:rFonts w:ascii="Segoe UI" w:hAnsi="Segoe UI"/>
          <w:b/>
          <w:color w:val="0C3C60"/>
          <w:sz w:val="19"/>
        </w:rPr>
        <w:t xml:space="preserve">Filtro por Data de Abertura: </w:t>
      </w:r>
      <w:r>
        <w:rPr>
          <w:rFonts w:ascii="Segoe UI" w:hAnsi="Segoe UI"/>
          <w:color w:val="333333"/>
          <w:sz w:val="19"/>
        </w:rPr>
        <w:t>Permite localizar todas as fichas abertas num dia específico.</w:t>
      </w:r>
    </w:p>
    <w:p>
      <w:pPr>
        <w:pStyle w:val="ListBullet"/>
        <w:spacing w:after="60" w:line="276" w:lineRule="auto"/>
      </w:pPr>
      <w:r>
        <w:rPr>
          <w:rFonts w:ascii="Segoe UI" w:hAnsi="Segoe UI"/>
          <w:b/>
          <w:color w:val="0C3C60"/>
          <w:sz w:val="19"/>
        </w:rPr>
        <w:t xml:space="preserve">Filtro por Estágio Clínico: </w:t>
      </w:r>
      <w:r>
        <w:rPr>
          <w:rFonts w:ascii="Segoe UI" w:hAnsi="Segoe UI"/>
          <w:color w:val="333333"/>
          <w:sz w:val="19"/>
        </w:rPr>
        <w:t>Permite isolar pacientes por fase de tratamento: 'Planeamento', 'Em osseointegração', 'Tampa colocada', 'Pilar instalado', 'Coroa entregue', 'Aviso / Complicação' ou 'Estado misto' (pacientes com múltiplos implantes em fases diferentes).</w:t>
      </w:r>
    </w:p>
    <w:p>
      <w:pPr>
        <w:pStyle w:val="Heading2"/>
        <w:keepNext/>
        <w:spacing w:before="280" w:after="80"/>
      </w:pPr>
      <w:r>
        <w:rPr>
          <w:rFonts w:ascii="Segoe UI" w:hAnsi="Segoe UI"/>
          <w:color w:val="165A8C"/>
          <w:sz w:val="26"/>
        </w:rPr>
        <w:t>5.2. Modo de Edição Segura e Bloqueio Preventivo de Peças</w:t>
      </w:r>
    </w:p>
    <w:p>
      <w:pPr>
        <w:spacing w:after="120" w:line="276" w:lineRule="auto"/>
      </w:pPr>
      <w:r>
        <w:rPr>
          <w:rFonts w:ascii="Segoe UI" w:hAnsi="Segoe UI"/>
          <w:color w:val="333333"/>
          <w:sz w:val="20"/>
        </w:rPr>
        <w:t>Ao carregar numa ficha para 'Editar', o formulário abre com uma barreira de segurança visual (borda amarela no topo e etiqueta '(Peças bloqueadas)'). Esta proteção impede que um utilizador que pretenda apenas atualizar uma data de consulta ou acrescentar notas de evolução altere sem querer a referência do implante ou pilar.</w:t>
      </w:r>
    </w:p>
    <w:p>
      <w:pPr>
        <w:pStyle w:val="ListBullet"/>
        <w:spacing w:after="60" w:line="276" w:lineRule="auto"/>
      </w:pPr>
      <w:r>
        <w:rPr>
          <w:rFonts w:ascii="Segoe UI" w:hAnsi="Segoe UI"/>
          <w:b/>
          <w:color w:val="0C3C60"/>
          <w:sz w:val="19"/>
        </w:rPr>
        <w:t xml:space="preserve">Desbloqueio Deliberado: </w:t>
      </w:r>
      <w:r>
        <w:rPr>
          <w:rFonts w:ascii="Segoe UI" w:hAnsi="Segoe UI"/>
          <w:color w:val="333333"/>
          <w:sz w:val="19"/>
        </w:rPr>
        <w:t>Se precisar de corrigir efetivamente as peças (por exemplo, porque foi colocado outro comprimento de implante na cirurgia), clique no botão castanho '🔓 Corrigir Peças'. O sistema solicitará confirmação explícita.</w:t>
      </w:r>
    </w:p>
    <w:p>
      <w:pPr>
        <w:pStyle w:val="ListBullet"/>
        <w:spacing w:after="60" w:line="276" w:lineRule="auto"/>
      </w:pPr>
      <w:r>
        <w:rPr>
          <w:rFonts w:ascii="Segoe UI" w:hAnsi="Segoe UI"/>
          <w:b/>
          <w:color w:val="0C3C60"/>
          <w:sz w:val="19"/>
        </w:rPr>
        <w:t xml:space="preserve">Reconciliação Multiconjunto Automática: </w:t>
      </w:r>
      <w:r>
        <w:rPr>
          <w:rFonts w:ascii="Segoe UI" w:hAnsi="Segoe UI"/>
          <w:color w:val="333333"/>
          <w:sz w:val="19"/>
        </w:rPr>
        <w:t>Ao gravar a ficha editada, o sistema compara as peças que estavam registadas anteriormente com as novas. Devolve automaticamente ao stock as peças que foram retiradas e deduz do stock as novas peças colocadas. Se mudar o estado de um dente de 'Planeamento' para 'Em osseointegração', as peças desse dente são abatidas pela primeira vez com validação prévia de inventário.</w:t>
      </w:r>
    </w:p>
    <w:p>
      <w:pPr>
        <w:pStyle w:val="Heading2"/>
        <w:keepNext/>
        <w:spacing w:before="280" w:after="80"/>
      </w:pPr>
      <w:r>
        <w:rPr>
          <w:rFonts w:ascii="Segoe UI" w:hAnsi="Segoe UI"/>
          <w:color w:val="165A8C"/>
          <w:sz w:val="26"/>
        </w:rPr>
        <w:t>5.3. Eliminação de Fichas Clínicas</w:t>
      </w:r>
    </w:p>
    <w:p>
      <w:pPr>
        <w:spacing w:after="120" w:line="276" w:lineRule="auto"/>
      </w:pPr>
      <w:r>
        <w:rPr>
          <w:rFonts w:ascii="Segoe UI" w:hAnsi="Segoe UI"/>
          <w:color w:val="333333"/>
          <w:sz w:val="20"/>
        </w:rPr>
        <w:t>Ao carregar no botão '✕' (Eliminar) numa ficha do histórico, o sistema exige confirmação com aviso irreversível. Caso confirme, as peças associadas aos dentes (que não estavam em planeamento) REGRESSAM AUTOMATICAMENTE ao inventário, repondo os níveis exatos de stock.</w:t>
      </w:r>
    </w:p>
    <w:p>
      <w:pPr>
        <w:pStyle w:val="Heading1"/>
        <w:keepNext/>
        <w:spacing w:before="360" w:after="160"/>
      </w:pPr>
      <w:r>
        <w:rPr>
          <w:rFonts w:ascii="Segoe UI" w:hAnsi="Segoe UI"/>
          <w:color w:val="0C3C60"/>
          <w:sz w:val="32"/>
        </w:rPr>
        <w:t>6. Gestão de Inventário e Lista de Encomendas</w:t>
      </w:r>
    </w:p>
    <w:p>
      <w:pPr>
        <w:spacing w:after="120" w:line="276" w:lineRule="auto"/>
      </w:pPr>
      <w:r>
        <w:rPr>
          <w:rFonts w:ascii="Segoe UI" w:hAnsi="Segoe UI"/>
          <w:color w:val="333333"/>
          <w:sz w:val="20"/>
        </w:rPr>
        <w:t>O inventário garante o controlo exato de gaveta de cada referência Galimplant presente no armário cirúrgico da clínica.</w:t>
      </w:r>
    </w:p>
    <w:p>
      <w:pPr>
        <w:pStyle w:val="Heading2"/>
        <w:keepNext/>
        <w:spacing w:before="280" w:after="80"/>
      </w:pPr>
      <w:r>
        <w:rPr>
          <w:rFonts w:ascii="Segoe UI" w:hAnsi="Segoe UI"/>
          <w:color w:val="165A8C"/>
          <w:sz w:val="26"/>
        </w:rPr>
        <w:t>6.1. Tabela de Inventário em Tempo Real</w:t>
      </w:r>
    </w:p>
    <w:p>
      <w:pPr>
        <w:pStyle w:val="ListBullet"/>
        <w:spacing w:after="60" w:line="276" w:lineRule="auto"/>
      </w:pPr>
      <w:r>
        <w:rPr>
          <w:rFonts w:ascii="Segoe UI" w:hAnsi="Segoe UI"/>
          <w:b/>
          <w:color w:val="0C3C60"/>
          <w:sz w:val="19"/>
        </w:rPr>
        <w:t xml:space="preserve">Barra de Filtro: </w:t>
      </w:r>
      <w:r>
        <w:rPr>
          <w:rFonts w:ascii="Segoe UI" w:hAnsi="Segoe UI"/>
          <w:color w:val="333333"/>
          <w:sz w:val="19"/>
        </w:rPr>
        <w:t>Permite pesquisar instantaneamente qualquer peça escrevendo a referência (ex: '4010') ou a descrição (ex: '3.5mm').</w:t>
      </w:r>
    </w:p>
    <w:p>
      <w:pPr>
        <w:pStyle w:val="ListBullet"/>
        <w:spacing w:after="60" w:line="276" w:lineRule="auto"/>
      </w:pPr>
      <w:r>
        <w:rPr>
          <w:rFonts w:ascii="Segoe UI" w:hAnsi="Segoe UI"/>
          <w:b/>
          <w:color w:val="0C3C60"/>
          <w:sz w:val="19"/>
        </w:rPr>
        <w:t xml:space="preserve">Badges de Estado: </w:t>
      </w:r>
      <w:r>
        <w:rPr>
          <w:rFonts w:ascii="Segoe UI" w:hAnsi="Segoe UI"/>
          <w:color w:val="333333"/>
          <w:sz w:val="19"/>
        </w:rPr>
        <w:t>'OK' a verde (3 ou mais unidades); 'Crítico' a amarelo (1 ou 2 unidades); 'S/ Stock' a vermelho (0 unidades).</w:t>
      </w:r>
    </w:p>
    <w:p>
      <w:pPr>
        <w:pStyle w:val="ListBullet"/>
        <w:spacing w:after="60" w:line="276" w:lineRule="auto"/>
      </w:pPr>
      <w:r>
        <w:rPr>
          <w:rFonts w:ascii="Segoe UI" w:hAnsi="Segoe UI"/>
          <w:b/>
          <w:color w:val="0C3C60"/>
          <w:sz w:val="19"/>
        </w:rPr>
        <w:t xml:space="preserve">Ajuste Manual Rápido: </w:t>
      </w:r>
      <w:r>
        <w:rPr>
          <w:rFonts w:ascii="Segoe UI" w:hAnsi="Segoe UI"/>
          <w:color w:val="333333"/>
          <w:sz w:val="19"/>
        </w:rPr>
        <w:t>Pode alterar diretamente o valor numérico de qualquer linha e clicar em 'Atualizar Valores Manuais' para consolidar entradas de material novo entregue pelo delegado comercial.</w:t>
      </w:r>
    </w:p>
    <w:p>
      <w:pPr>
        <w:pStyle w:val="Heading2"/>
        <w:keepNext/>
        <w:spacing w:before="280" w:after="80"/>
      </w:pPr>
      <w:r>
        <w:rPr>
          <w:rFonts w:ascii="Segoe UI" w:hAnsi="Segoe UI"/>
          <w:color w:val="165A8C"/>
          <w:sz w:val="26"/>
        </w:rPr>
        <w:t>6.2. Módulo de Planeamento e Encomendas Automáticas</w:t>
      </w:r>
    </w:p>
    <w:p>
      <w:pPr>
        <w:spacing w:after="120" w:line="276" w:lineRule="auto"/>
      </w:pPr>
      <w:r>
        <w:rPr>
          <w:rFonts w:ascii="Segoe UI" w:hAnsi="Segoe UI"/>
          <w:color w:val="333333"/>
          <w:sz w:val="20"/>
        </w:rPr>
        <w:t>Este módulo resolve um dos maiores problemas de gestão da clínica dentária: esquecimentos de peças necessárias para cirurgias futuras já planeadas.</w:t>
      </w:r>
    </w:p>
    <w:p>
      <w:pPr>
        <w:pStyle w:val="ListBullet"/>
        <w:spacing w:after="60" w:line="276" w:lineRule="auto"/>
      </w:pPr>
      <w:r>
        <w:rPr>
          <w:rFonts w:ascii="Segoe UI" w:hAnsi="Segoe UI"/>
          <w:b/>
          <w:color w:val="0C3C60"/>
          <w:sz w:val="19"/>
        </w:rPr>
        <w:t xml:space="preserve">Como Funciona o Cálculo: </w:t>
      </w:r>
      <w:r>
        <w:rPr>
          <w:rFonts w:ascii="Segoe UI" w:hAnsi="Segoe UI"/>
          <w:color w:val="333333"/>
          <w:sz w:val="19"/>
        </w:rPr>
        <w:t>O sistema percorre todas as fichas com dentes no estado 'Planeamento' e contabiliza a necessidade total de cada implante, pilar e peça adicional. De seguida, subtrai o stock físico existente na clínica.</w:t>
      </w:r>
    </w:p>
    <w:p>
      <w:pPr>
        <w:pStyle w:val="ListBullet"/>
        <w:spacing w:after="60" w:line="276" w:lineRule="auto"/>
      </w:pPr>
      <w:r>
        <w:rPr>
          <w:rFonts w:ascii="Segoe UI" w:hAnsi="Segoe UI"/>
          <w:b/>
          <w:color w:val="0C3C60"/>
          <w:sz w:val="19"/>
        </w:rPr>
        <w:t xml:space="preserve">Visualização do Modal de Encomenda: </w:t>
      </w:r>
      <w:r>
        <w:rPr>
          <w:rFonts w:ascii="Segoe UI" w:hAnsi="Segoe UI"/>
          <w:color w:val="333333"/>
          <w:sz w:val="19"/>
        </w:rPr>
        <w:t>Ao clicar em '📦 Lista de Encomendas', surge uma tabela clara que apresenta: Referência | Descrição | Necessário | Em Stock | A Encomendar.</w:t>
      </w:r>
    </w:p>
    <w:p>
      <w:pPr>
        <w:pStyle w:val="ListBullet"/>
        <w:spacing w:after="60" w:line="276" w:lineRule="auto"/>
      </w:pPr>
      <w:r>
        <w:rPr>
          <w:rFonts w:ascii="Segoe UI" w:hAnsi="Segoe UI"/>
          <w:b/>
          <w:color w:val="0C3C60"/>
          <w:sz w:val="19"/>
        </w:rPr>
        <w:t xml:space="preserve">Exportação de PDF de Encomenda: </w:t>
      </w:r>
      <w:r>
        <w:rPr>
          <w:rFonts w:ascii="Segoe UI" w:hAnsi="Segoe UI"/>
          <w:color w:val="333333"/>
          <w:sz w:val="19"/>
        </w:rPr>
        <w:t>Basta clicar em '📄 Exportar PDF' para descarregar um documento oficial timbrado com o cabeçalho da clínica e a lista pronta a enviar por email ou WhatsApp ao comercial da Galimplant.</w:t>
      </w:r>
    </w:p>
    <w:p>
      <w:pPr>
        <w:pStyle w:val="Heading1"/>
        <w:keepNext/>
        <w:spacing w:before="360" w:after="160"/>
      </w:pPr>
      <w:r>
        <w:rPr>
          <w:rFonts w:ascii="Segoe UI" w:hAnsi="Segoe UI"/>
          <w:color w:val="0C3C60"/>
          <w:sz w:val="32"/>
        </w:rPr>
        <w:t>7. Gestão e Personalização do Catálogo de Peças</w:t>
      </w:r>
    </w:p>
    <w:p>
      <w:pPr>
        <w:spacing w:after="120" w:line="276" w:lineRule="auto"/>
      </w:pPr>
      <w:r>
        <w:rPr>
          <w:rFonts w:ascii="Segoe UI" w:hAnsi="Segoe UI"/>
          <w:color w:val="333333"/>
          <w:sz w:val="20"/>
        </w:rPr>
        <w:t>O programa inclui de raiz o catálogo pré-definido oficial da Galimplant com mais de 285 referências, divididas entre implantes IPX/ICI clássicos, gamas M2 Único, pilares multi-posição, calcináveis, pilares para cimentar, parafusos protéticos, tampas, transferes e scan bodies.</w:t>
      </w:r>
    </w:p>
    <w:p>
      <w:pPr>
        <w:pStyle w:val="Heading2"/>
        <w:keepNext/>
        <w:spacing w:before="280" w:after="80"/>
      </w:pPr>
      <w:r>
        <w:rPr>
          <w:rFonts w:ascii="Segoe UI" w:hAnsi="Segoe UI"/>
          <w:color w:val="165A8C"/>
          <w:sz w:val="26"/>
        </w:rPr>
        <w:t>7.1. Adicionar Novas Peças</w:t>
      </w:r>
    </w:p>
    <w:p>
      <w:pPr>
        <w:spacing w:after="120" w:line="276" w:lineRule="auto"/>
      </w:pPr>
      <w:r>
        <w:rPr>
          <w:rFonts w:ascii="Segoe UI" w:hAnsi="Segoe UI"/>
          <w:color w:val="333333"/>
          <w:sz w:val="20"/>
        </w:rPr>
        <w:t>Se a Galimplant lançar uma nova medida de implante ou um pilar novo (ou se pretender adicionar um biomaterial ao catálogo), basta aceder ao cartão 'Gestão de Catálogo', preencher a 'Referência' e a 'Descrição' e premir 'Adicionar ao Catálogo'. A nova peça fica de imediato disponível em todas as caixas de autocomplete e no inventário.</w:t>
      </w:r>
    </w:p>
    <w:p>
      <w:pPr>
        <w:pStyle w:val="Heading2"/>
        <w:keepNext/>
        <w:spacing w:before="280" w:after="80"/>
      </w:pPr>
      <w:r>
        <w:rPr>
          <w:rFonts w:ascii="Segoe UI" w:hAnsi="Segoe UI"/>
          <w:color w:val="165A8C"/>
          <w:sz w:val="26"/>
        </w:rPr>
        <w:t>7.2. Editar e Corrigir Referências Existentes</w:t>
      </w:r>
    </w:p>
    <w:p>
      <w:pPr>
        <w:spacing w:after="120" w:line="276" w:lineRule="auto"/>
      </w:pPr>
      <w:r>
        <w:rPr>
          <w:rFonts w:ascii="Segoe UI" w:hAnsi="Segoe UI"/>
          <w:color w:val="333333"/>
          <w:sz w:val="20"/>
        </w:rPr>
        <w:t>Pode editar a descrição de qualquer peça (mesmo as de fábrica). Caso altere o código da referência, o stock associado à referência antiga é automaticamente transferido para o novo código.</w:t>
      </w:r>
    </w:p>
    <w:p>
      <w:pPr>
        <w:pStyle w:val="Heading2"/>
        <w:keepNext/>
        <w:spacing w:before="280" w:after="80"/>
      </w:pPr>
      <w:r>
        <w:rPr>
          <w:rFonts w:ascii="Segoe UI" w:hAnsi="Segoe UI"/>
          <w:color w:val="165A8C"/>
          <w:sz w:val="26"/>
        </w:rPr>
        <w:t>7.3. Eliminação e Proteção de Integridade</w:t>
      </w:r>
    </w:p>
    <w:p>
      <w:pPr>
        <w:spacing w:after="120" w:line="276" w:lineRule="auto"/>
      </w:pPr>
      <w:r>
        <w:rPr>
          <w:rFonts w:ascii="Segoe UI" w:hAnsi="Segoe UI"/>
          <w:color w:val="333333"/>
          <w:sz w:val="20"/>
        </w:rPr>
        <w:t>Peças personalizadas adicionadas pela clínica podem ser apagadas com um clique. No entanto, por segurança médica e contabilística, o sistema BLOQUEIA a eliminação de qualquer referência que ainda tenha peças em stock (&gt; 0). As referências originais de sistema estão protegidas de eliminação acidental.</w:t>
      </w:r>
    </w:p>
    <w:p>
      <w:pPr>
        <w:pStyle w:val="Heading1"/>
        <w:keepNext/>
        <w:spacing w:before="360" w:after="160"/>
      </w:pPr>
      <w:r>
        <w:rPr>
          <w:rFonts w:ascii="Segoe UI" w:hAnsi="Segoe UI"/>
          <w:color w:val="0C3C60"/>
          <w:sz w:val="32"/>
        </w:rPr>
        <w:t>8. Emissão de Documentos e Impressão em PDF</w:t>
      </w:r>
    </w:p>
    <w:p>
      <w:pPr>
        <w:spacing w:after="120" w:line="276" w:lineRule="auto"/>
      </w:pPr>
      <w:r>
        <w:rPr>
          <w:rFonts w:ascii="Segoe UI" w:hAnsi="Segoe UI"/>
          <w:color w:val="333333"/>
          <w:sz w:val="20"/>
        </w:rPr>
        <w:t>O programa disponibiliza dois formatos de saída física para o processo clínico do doente:</w:t>
      </w:r>
    </w:p>
    <w:p>
      <w:pPr>
        <w:pStyle w:val="Heading2"/>
        <w:keepNext/>
        <w:spacing w:before="280" w:after="80"/>
      </w:pPr>
      <w:r>
        <w:rPr>
          <w:rFonts w:ascii="Segoe UI" w:hAnsi="Segoe UI"/>
          <w:color w:val="165A8C"/>
          <w:sz w:val="26"/>
        </w:rPr>
        <w:t>8.1. Ficha Clínica Oficial em PDF</w:t>
      </w:r>
    </w:p>
    <w:p>
      <w:pPr>
        <w:spacing w:after="120" w:line="276" w:lineRule="auto"/>
      </w:pPr>
      <w:r>
        <w:rPr>
          <w:rFonts w:ascii="Segoe UI" w:hAnsi="Segoe UI"/>
          <w:color w:val="333333"/>
          <w:sz w:val="20"/>
        </w:rPr>
        <w:t>Ao clicar no botão azul '📄' no histórico, a aplicação compila e descarrega um documento PDF de alta fidelidade que inclui:</w:t>
      </w:r>
    </w:p>
    <w:p>
      <w:pPr>
        <w:pStyle w:val="ListBullet"/>
        <w:spacing w:after="60" w:line="276" w:lineRule="auto"/>
      </w:pPr>
      <w:r>
        <w:rPr>
          <w:rFonts w:ascii="Segoe UI" w:hAnsi="Segoe UI"/>
          <w:b/>
          <w:color w:val="0C3C60"/>
          <w:sz w:val="19"/>
        </w:rPr>
        <w:t xml:space="preserve">Cabeçalho Institucional: </w:t>
      </w:r>
      <w:r>
        <w:rPr>
          <w:rFonts w:ascii="Segoe UI" w:hAnsi="Segoe UI"/>
          <w:color w:val="333333"/>
          <w:sz w:val="19"/>
        </w:rPr>
        <w:t>Barra azul escura com logótipo oficial da clínica, identificação do Diretor Clínico e morada.</w:t>
      </w:r>
    </w:p>
    <w:p>
      <w:pPr>
        <w:pStyle w:val="ListBullet"/>
        <w:spacing w:after="60" w:line="276" w:lineRule="auto"/>
      </w:pPr>
      <w:r>
        <w:rPr>
          <w:rFonts w:ascii="Segoe UI" w:hAnsi="Segoe UI"/>
          <w:b/>
          <w:color w:val="0C3C60"/>
          <w:sz w:val="19"/>
        </w:rPr>
        <w:t xml:space="preserve">Dados do Doente: </w:t>
      </w:r>
      <w:r>
        <w:rPr>
          <w:rFonts w:ascii="Segoe UI" w:hAnsi="Segoe UI"/>
          <w:color w:val="333333"/>
          <w:sz w:val="19"/>
        </w:rPr>
        <w:t>Nome, Processo, Data de Abertura, Sexo, Nascimento, Próxima Consulta e Riscos Clínicos a vermelho.</w:t>
      </w:r>
    </w:p>
    <w:p>
      <w:pPr>
        <w:pStyle w:val="ListBullet"/>
        <w:spacing w:after="60" w:line="276" w:lineRule="auto"/>
      </w:pPr>
      <w:r>
        <w:rPr>
          <w:rFonts w:ascii="Segoe UI" w:hAnsi="Segoe UI"/>
          <w:b/>
          <w:color w:val="0C3C60"/>
          <w:sz w:val="19"/>
        </w:rPr>
        <w:t xml:space="preserve">Tabela Estruturada de Peças: </w:t>
      </w:r>
      <w:r>
        <w:rPr>
          <w:rFonts w:ascii="Segoe UI" w:hAnsi="Segoe UI"/>
          <w:color w:val="333333"/>
          <w:sz w:val="19"/>
        </w:rPr>
        <w:t>Discriminação por dente do implante, pilar, torque, peças adicionais e estado atual.</w:t>
      </w:r>
    </w:p>
    <w:p>
      <w:pPr>
        <w:pStyle w:val="ListBullet"/>
        <w:spacing w:after="60" w:line="276" w:lineRule="auto"/>
      </w:pPr>
      <w:r>
        <w:rPr>
          <w:rFonts w:ascii="Segoe UI" w:hAnsi="Segoe UI"/>
          <w:b/>
          <w:color w:val="0C3C60"/>
          <w:sz w:val="19"/>
        </w:rPr>
        <w:t xml:space="preserve">Cronograma de Fases Clínicas: </w:t>
      </w:r>
      <w:r>
        <w:rPr>
          <w:rFonts w:ascii="Segoe UI" w:hAnsi="Segoe UI"/>
          <w:color w:val="333333"/>
          <w:sz w:val="19"/>
        </w:rPr>
        <w:t>Tabela sequencial detalhando a data e as observações clínicas da Cirurgia, Reabertura e Prótese.</w:t>
      </w:r>
    </w:p>
    <w:p>
      <w:pPr>
        <w:pStyle w:val="ListBullet"/>
        <w:spacing w:after="60" w:line="276" w:lineRule="auto"/>
      </w:pPr>
      <w:r>
        <w:rPr>
          <w:rFonts w:ascii="Segoe UI" w:hAnsi="Segoe UI"/>
          <w:b/>
          <w:color w:val="0C3C60"/>
          <w:sz w:val="19"/>
        </w:rPr>
        <w:t xml:space="preserve">Numeração e Segurança: </w:t>
      </w:r>
      <w:r>
        <w:rPr>
          <w:rFonts w:ascii="Segoe UI" w:hAnsi="Segoe UI"/>
          <w:color w:val="333333"/>
          <w:sz w:val="19"/>
        </w:rPr>
        <w:t>Numeração de páginas 'Página X de Y' e data de emissão.</w:t>
      </w:r>
    </w:p>
    <w:p>
      <w:pPr>
        <w:pStyle w:val="Heading2"/>
        <w:keepNext/>
        <w:spacing w:before="280" w:after="80"/>
      </w:pPr>
      <w:r>
        <w:rPr>
          <w:rFonts w:ascii="Segoe UI" w:hAnsi="Segoe UI"/>
          <w:color w:val="165A8C"/>
          <w:sz w:val="26"/>
        </w:rPr>
        <w:t>8.2. Impressão Direta em Papel</w:t>
      </w:r>
    </w:p>
    <w:p>
      <w:pPr>
        <w:spacing w:after="120" w:line="276" w:lineRule="auto"/>
      </w:pPr>
      <w:r>
        <w:rPr>
          <w:rFonts w:ascii="Segoe UI" w:hAnsi="Segoe UI"/>
          <w:color w:val="333333"/>
          <w:sz w:val="20"/>
        </w:rPr>
        <w:t>Ao carregar no botão '🖨️' (Imprimir), abre-se uma janela de impressão simplificada, limpa e económica, pronta para ser enviada diretamente para a impressora do consultório e arquivada na pasta física do doente.</w:t>
      </w:r>
    </w:p>
    <w:p>
      <w:pPr>
        <w:pStyle w:val="Heading1"/>
        <w:keepNext/>
        <w:spacing w:before="360" w:after="160"/>
      </w:pPr>
      <w:r>
        <w:rPr>
          <w:rFonts w:ascii="Segoe UI" w:hAnsi="Segoe UI"/>
          <w:color w:val="0C3C60"/>
          <w:sz w:val="32"/>
        </w:rPr>
        <w:t>9. Sincronização em Nuvem (Google Drive) e Encriptação</w:t>
      </w:r>
    </w:p>
    <w:p>
      <w:pPr>
        <w:spacing w:after="120" w:line="276" w:lineRule="auto"/>
      </w:pPr>
      <w:r>
        <w:rPr>
          <w:rFonts w:ascii="Segoe UI" w:hAnsi="Segoe UI"/>
          <w:color w:val="333333"/>
          <w:sz w:val="20"/>
        </w:rPr>
        <w:t>A sincronização na nuvem permite partilhar a informação entre múltiplos computadores da clínica (ex: computador do gabinete cirúrgico, computador da receção e computador do gabinete de prótese) sem necessidade de servidores locais dedicados.</w:t>
      </w:r>
    </w:p>
    <w:p>
      <w:pPr>
        <w:pStyle w:val="Heading2"/>
        <w:keepNext/>
        <w:spacing w:before="280" w:after="80"/>
      </w:pPr>
      <w:r>
        <w:rPr>
          <w:rFonts w:ascii="Segoe UI" w:hAnsi="Segoe UI"/>
          <w:color w:val="165A8C"/>
          <w:sz w:val="26"/>
        </w:rPr>
        <w:t>9.1. O Espaço Privado da Aplicação (appDataFolder)</w:t>
      </w:r>
    </w:p>
    <w:p>
      <w:pPr>
        <w:spacing w:after="120" w:line="276" w:lineRule="auto"/>
      </w:pPr>
      <w:r>
        <w:rPr>
          <w:rFonts w:ascii="Segoe UI" w:hAnsi="Segoe UI"/>
          <w:color w:val="333333"/>
          <w:sz w:val="20"/>
        </w:rPr>
        <w:t>A sincronização utiliza a pasta de dados oculta e privada da conta Google do utilizador (Google Drive appDataFolder). O ficheiro de backup (galimplant_backup.json) fica invisível na listagem comum do Google Drive, não podendo ser apagado ou movido acidentalmente pelo utilizador enquanto organiza pastas normais.</w:t>
      </w:r>
    </w:p>
    <w:p>
      <w:pPr>
        <w:pStyle w:val="Heading2"/>
        <w:keepNext/>
        <w:spacing w:before="280" w:after="80"/>
      </w:pPr>
      <w:r>
        <w:rPr>
          <w:rFonts w:ascii="Segoe UI" w:hAnsi="Segoe UI"/>
          <w:color w:val="165A8C"/>
          <w:sz w:val="26"/>
        </w:rPr>
        <w:t>9.2. Configuração do Client ID OAuth 2.0 (Passo a Passo)</w:t>
      </w:r>
    </w:p>
    <w:p>
      <w:pPr>
        <w:spacing w:after="120" w:line="276" w:lineRule="auto"/>
      </w:pPr>
      <w:r>
        <w:rPr>
          <w:rFonts w:ascii="Segoe UI" w:hAnsi="Segoe UI"/>
          <w:color w:val="333333"/>
          <w:sz w:val="20"/>
        </w:rPr>
        <w:t>Para ligar o software ao Google Drive pela primeira vez em cada computador, necessita de um Client ID OAuth da Google (gratuito e fornecido uma única vez):</w:t>
      </w:r>
    </w:p>
    <w:p>
      <w:pPr>
        <w:pStyle w:val="ListBullet"/>
        <w:spacing w:after="60" w:line="276" w:lineRule="auto"/>
      </w:pPr>
      <w:r>
        <w:rPr>
          <w:rFonts w:ascii="Segoe UI" w:hAnsi="Segoe UI"/>
          <w:b/>
          <w:color w:val="0C3C60"/>
          <w:sz w:val="19"/>
        </w:rPr>
        <w:t xml:space="preserve">Passo 1: </w:t>
      </w:r>
      <w:r>
        <w:rPr>
          <w:rFonts w:ascii="Segoe UI" w:hAnsi="Segoe UI"/>
          <w:color w:val="333333"/>
          <w:sz w:val="19"/>
        </w:rPr>
        <w:t>Aceda à consola Google Cloud (console.cloud.google.com) com a conta Google da clínica.</w:t>
      </w:r>
    </w:p>
    <w:p>
      <w:pPr>
        <w:pStyle w:val="ListBullet"/>
        <w:spacing w:after="60" w:line="276" w:lineRule="auto"/>
      </w:pPr>
      <w:r>
        <w:rPr>
          <w:rFonts w:ascii="Segoe UI" w:hAnsi="Segoe UI"/>
          <w:b/>
          <w:color w:val="0C3C60"/>
          <w:sz w:val="19"/>
        </w:rPr>
        <w:t xml:space="preserve">Passo 2: </w:t>
      </w:r>
      <w:r>
        <w:rPr>
          <w:rFonts w:ascii="Segoe UI" w:hAnsi="Segoe UI"/>
          <w:color w:val="333333"/>
          <w:sz w:val="19"/>
        </w:rPr>
        <w:t>Crie um projeto (ex: 'Galimplant Clinica') e ative a 'Google Drive API'.</w:t>
      </w:r>
    </w:p>
    <w:p>
      <w:pPr>
        <w:pStyle w:val="ListBullet"/>
        <w:spacing w:after="60" w:line="276" w:lineRule="auto"/>
      </w:pPr>
      <w:r>
        <w:rPr>
          <w:rFonts w:ascii="Segoe UI" w:hAnsi="Segoe UI"/>
          <w:b/>
          <w:color w:val="0C3C60"/>
          <w:sz w:val="19"/>
        </w:rPr>
        <w:t xml:space="preserve">Passo 3: </w:t>
      </w:r>
      <w:r>
        <w:rPr>
          <w:rFonts w:ascii="Segoe UI" w:hAnsi="Segoe UI"/>
          <w:color w:val="333333"/>
          <w:sz w:val="19"/>
        </w:rPr>
        <w:t>No ecrã de consentimento OAuth, defina a aplicação como 'Externa' e adicione os emails dos computadores autorizados.</w:t>
      </w:r>
    </w:p>
    <w:p>
      <w:pPr>
        <w:pStyle w:val="ListBullet"/>
        <w:spacing w:after="60" w:line="276" w:lineRule="auto"/>
      </w:pPr>
      <w:r>
        <w:rPr>
          <w:rFonts w:ascii="Segoe UI" w:hAnsi="Segoe UI"/>
          <w:b/>
          <w:color w:val="0C3C60"/>
          <w:sz w:val="19"/>
        </w:rPr>
        <w:t xml:space="preserve">Passo 4: </w:t>
      </w:r>
      <w:r>
        <w:rPr>
          <w:rFonts w:ascii="Segoe UI" w:hAnsi="Segoe UI"/>
          <w:color w:val="333333"/>
          <w:sz w:val="19"/>
        </w:rPr>
        <w:t>Em 'Credenciais', crie um 'ID de cliente OAuth' do tipo 'Aplicação Web'. Nas 'Origens JavaScript autorizadas', adicione o endereço onde a aplicação corre (ex: http://localhost ou o domínio do site).</w:t>
      </w:r>
    </w:p>
    <w:p>
      <w:pPr>
        <w:pStyle w:val="ListBullet"/>
        <w:spacing w:after="60" w:line="276" w:lineRule="auto"/>
      </w:pPr>
      <w:r>
        <w:rPr>
          <w:rFonts w:ascii="Segoe UI" w:hAnsi="Segoe UI"/>
          <w:b/>
          <w:color w:val="0C3C60"/>
          <w:sz w:val="19"/>
        </w:rPr>
        <w:t xml:space="preserve">Passo 5: </w:t>
      </w:r>
      <w:r>
        <w:rPr>
          <w:rFonts w:ascii="Segoe UI" w:hAnsi="Segoe UI"/>
          <w:color w:val="333333"/>
          <w:sz w:val="19"/>
        </w:rPr>
        <w:t>Copie o Client ID gerado (terminado em .apps.googleusercontent.com), cole-o na caixa de texto do cabeçalho da aplicação e clique em 'Ligar ao Google Drive'.</w:t>
      </w:r>
    </w:p>
    <w:p>
      <w:pPr>
        <w:pStyle w:val="Heading2"/>
        <w:keepNext/>
        <w:spacing w:before="280" w:after="80"/>
      </w:pPr>
      <w:r>
        <w:rPr>
          <w:rFonts w:ascii="Segoe UI" w:hAnsi="Segoe UI"/>
          <w:color w:val="165A8C"/>
          <w:sz w:val="26"/>
        </w:rPr>
        <w:t>9.3. Sincronização Automática e Proteção contra Conflitos</w:t>
      </w:r>
    </w:p>
    <w:p>
      <w:pPr>
        <w:pStyle w:val="ListBullet"/>
        <w:spacing w:after="60" w:line="276" w:lineRule="auto"/>
      </w:pPr>
      <w:r>
        <w:rPr>
          <w:rFonts w:ascii="Segoe UI" w:hAnsi="Segoe UI"/>
          <w:b/>
          <w:color w:val="0C3C60"/>
          <w:sz w:val="19"/>
        </w:rPr>
        <w:t xml:space="preserve">Auto-Sync ao Gravar: </w:t>
      </w:r>
      <w:r>
        <w:rPr>
          <w:rFonts w:ascii="Segoe UI" w:hAnsi="Segoe UI"/>
          <w:color w:val="333333"/>
          <w:sz w:val="19"/>
        </w:rPr>
        <w:t>Ao ativar a caixa 'Sincronização automática ao gravar', cada nova ficha ou alteração de stock é enviada automaticamente para o Drive após 4 segundos, com algoritmo de repetição inteligente (retry exponencial) em caso de falha transitória de rede.</w:t>
      </w:r>
    </w:p>
    <w:p>
      <w:pPr>
        <w:pStyle w:val="ListBullet"/>
        <w:spacing w:after="60" w:line="276" w:lineRule="auto"/>
      </w:pPr>
      <w:r>
        <w:rPr>
          <w:rFonts w:ascii="Segoe UI" w:hAnsi="Segoe UI"/>
          <w:b/>
          <w:color w:val="0C3C60"/>
          <w:sz w:val="19"/>
        </w:rPr>
        <w:t xml:space="preserve">Deteção de Versão Mais Recente: </w:t>
      </w:r>
      <w:r>
        <w:rPr>
          <w:rFonts w:ascii="Segoe UI" w:hAnsi="Segoe UI"/>
          <w:color w:val="333333"/>
          <w:sz w:val="19"/>
        </w:rPr>
        <w:t>Se trabalhar no computador A e depois abrir o programa no computador B, o sistema deteta que existem dados mais recentes na nuvem e sugere carregar em 'Transferir da nuvem'. Se tentar enviar dados antigos por cima de dados novos, o sistema exibe um aviso de conflito para impedir sobreposições involuntárias.</w:t>
      </w:r>
    </w:p>
    <w:p>
      <w:pPr>
        <w:pStyle w:val="Heading2"/>
        <w:keepNext/>
        <w:spacing w:before="280" w:after="80"/>
      </w:pPr>
      <w:r>
        <w:rPr>
          <w:rFonts w:ascii="Segoe UI" w:hAnsi="Segoe UI"/>
          <w:color w:val="165A8C"/>
          <w:sz w:val="26"/>
        </w:rPr>
        <w:t>9.4. Encriptação Militar de Ponta a Ponta (AES-GCM 256 bits)</w:t>
      </w:r>
    </w:p>
    <w:p>
      <w:pPr>
        <w:spacing w:after="120" w:line="276" w:lineRule="auto"/>
      </w:pPr>
      <w:r>
        <w:rPr>
          <w:rFonts w:ascii="Segoe UI" w:hAnsi="Segoe UI"/>
          <w:color w:val="333333"/>
          <w:sz w:val="20"/>
        </w:rPr>
        <w:t>Ao marcar a opção 'Encriptar dados na nuvem', o programa solicita uma palavra-passe de encriptação (que deve ser rigorosamente a mesma em todos os computadores da clínica). O ficheiro é cifrado no próprio navegador antes de sair do computador, utilizando o algoritmo AES-GCM com chave de 256 bits derivada por PBKDF2 (150.000 iterações de SHA-256) e salt aleatório. Nem mesmo os técnicos da Google conseguem ler os registos dos pacientes armazenados.</w:t>
      </w:r>
    </w:p>
    <w:tbl>
      <w:tblPr>
        <w:tblW w:type="auto" w:w="0"/>
        <w:jc w:val="center"/>
        <w:tblLayout w:type="fixed"/>
        <w:tblLook w:firstColumn="1" w:firstRow="1" w:lastColumn="0" w:lastRow="0" w:noHBand="0" w:noVBand="1" w:val="04A0"/>
      </w:tblPr>
      <w:tblGrid>
        <w:gridCol w:w="9087"/>
      </w:tblGrid>
      <w:tr>
        <w:tc>
          <w:tcPr>
            <w:tcW w:type="dxa" w:w="9360"/>
            <w:shd w:fill="FDEDEC"/>
            <w:tcBorders>
              <w:top w:val="none"/>
              <w:left w:val="single" w:sz="36" w:space="0" w:color="C0392B"/>
              <w:bottom w:val="none"/>
              <w:right w:val="none"/>
            </w:tcBorders>
            <w:tcMar>
              <w:top w:w="140" w:type="dxa"/>
              <w:bottom w:w="140" w:type="dxa"/>
              <w:left w:w="200" w:type="dxa"/>
              <w:right w:w="180" w:type="dxa"/>
            </w:tcMar>
          </w:tcPr>
          <w:p>
            <w:pPr>
              <w:spacing w:before="0" w:after="80"/>
            </w:pPr>
            <w:r>
              <w:rPr>
                <w:b/>
                <w:color w:val="C0392B"/>
                <w:sz w:val="21"/>
              </w:rPr>
              <w:t>🚨 Atenção Crítica: Guarde a Palavra-Passe de Encriptação!</w:t>
              <w:br/>
            </w:r>
            <w:r>
              <w:rPr>
                <w:color w:val="333333"/>
                <w:sz w:val="19"/>
              </w:rPr>
              <w:t>A palavra-passe de encriptação não é guardada em nenhum servidor. Se a esquecer, os dados encriptados no Google Drive ficarão matematicamente inacessíveis. Anote a palavra-passe num local seguro do cofre da clínica.</w:t>
            </w:r>
          </w:p>
        </w:tc>
      </w:tr>
    </w:tbl>
    <w:p>
      <w:pPr>
        <w:spacing w:before="0" w:after="120"/>
      </w:pPr>
    </w:p>
    <w:p>
      <w:pPr>
        <w:pStyle w:val="Heading2"/>
        <w:keepNext/>
        <w:spacing w:before="280" w:after="80"/>
      </w:pPr>
      <w:r>
        <w:rPr>
          <w:rFonts w:ascii="Segoe UI" w:hAnsi="Segoe UI"/>
          <w:color w:val="165A8C"/>
          <w:sz w:val="26"/>
        </w:rPr>
        <w:t>9.5. Histórico de Versões Diárias (Time Machine até 90 Dias)</w:t>
      </w:r>
    </w:p>
    <w:p>
      <w:pPr>
        <w:spacing w:after="120" w:line="276" w:lineRule="auto"/>
      </w:pPr>
      <w:r>
        <w:rPr>
          <w:rFonts w:ascii="Segoe UI" w:hAnsi="Segoe UI"/>
          <w:color w:val="333333"/>
          <w:sz w:val="20"/>
        </w:rPr>
        <w:t>Cada vez que sincroniza para o Drive, o sistema fixa uma cópia de segurança diária através do mecanismo de revisões do Google Drive. O botão '🕒 Versões Anteriores' abre uma tabela com todas as cópias preservadas nos últimos 90 dias. Em caso de engano grave de um operador, pode selecionar qualquer dia anterior e restaurar integralmente o estado da clínica com total fidelidade.</w:t>
      </w:r>
    </w:p>
    <w:p>
      <w:pPr>
        <w:pStyle w:val="Heading1"/>
        <w:keepNext/>
        <w:spacing w:before="360" w:after="160"/>
      </w:pPr>
      <w:r>
        <w:rPr>
          <w:rFonts w:ascii="Segoe UI" w:hAnsi="Segoe UI"/>
          <w:color w:val="0C3C60"/>
          <w:sz w:val="32"/>
        </w:rPr>
        <w:t>10. Segurança Local, Backups e Recuperação de Emergência</w:t>
      </w:r>
    </w:p>
    <w:p>
      <w:pPr>
        <w:spacing w:after="120" w:line="276" w:lineRule="auto"/>
      </w:pPr>
      <w:r>
        <w:rPr>
          <w:rFonts w:ascii="Segoe UI" w:hAnsi="Segoe UI"/>
          <w:color w:val="333333"/>
          <w:sz w:val="20"/>
        </w:rPr>
        <w:t>A integridade dos registos médicos exige redundância de segurança. O programa dispõe de múltiplos mecanismos de proteção local.</w:t>
      </w:r>
    </w:p>
    <w:p>
      <w:pPr>
        <w:pStyle w:val="Heading2"/>
        <w:keepNext/>
        <w:spacing w:before="280" w:after="80"/>
      </w:pPr>
      <w:r>
        <w:rPr>
          <w:rFonts w:ascii="Segoe UI" w:hAnsi="Segoe UI"/>
          <w:color w:val="165A8C"/>
          <w:sz w:val="26"/>
        </w:rPr>
        <w:t>10.1. Exportação e Importação de Cópias Manuais</w:t>
      </w:r>
    </w:p>
    <w:p>
      <w:pPr>
        <w:pStyle w:val="ListBullet"/>
        <w:spacing w:after="60" w:line="276" w:lineRule="auto"/>
      </w:pPr>
      <w:r>
        <w:rPr>
          <w:rFonts w:ascii="Segoe UI" w:hAnsi="Segoe UI"/>
          <w:b/>
          <w:color w:val="0C3C60"/>
          <w:sz w:val="19"/>
        </w:rPr>
        <w:t xml:space="preserve">Exportar Backup (JSON/TXT): </w:t>
      </w:r>
      <w:r>
        <w:rPr>
          <w:rFonts w:ascii="Segoe UI" w:hAnsi="Segoe UI"/>
          <w:color w:val="333333"/>
          <w:sz w:val="19"/>
        </w:rPr>
        <w:t>Gera um ficheiro com a data e hora no nome (ex: backup_galimplant_2026-09-18_10h30.txt) contendo todo o histórico clínico, stocks, catálogo e preferências. Recomenda-se descarregar semanalmente para uma pen USB externa.</w:t>
      </w:r>
    </w:p>
    <w:p>
      <w:pPr>
        <w:pStyle w:val="ListBullet"/>
        <w:spacing w:after="60" w:line="276" w:lineRule="auto"/>
      </w:pPr>
      <w:r>
        <w:rPr>
          <w:rFonts w:ascii="Segoe UI" w:hAnsi="Segoe UI"/>
          <w:b/>
          <w:color w:val="0C3C60"/>
          <w:sz w:val="19"/>
        </w:rPr>
        <w:t xml:space="preserve">Importar Backup: </w:t>
      </w:r>
      <w:r>
        <w:rPr>
          <w:rFonts w:ascii="Segoe UI" w:hAnsi="Segoe UI"/>
          <w:color w:val="333333"/>
          <w:sz w:val="19"/>
        </w:rPr>
        <w:t>Permite carregar um ficheiro de backup em qualquer computador. O sistema valida campo a campo a estrutura do ficheiro antes de aplicar, rejeitando ficheiros corrompidos ou mal formatados.</w:t>
      </w:r>
    </w:p>
    <w:p>
      <w:pPr>
        <w:pStyle w:val="ListBullet"/>
        <w:spacing w:after="60" w:line="276" w:lineRule="auto"/>
      </w:pPr>
      <w:r>
        <w:rPr>
          <w:rFonts w:ascii="Segoe UI" w:hAnsi="Segoe UI"/>
          <w:b/>
          <w:color w:val="0C3C60"/>
          <w:sz w:val="19"/>
        </w:rPr>
        <w:t xml:space="preserve">Alerta Semanal: </w:t>
      </w:r>
      <w:r>
        <w:rPr>
          <w:rFonts w:ascii="Segoe UI" w:hAnsi="Segoe UI"/>
          <w:color w:val="333333"/>
          <w:sz w:val="19"/>
        </w:rPr>
        <w:t>Se passarem mais de 7 dias sem efetuar um backup manual, surge um aviso a amarelo no cabeçalho lembrando a realização da cópia.</w:t>
      </w:r>
    </w:p>
    <w:p>
      <w:pPr>
        <w:pStyle w:val="Heading2"/>
        <w:keepNext/>
        <w:spacing w:before="280" w:after="80"/>
      </w:pPr>
      <w:r>
        <w:rPr>
          <w:rFonts w:ascii="Segoe UI" w:hAnsi="Segoe UI"/>
          <w:color w:val="165A8C"/>
          <w:sz w:val="26"/>
        </w:rPr>
        <w:t>10.2. A Ferramenta de Recuperação de Emergência (recovery.html)</w:t>
      </w:r>
    </w:p>
    <w:p>
      <w:pPr>
        <w:spacing w:after="120" w:line="276" w:lineRule="auto"/>
      </w:pPr>
      <w:r>
        <w:rPr>
          <w:rFonts w:ascii="Segoe UI" w:hAnsi="Segoe UI"/>
          <w:color w:val="333333"/>
          <w:sz w:val="20"/>
        </w:rPr>
        <w:t>A aplicação inclui um ficheiro independente e ultraleve denominado recovery.html. Se por alguma razão extrema o ficheiro principal (index.html) sofrer corrupção de cache ou incompatibilidade no navegador:</w:t>
      </w:r>
    </w:p>
    <w:p>
      <w:pPr>
        <w:pStyle w:val="ListBullet"/>
        <w:spacing w:after="60" w:line="276" w:lineRule="auto"/>
      </w:pPr>
      <w:r>
        <w:rPr>
          <w:rFonts w:ascii="Segoe UI" w:hAnsi="Segoe UI"/>
          <w:b/>
          <w:color w:val="0C3C60"/>
          <w:sz w:val="19"/>
        </w:rPr>
        <w:t xml:space="preserve">Como Utilizar: </w:t>
      </w:r>
      <w:r>
        <w:rPr>
          <w:rFonts w:ascii="Segoe UI" w:hAnsi="Segoe UI"/>
          <w:color w:val="333333"/>
          <w:sz w:val="19"/>
        </w:rPr>
        <w:t>Dê duplo clique no ficheiro recovery.html. Ele abrirá uma página de emergência que não depende do motor principal.</w:t>
      </w:r>
    </w:p>
    <w:p>
      <w:pPr>
        <w:pStyle w:val="ListBullet"/>
        <w:spacing w:after="60" w:line="276" w:lineRule="auto"/>
      </w:pPr>
      <w:r>
        <w:rPr>
          <w:rFonts w:ascii="Segoe UI" w:hAnsi="Segoe UI"/>
          <w:b/>
          <w:color w:val="0C3C60"/>
          <w:sz w:val="19"/>
        </w:rPr>
        <w:t xml:space="preserve">Funcionalidades: </w:t>
      </w:r>
      <w:r>
        <w:rPr>
          <w:rFonts w:ascii="Segoe UI" w:hAnsi="Segoe UI"/>
          <w:color w:val="333333"/>
          <w:sz w:val="19"/>
        </w:rPr>
        <w:t>Permite autenticar na conta Google, listar todas as versões guardadas no Drive, introduzir a palavra-passe de desencriptação e descarregar o ficheiro JSON integral para restauração imediata.</w:t>
      </w:r>
    </w:p>
    <w:p>
      <w:pPr>
        <w:pStyle w:val="Heading1"/>
        <w:keepNext/>
        <w:spacing w:before="360" w:after="160"/>
      </w:pPr>
      <w:r>
        <w:rPr>
          <w:rFonts w:ascii="Segoe UI" w:hAnsi="Segoe UI"/>
          <w:color w:val="0C3C60"/>
          <w:sz w:val="32"/>
        </w:rPr>
        <w:t>11. Perguntas Frequentes (FAQ) e Resolução de Problemas</w:t>
      </w:r>
    </w:p>
    <w:p>
      <w:pPr>
        <w:spacing w:after="120" w:line="276" w:lineRule="auto"/>
      </w:pPr>
      <w:r>
        <w:rPr>
          <w:rFonts w:ascii="Segoe UI" w:hAnsi="Segoe UI"/>
          <w:b/>
          <w:color w:val="2C3E50"/>
          <w:sz w:val="20"/>
        </w:rPr>
        <w:t>• Aparece a mensagem 'Stock insuficiente para a peça X' ao tentar gravar uma ficha. O que fazer?</w:t>
        <w:br/>
        <w:t xml:space="preserve">Resposta: </w:t>
      </w:r>
      <w:r>
        <w:rPr>
          <w:rFonts w:ascii="Segoe UI" w:hAnsi="Segoe UI"/>
          <w:color w:val="333333"/>
          <w:sz w:val="20"/>
        </w:rPr>
        <w:t>Significa que uma das peças associadas aos dentes (com estado fora de Planeamento) não tem unidades disponíveis no armário (stock = 0). Para resolver: aceda ao cartão 'Inventário de Peças', localize a referência, atualize a quantidade com o material recebido do fornecedor, clique em 'Atualizar Valores Manuais' e depois volte a gravar a ficha.</w:t>
      </w:r>
    </w:p>
    <w:p>
      <w:pPr>
        <w:spacing w:after="120" w:line="276" w:lineRule="auto"/>
      </w:pPr>
      <w:r>
        <w:rPr>
          <w:rFonts w:ascii="Segoe UI" w:hAnsi="Segoe UI"/>
          <w:b/>
          <w:color w:val="2C3E50"/>
          <w:sz w:val="20"/>
        </w:rPr>
        <w:t>• Os campos de Implante e Pilar ficaram com rebordo vermelho forte. Porquê?</w:t>
        <w:br/>
        <w:t xml:space="preserve">Resposta: </w:t>
      </w:r>
      <w:r>
        <w:rPr>
          <w:rFonts w:ascii="Segoe UI" w:hAnsi="Segoe UI"/>
          <w:color w:val="333333"/>
          <w:sz w:val="20"/>
        </w:rPr>
        <w:t>O sistema detetou uma incompatibilidade de métrica (ex: selecionou um implante da gama M2 com métrica Ø2.0mm, mas escolheu um pilar clássico de métrica Ø1.6mm). Corrija a escolha para que ambos pertençam à mesma série (ou ambos M2 Único, ou ambos Clássico).</w:t>
      </w:r>
    </w:p>
    <w:p>
      <w:pPr>
        <w:spacing w:after="120" w:line="276" w:lineRule="auto"/>
      </w:pPr>
      <w:r>
        <w:rPr>
          <w:rFonts w:ascii="Segoe UI" w:hAnsi="Segoe UI"/>
          <w:b/>
          <w:color w:val="2C3E50"/>
          <w:sz w:val="20"/>
        </w:rPr>
        <w:t>• Como transfiro todas as fichas e stocks para um computador novo na clínica?</w:t>
        <w:br/>
        <w:t xml:space="preserve">Resposta: </w:t>
      </w:r>
      <w:r>
        <w:rPr>
          <w:rFonts w:ascii="Segoe UI" w:hAnsi="Segoe UI"/>
          <w:color w:val="333333"/>
          <w:sz w:val="20"/>
        </w:rPr>
        <w:t>No computador antigo, clique em 'Exportar (JSON)' no painel de Backup Local. Guarde o ficheiro descarregado numa pen USB. No computador novo, abra o programa, clique em 'Importar' e selecione o ficheiro da pen. Em 2 segundos, todas as fichas, inventário e catálogo ficam replicados.</w:t>
      </w:r>
    </w:p>
    <w:p>
      <w:pPr>
        <w:spacing w:after="120" w:line="276" w:lineRule="auto"/>
      </w:pPr>
      <w:r>
        <w:rPr>
          <w:rFonts w:ascii="Segoe UI" w:hAnsi="Segoe UI"/>
          <w:b/>
          <w:color w:val="2C3E50"/>
          <w:sz w:val="20"/>
        </w:rPr>
        <w:t>• A internet da clínica foi abaixo. Posso continuar a registar cirurgias?</w:t>
        <w:br/>
        <w:t xml:space="preserve">Resposta: </w:t>
      </w:r>
      <w:r>
        <w:rPr>
          <w:rFonts w:ascii="Segoe UI" w:hAnsi="Segoe UI"/>
          <w:color w:val="333333"/>
          <w:sz w:val="20"/>
        </w:rPr>
        <w:t>Sim, a 100%! O programa opera em modo offline-first. Todas as gravações de fichas e abates de stock funcionam normalmente. Quando a internet regressar, basta clicar em 'Enviar agora' no Google Drive para atualizar a cópia da nuvem.</w:t>
      </w:r>
    </w:p>
    <w:p>
      <w:pPr>
        <w:spacing w:after="120" w:line="276" w:lineRule="auto"/>
      </w:pPr>
      <w:r>
        <w:rPr>
          <w:rFonts w:ascii="Segoe UI" w:hAnsi="Segoe UI"/>
          <w:b/>
          <w:color w:val="2C3E50"/>
          <w:sz w:val="20"/>
        </w:rPr>
        <w:t>• Fiz uma cirurgia de 2 implantes mas ainda não decidi os pilares protéticos. Posso gravar?</w:t>
        <w:br/>
        <w:t xml:space="preserve">Resposta: </w:t>
      </w:r>
      <w:r>
        <w:rPr>
          <w:rFonts w:ascii="Segoe UI" w:hAnsi="Segoe UI"/>
          <w:color w:val="333333"/>
          <w:sz w:val="20"/>
        </w:rPr>
        <w:t>Sim. O preenchimento do campo 'Pilar/Trans' e 'Peças Adicionais' é opcional. Pode preencher apenas o Implante e o Torque, gravando a ficha. Mais tarde, na fase de reabertura ou prótese, edita a ficha e adiciona os pilares escolhidos.</w:t>
      </w:r>
    </w:p>
    <w:p>
      <w:pPr>
        <w:spacing w:after="120" w:line="276" w:lineRule="auto"/>
      </w:pPr>
      <w:r>
        <w:rPr>
          <w:rFonts w:ascii="Segoe UI" w:hAnsi="Segoe UI"/>
          <w:b/>
          <w:color w:val="2C3E50"/>
          <w:sz w:val="20"/>
        </w:rPr>
        <w:t>• Uma peça adicional ficou com o chip a vermelho. O que significa?</w:t>
        <w:br/>
        <w:t xml:space="preserve">Resposta: </w:t>
      </w:r>
      <w:r>
        <w:rPr>
          <w:rFonts w:ascii="Segoe UI" w:hAnsi="Segoe UI"/>
          <w:color w:val="333333"/>
          <w:sz w:val="20"/>
        </w:rPr>
        <w:t>Indica incompatibilidade de Nível 2. A tampa de cicatrização, scan body ou acessório selecionado não pertence à família do pilar escolhido (ex: uma tampa desenhada para pilar de 4.8mm associada a um pilar estreito de 3.8mm). Remova a peça clicando no '✕' do chip e escolha a referência correta.</w:t>
      </w:r>
    </w:p>
    <w:p>
      <w:pPr>
        <w:spacing w:after="120" w:line="276" w:lineRule="auto"/>
      </w:pPr>
      <w:r>
        <w:rPr>
          <w:rFonts w:ascii="Segoe UI" w:hAnsi="Segoe UI"/>
          <w:b/>
          <w:color w:val="2C3E50"/>
          <w:sz w:val="20"/>
        </w:rPr>
        <w:t>• Posso apagar o registo de um paciente se a cirurgia foi cancelada?</w:t>
        <w:br/>
        <w:t xml:space="preserve">Resposta: </w:t>
      </w:r>
      <w:r>
        <w:rPr>
          <w:rFonts w:ascii="Segoe UI" w:hAnsi="Segoe UI"/>
          <w:color w:val="333333"/>
          <w:sz w:val="20"/>
        </w:rPr>
        <w:t>Sim. Localize a ficha no histórico e clique no botão '✕'. Se o paciente tinha peças que já tinham abatido stock, o programa devolve automaticamente as peças ao armário, garantindo que nada se perde.</w:t>
      </w:r>
    </w:p>
    <w:p>
      <w:pPr>
        <w:spacing w:after="120" w:line="276" w:lineRule="auto"/>
      </w:pPr>
      <w:r>
        <w:rPr>
          <w:rFonts w:ascii="Segoe UI" w:hAnsi="Segoe UI"/>
          <w:b/>
          <w:color w:val="2C3E50"/>
          <w:sz w:val="20"/>
        </w:rPr>
        <w:t>• Ao clicar no botão de impressão em papel, nada acontece. O que se passa?</w:t>
        <w:br/>
        <w:t xml:space="preserve">Resposta: </w:t>
      </w:r>
      <w:r>
        <w:rPr>
          <w:rFonts w:ascii="Segoe UI" w:hAnsi="Segoe UI"/>
          <w:color w:val="333333"/>
          <w:sz w:val="20"/>
        </w:rPr>
        <w:t>O navegador bloqueou a janela de pop-up. Verifique a barra de endereço do navegador no topo direito, clique no aviso de bloqueio e selecione 'Permitir pop-ups sempre'. De seguida, tente imprimir novamente.</w:t>
      </w:r>
    </w:p>
    <w:p>
      <w:pPr>
        <w:pStyle w:val="Heading1"/>
        <w:keepNext/>
        <w:spacing w:before="360" w:after="160"/>
      </w:pPr>
      <w:r>
        <w:rPr>
          <w:rFonts w:ascii="Segoe UI" w:hAnsi="Segoe UI"/>
          <w:color w:val="0C3C60"/>
          <w:sz w:val="32"/>
        </w:rPr>
        <w:t>12. Anexos e Tabelas Técnicas de Compatibilidade</w:t>
      </w:r>
    </w:p>
    <w:p>
      <w:pPr>
        <w:spacing w:after="120" w:line="276" w:lineRule="auto"/>
      </w:pPr>
      <w:r>
        <w:rPr>
          <w:rFonts w:ascii="Segoe UI" w:hAnsi="Segoe UI"/>
          <w:color w:val="333333"/>
          <w:sz w:val="20"/>
        </w:rPr>
        <w:t>A tabela seguinte resume as regras de compatibilidade mecânica Galimplant implementadas no motor de validação do software: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72"/>
        <w:gridCol w:w="2272"/>
        <w:gridCol w:w="2272"/>
        <w:gridCol w:w="2272"/>
      </w:tblGrid>
      <w:tr>
        <w:tc>
          <w:tcPr>
            <w:tcW w:type="dxa" w:w="2592"/>
            <w:shd w:fill="0C3C60"/>
            <w:tcMar>
              <w:top w:w="100" w:type="dxa"/>
              <w:bottom w:w="100" w:type="dxa"/>
              <w:left w:w="100" w:type="dxa"/>
              <w:right w:w="100" w:type="dxa"/>
            </w:tcMar>
          </w:tcPr>
          <w:p>
            <w:pPr>
              <w:spacing w:after="0"/>
            </w:pPr>
            <w:r>
              <w:rPr>
                <w:rFonts w:ascii="Segoe UI" w:hAnsi="Segoe UI"/>
                <w:b/>
                <w:color w:val="FFFFFF"/>
                <w:sz w:val="17"/>
              </w:rPr>
              <w:t>Família de Implante</w:t>
            </w:r>
          </w:p>
        </w:tc>
        <w:tc>
          <w:tcPr>
            <w:tcW w:type="dxa" w:w="1728"/>
            <w:shd w:fill="0C3C60"/>
            <w:tcMar>
              <w:top w:w="100" w:type="dxa"/>
              <w:bottom w:w="100" w:type="dxa"/>
              <w:left w:w="100" w:type="dxa"/>
              <w:right w:w="100" w:type="dxa"/>
            </w:tcMar>
          </w:tcPr>
          <w:p>
            <w:pPr>
              <w:spacing w:after="0"/>
            </w:pPr>
            <w:r>
              <w:rPr>
                <w:rFonts w:ascii="Segoe UI" w:hAnsi="Segoe UI"/>
                <w:b/>
                <w:color w:val="FFFFFF"/>
                <w:sz w:val="17"/>
              </w:rPr>
              <w:t>Métrica de Conexão</w:t>
            </w:r>
          </w:p>
        </w:tc>
        <w:tc>
          <w:tcPr>
            <w:tcW w:type="dxa" w:w="2592"/>
            <w:shd w:fill="0C3C60"/>
            <w:tcMar>
              <w:top w:w="100" w:type="dxa"/>
              <w:bottom w:w="100" w:type="dxa"/>
              <w:left w:w="100" w:type="dxa"/>
              <w:right w:w="100" w:type="dxa"/>
            </w:tcMar>
          </w:tcPr>
          <w:p>
            <w:pPr>
              <w:spacing w:after="0"/>
            </w:pPr>
            <w:r>
              <w:rPr>
                <w:rFonts w:ascii="Segoe UI" w:hAnsi="Segoe UI"/>
                <w:b/>
                <w:color w:val="FFFFFF"/>
                <w:sz w:val="17"/>
              </w:rPr>
              <w:t>Pilares Compatíveis</w:t>
            </w:r>
          </w:p>
        </w:tc>
        <w:tc>
          <w:tcPr>
            <w:tcW w:type="dxa" w:w="2448"/>
            <w:shd w:fill="0C3C60"/>
            <w:tcMar>
              <w:top w:w="100" w:type="dxa"/>
              <w:bottom w:w="100" w:type="dxa"/>
              <w:left w:w="100" w:type="dxa"/>
              <w:right w:w="100" w:type="dxa"/>
            </w:tcMar>
          </w:tcPr>
          <w:p>
            <w:pPr>
              <w:spacing w:after="0"/>
            </w:pPr>
            <w:r>
              <w:rPr>
                <w:rFonts w:ascii="Segoe UI" w:hAnsi="Segoe UI"/>
                <w:b/>
                <w:color w:val="FFFFFF"/>
                <w:sz w:val="17"/>
              </w:rPr>
              <w:t>Pilares Proibidos / Incompatíveis</w:t>
            </w:r>
          </w:p>
        </w:tc>
      </w:tr>
      <w:tr>
        <w:tc>
          <w:tcPr>
            <w:tcW w:type="dxa" w:w="2592"/>
            <w:shd w:fill="F8FAFC"/>
            <w:tcMar>
              <w:top w:w="80" w:type="dxa"/>
              <w:bottom w:w="80" w:type="dxa"/>
              <w:left w:w="100" w:type="dxa"/>
              <w:right w:w="100" w:type="dxa"/>
            </w:tcMar>
          </w:tcPr>
          <w:p>
            <w:pPr>
              <w:spacing w:after="0"/>
            </w:pPr>
            <w:r>
              <w:rPr>
                <w:rFonts w:ascii="Segoe UI" w:hAnsi="Segoe UI"/>
                <w:color w:val="333333"/>
                <w:sz w:val="16"/>
              </w:rPr>
              <w:t>IPX / ICI Clássico (Ø3.5 a Ø5.0mm)</w:t>
            </w:r>
          </w:p>
        </w:tc>
        <w:tc>
          <w:tcPr>
            <w:tcW w:type="dxa" w:w="1728"/>
            <w:shd w:fill="F8FAFC"/>
            <w:tcMar>
              <w:top w:w="80" w:type="dxa"/>
              <w:bottom w:w="80" w:type="dxa"/>
              <w:left w:w="100" w:type="dxa"/>
              <w:right w:w="100" w:type="dxa"/>
            </w:tcMar>
          </w:tcPr>
          <w:p>
            <w:pPr>
              <w:spacing w:after="0"/>
            </w:pPr>
            <w:r>
              <w:rPr>
                <w:rFonts w:ascii="Segoe UI" w:hAnsi="Segoe UI"/>
                <w:color w:val="333333"/>
                <w:sz w:val="16"/>
              </w:rPr>
              <w:t>Métrica Ø1.6 mm</w:t>
            </w:r>
          </w:p>
        </w:tc>
        <w:tc>
          <w:tcPr>
            <w:tcW w:type="dxa" w:w="2592"/>
            <w:shd w:fill="F8FAFC"/>
            <w:tcMar>
              <w:top w:w="80" w:type="dxa"/>
              <w:bottom w:w="80" w:type="dxa"/>
              <w:left w:w="100" w:type="dxa"/>
              <w:right w:w="100" w:type="dxa"/>
            </w:tcMar>
          </w:tcPr>
          <w:p>
            <w:pPr>
              <w:spacing w:after="0"/>
            </w:pPr>
            <w:r>
              <w:rPr>
                <w:rFonts w:ascii="Segoe UI" w:hAnsi="Segoe UI"/>
                <w:color w:val="333333"/>
                <w:sz w:val="16"/>
              </w:rPr>
              <w:t>MUSR, MUSLAR, MUSA, MUSLA, MUST, EMU, PA, PR (Clássicos)</w:t>
            </w:r>
          </w:p>
        </w:tc>
        <w:tc>
          <w:tcPr>
            <w:tcW w:type="dxa" w:w="2448"/>
            <w:shd w:fill="F8FAFC"/>
            <w:tcMar>
              <w:top w:w="80" w:type="dxa"/>
              <w:bottom w:w="80" w:type="dxa"/>
              <w:left w:w="100" w:type="dxa"/>
              <w:right w:w="100" w:type="dxa"/>
            </w:tcMar>
          </w:tcPr>
          <w:p>
            <w:pPr>
              <w:spacing w:after="0"/>
            </w:pPr>
            <w:r>
              <w:rPr>
                <w:rFonts w:ascii="Segoe UI" w:hAnsi="Segoe UI"/>
                <w:b/>
                <w:color w:val="C0392B"/>
                <w:sz w:val="16"/>
              </w:rPr>
              <w:t>Série M2 (MUSR M2, MUSA M2, MUSTE M2)</w:t>
            </w:r>
          </w:p>
        </w:tc>
      </w:tr>
      <w:tr>
        <w:tc>
          <w:tcPr>
            <w:tcW w:type="dxa" w:w="2592"/>
            <w:shd w:fill="FFFFFF"/>
            <w:tcMar>
              <w:top w:w="80" w:type="dxa"/>
              <w:bottom w:w="80" w:type="dxa"/>
              <w:left w:w="100" w:type="dxa"/>
              <w:right w:w="100" w:type="dxa"/>
            </w:tcMar>
          </w:tcPr>
          <w:p>
            <w:pPr>
              <w:spacing w:after="0"/>
            </w:pPr>
            <w:r>
              <w:rPr>
                <w:rFonts w:ascii="Segoe UI" w:hAnsi="Segoe UI"/>
                <w:color w:val="333333"/>
                <w:sz w:val="16"/>
              </w:rPr>
              <w:t>IPXC M2 / ICIC M2 Único (Ø4.0 a Ø5.0mm)</w:t>
            </w:r>
          </w:p>
        </w:tc>
        <w:tc>
          <w:tcPr>
            <w:tcW w:type="dxa" w:w="1728"/>
            <w:shd w:fill="FFFFFF"/>
            <w:tcMar>
              <w:top w:w="80" w:type="dxa"/>
              <w:bottom w:w="80" w:type="dxa"/>
              <w:left w:w="100" w:type="dxa"/>
              <w:right w:w="100" w:type="dxa"/>
            </w:tcMar>
          </w:tcPr>
          <w:p>
            <w:pPr>
              <w:spacing w:after="0"/>
            </w:pPr>
            <w:r>
              <w:rPr>
                <w:rFonts w:ascii="Segoe UI" w:hAnsi="Segoe UI"/>
                <w:color w:val="333333"/>
                <w:sz w:val="16"/>
              </w:rPr>
              <w:t>Métrica Ø2.0 mm (M2)</w:t>
            </w:r>
          </w:p>
        </w:tc>
        <w:tc>
          <w:tcPr>
            <w:tcW w:type="dxa" w:w="2592"/>
            <w:shd w:fill="FFFFFF"/>
            <w:tcMar>
              <w:top w:w="80" w:type="dxa"/>
              <w:bottom w:w="80" w:type="dxa"/>
              <w:left w:w="100" w:type="dxa"/>
              <w:right w:w="100" w:type="dxa"/>
            </w:tcMar>
          </w:tcPr>
          <w:p>
            <w:pPr>
              <w:spacing w:after="0"/>
            </w:pPr>
            <w:r>
              <w:rPr>
                <w:rFonts w:ascii="Segoe UI" w:hAnsi="Segoe UI"/>
                <w:color w:val="333333"/>
                <w:sz w:val="16"/>
              </w:rPr>
              <w:t>MUSR M2, MUSA M2, MUSTE M2 (Série Único M2)</w:t>
            </w:r>
          </w:p>
        </w:tc>
        <w:tc>
          <w:tcPr>
            <w:tcW w:type="dxa" w:w="2448"/>
            <w:shd w:fill="FFFFFF"/>
            <w:tcMar>
              <w:top w:w="80" w:type="dxa"/>
              <w:bottom w:w="80" w:type="dxa"/>
              <w:left w:w="100" w:type="dxa"/>
              <w:right w:w="100" w:type="dxa"/>
            </w:tcMar>
          </w:tcPr>
          <w:p>
            <w:pPr>
              <w:spacing w:after="0"/>
            </w:pPr>
            <w:r>
              <w:rPr>
                <w:rFonts w:ascii="Segoe UI" w:hAnsi="Segoe UI"/>
                <w:b/>
                <w:color w:val="C0392B"/>
                <w:sz w:val="16"/>
              </w:rPr>
              <w:t>Pilares de série Clássica (métrica Ø1.6 mm)</w:t>
            </w:r>
          </w:p>
        </w:tc>
      </w:tr>
      <w:tr>
        <w:tc>
          <w:tcPr>
            <w:tcW w:type="dxa" w:w="2592"/>
            <w:shd w:fill="F8FAFC"/>
            <w:tcMar>
              <w:top w:w="80" w:type="dxa"/>
              <w:bottom w:w="80" w:type="dxa"/>
              <w:left w:w="100" w:type="dxa"/>
              <w:right w:w="100" w:type="dxa"/>
            </w:tcMar>
          </w:tcPr>
          <w:p>
            <w:pPr>
              <w:spacing w:after="0"/>
            </w:pPr>
            <w:r>
              <w:rPr>
                <w:rFonts w:ascii="Segoe UI" w:hAnsi="Segoe UI"/>
                <w:color w:val="333333"/>
                <w:sz w:val="16"/>
              </w:rPr>
              <w:t>Pilares Multi-Posição Estreito / Slim 3.8mm</w:t>
            </w:r>
          </w:p>
        </w:tc>
        <w:tc>
          <w:tcPr>
            <w:tcW w:type="dxa" w:w="1728"/>
            <w:shd w:fill="F8FAFC"/>
            <w:tcMar>
              <w:top w:w="80" w:type="dxa"/>
              <w:bottom w:w="80" w:type="dxa"/>
              <w:left w:w="100" w:type="dxa"/>
              <w:right w:w="100" w:type="dxa"/>
            </w:tcMar>
          </w:tcPr>
          <w:p>
            <w:pPr>
              <w:spacing w:after="0"/>
            </w:pPr>
            <w:r>
              <w:rPr>
                <w:rFonts w:ascii="Segoe UI" w:hAnsi="Segoe UI"/>
                <w:color w:val="333333"/>
                <w:sz w:val="16"/>
              </w:rPr>
              <w:t>Plataforma 3.8 mm</w:t>
            </w:r>
          </w:p>
        </w:tc>
        <w:tc>
          <w:tcPr>
            <w:tcW w:type="dxa" w:w="2592"/>
            <w:shd w:fill="F8FAFC"/>
            <w:tcMar>
              <w:top w:w="80" w:type="dxa"/>
              <w:bottom w:w="80" w:type="dxa"/>
              <w:left w:w="100" w:type="dxa"/>
              <w:right w:w="100" w:type="dxa"/>
            </w:tcMar>
          </w:tcPr>
          <w:p>
            <w:pPr>
              <w:spacing w:after="0"/>
            </w:pPr>
            <w:r>
              <w:rPr>
                <w:rFonts w:ascii="Segoe UI" w:hAnsi="Segoe UI"/>
                <w:color w:val="333333"/>
                <w:sz w:val="16"/>
              </w:rPr>
              <w:t>Tampas EPCTR 4030/4844, Scan Body ESBT MUSR, Interfase PCERCMUR 40</w:t>
            </w:r>
          </w:p>
        </w:tc>
        <w:tc>
          <w:tcPr>
            <w:tcW w:type="dxa" w:w="2448"/>
            <w:shd w:fill="F8FAFC"/>
            <w:tcMar>
              <w:top w:w="80" w:type="dxa"/>
              <w:bottom w:w="80" w:type="dxa"/>
              <w:left w:w="100" w:type="dxa"/>
              <w:right w:w="100" w:type="dxa"/>
            </w:tcMar>
          </w:tcPr>
          <w:p>
            <w:pPr>
              <w:spacing w:after="0"/>
            </w:pPr>
            <w:r>
              <w:rPr>
                <w:rFonts w:ascii="Segoe UI" w:hAnsi="Segoe UI"/>
                <w:b/>
                <w:color w:val="C0392B"/>
                <w:sz w:val="16"/>
              </w:rPr>
              <w:t>Acessórios de 4.8mm ou M2 exclusivo</w:t>
            </w:r>
          </w:p>
        </w:tc>
      </w:tr>
      <w:tr>
        <w:tc>
          <w:tcPr>
            <w:tcW w:type="dxa" w:w="2592"/>
            <w:shd w:fill="FFFFFF"/>
            <w:tcMar>
              <w:top w:w="80" w:type="dxa"/>
              <w:bottom w:w="80" w:type="dxa"/>
              <w:left w:w="100" w:type="dxa"/>
              <w:right w:w="100" w:type="dxa"/>
            </w:tcMar>
          </w:tcPr>
          <w:p>
            <w:pPr>
              <w:spacing w:after="0"/>
            </w:pPr>
            <w:r>
              <w:rPr>
                <w:rFonts w:ascii="Segoe UI" w:hAnsi="Segoe UI"/>
                <w:color w:val="333333"/>
                <w:sz w:val="16"/>
              </w:rPr>
              <w:t>Pilares Multi-Posição Ancho 4.8mm</w:t>
            </w:r>
          </w:p>
        </w:tc>
        <w:tc>
          <w:tcPr>
            <w:tcW w:type="dxa" w:w="1728"/>
            <w:shd w:fill="FFFFFF"/>
            <w:tcMar>
              <w:top w:w="80" w:type="dxa"/>
              <w:bottom w:w="80" w:type="dxa"/>
              <w:left w:w="100" w:type="dxa"/>
              <w:right w:w="100" w:type="dxa"/>
            </w:tcMar>
          </w:tcPr>
          <w:p>
            <w:pPr>
              <w:spacing w:after="0"/>
            </w:pPr>
            <w:r>
              <w:rPr>
                <w:rFonts w:ascii="Segoe UI" w:hAnsi="Segoe UI"/>
                <w:color w:val="333333"/>
                <w:sz w:val="16"/>
              </w:rPr>
              <w:t>Plataforma 4.8 mm</w:t>
            </w:r>
          </w:p>
        </w:tc>
        <w:tc>
          <w:tcPr>
            <w:tcW w:type="dxa" w:w="2592"/>
            <w:shd w:fill="FFFFFF"/>
            <w:tcMar>
              <w:top w:w="80" w:type="dxa"/>
              <w:bottom w:w="80" w:type="dxa"/>
              <w:left w:w="100" w:type="dxa"/>
              <w:right w:w="100" w:type="dxa"/>
            </w:tcMar>
          </w:tcPr>
          <w:p>
            <w:pPr>
              <w:spacing w:after="0"/>
            </w:pPr>
            <w:r>
              <w:rPr>
                <w:rFonts w:ascii="Segoe UI" w:hAnsi="Segoe UI"/>
                <w:color w:val="333333"/>
                <w:sz w:val="16"/>
              </w:rPr>
              <w:t>Tampas EPCTR 5044, Scan Body SBT MUSR 50, Interfase PITEMUR DA5040</w:t>
            </w:r>
          </w:p>
        </w:tc>
        <w:tc>
          <w:tcPr>
            <w:tcW w:type="dxa" w:w="2448"/>
            <w:shd w:fill="FFFFFF"/>
            <w:tcMar>
              <w:top w:w="80" w:type="dxa"/>
              <w:bottom w:w="80" w:type="dxa"/>
              <w:left w:w="100" w:type="dxa"/>
              <w:right w:w="100" w:type="dxa"/>
            </w:tcMar>
          </w:tcPr>
          <w:p>
            <w:pPr>
              <w:spacing w:after="0"/>
            </w:pPr>
            <w:r>
              <w:rPr>
                <w:rFonts w:ascii="Segoe UI" w:hAnsi="Segoe UI"/>
                <w:b/>
                <w:color w:val="C0392B"/>
                <w:sz w:val="16"/>
              </w:rPr>
              <w:t>Acessórios estreitos de 3.8mm</w:t>
            </w:r>
          </w:p>
        </w:tc>
      </w:tr>
      <w:tr>
        <w:tc>
          <w:tcPr>
            <w:tcW w:type="dxa" w:w="2592"/>
            <w:shd w:fill="F8FAFC"/>
            <w:tcMar>
              <w:top w:w="80" w:type="dxa"/>
              <w:bottom w:w="80" w:type="dxa"/>
              <w:left w:w="100" w:type="dxa"/>
              <w:right w:w="100" w:type="dxa"/>
            </w:tcMar>
          </w:tcPr>
          <w:p>
            <w:pPr>
              <w:spacing w:after="0"/>
            </w:pPr>
            <w:r>
              <w:rPr>
                <w:rFonts w:ascii="Segoe UI" w:hAnsi="Segoe UI"/>
                <w:color w:val="333333"/>
                <w:sz w:val="16"/>
              </w:rPr>
              <w:t>Pilares MUSA M2 Unitário 4.8mm</w:t>
            </w:r>
          </w:p>
        </w:tc>
        <w:tc>
          <w:tcPr>
            <w:tcW w:type="dxa" w:w="1728"/>
            <w:shd w:fill="F8FAFC"/>
            <w:tcMar>
              <w:top w:w="80" w:type="dxa"/>
              <w:bottom w:w="80" w:type="dxa"/>
              <w:left w:w="100" w:type="dxa"/>
              <w:right w:w="100" w:type="dxa"/>
            </w:tcMar>
          </w:tcPr>
          <w:p>
            <w:pPr>
              <w:spacing w:after="0"/>
            </w:pPr>
            <w:r>
              <w:rPr>
                <w:rFonts w:ascii="Segoe UI" w:hAnsi="Segoe UI"/>
                <w:color w:val="333333"/>
                <w:sz w:val="16"/>
              </w:rPr>
              <w:t>Exclusivo M2 Unit.</w:t>
            </w:r>
          </w:p>
        </w:tc>
        <w:tc>
          <w:tcPr>
            <w:tcW w:type="dxa" w:w="2592"/>
            <w:shd w:fill="F8FAFC"/>
            <w:tcMar>
              <w:top w:w="80" w:type="dxa"/>
              <w:bottom w:w="80" w:type="dxa"/>
              <w:left w:w="100" w:type="dxa"/>
              <w:right w:w="100" w:type="dxa"/>
            </w:tcMar>
          </w:tcPr>
          <w:p>
            <w:pPr>
              <w:spacing w:after="0"/>
            </w:pPr>
            <w:r>
              <w:rPr>
                <w:rFonts w:ascii="Segoe UI" w:hAnsi="Segoe UI"/>
                <w:color w:val="333333"/>
                <w:sz w:val="16"/>
              </w:rPr>
              <w:t>Tampa EPCTA 5044, Scan Body SBT MUSA 50, Réplica RIT SB 50</w:t>
            </w:r>
          </w:p>
        </w:tc>
        <w:tc>
          <w:tcPr>
            <w:tcW w:type="dxa" w:w="2448"/>
            <w:shd w:fill="F8FAFC"/>
            <w:tcMar>
              <w:top w:w="80" w:type="dxa"/>
              <w:bottom w:w="80" w:type="dxa"/>
              <w:left w:w="100" w:type="dxa"/>
              <w:right w:w="100" w:type="dxa"/>
            </w:tcMar>
          </w:tcPr>
          <w:p>
            <w:pPr>
              <w:spacing w:after="0"/>
            </w:pPr>
            <w:r>
              <w:rPr>
                <w:rFonts w:ascii="Segoe UI" w:hAnsi="Segoe UI"/>
                <w:b/>
                <w:color w:val="C0392B"/>
                <w:sz w:val="16"/>
              </w:rPr>
              <w:t>Componentes múltiplos ou clássicos</w:t>
            </w:r>
          </w:p>
        </w:tc>
      </w:tr>
      <w:tr>
        <w:tc>
          <w:tcPr>
            <w:tcW w:type="dxa" w:w="2592"/>
            <w:shd w:fill="FFFFFF"/>
            <w:tcMar>
              <w:top w:w="80" w:type="dxa"/>
              <w:bottom w:w="80" w:type="dxa"/>
              <w:left w:w="100" w:type="dxa"/>
              <w:right w:w="100" w:type="dxa"/>
            </w:tcMar>
          </w:tcPr>
          <w:p>
            <w:pPr>
              <w:spacing w:after="0"/>
            </w:pPr>
            <w:r>
              <w:rPr>
                <w:rFonts w:ascii="Segoe UI" w:hAnsi="Segoe UI"/>
                <w:color w:val="333333"/>
                <w:sz w:val="16"/>
              </w:rPr>
              <w:t>Pilares Transformáveis a Externa MUSTE M2</w:t>
            </w:r>
          </w:p>
        </w:tc>
        <w:tc>
          <w:tcPr>
            <w:tcW w:type="dxa" w:w="1728"/>
            <w:shd w:fill="FFFFFF"/>
            <w:tcMar>
              <w:top w:w="80" w:type="dxa"/>
              <w:bottom w:w="80" w:type="dxa"/>
              <w:left w:w="100" w:type="dxa"/>
              <w:right w:w="100" w:type="dxa"/>
            </w:tcMar>
          </w:tcPr>
          <w:p>
            <w:pPr>
              <w:spacing w:after="0"/>
            </w:pPr>
            <w:r>
              <w:rPr>
                <w:rFonts w:ascii="Segoe UI" w:hAnsi="Segoe UI"/>
                <w:color w:val="333333"/>
                <w:sz w:val="16"/>
              </w:rPr>
              <w:t>Transf. Hex. Externo</w:t>
            </w:r>
          </w:p>
        </w:tc>
        <w:tc>
          <w:tcPr>
            <w:tcW w:type="dxa" w:w="2592"/>
            <w:shd w:fill="FFFFFF"/>
            <w:tcMar>
              <w:top w:w="80" w:type="dxa"/>
              <w:bottom w:w="80" w:type="dxa"/>
              <w:left w:w="100" w:type="dxa"/>
              <w:right w:w="100" w:type="dxa"/>
            </w:tcMar>
          </w:tcPr>
          <w:p>
            <w:pPr>
              <w:spacing w:after="0"/>
            </w:pPr>
            <w:r>
              <w:rPr>
                <w:rFonts w:ascii="Segoe UI" w:hAnsi="Segoe UI"/>
                <w:color w:val="333333"/>
                <w:sz w:val="16"/>
              </w:rPr>
              <w:t>Tampas EPCTER/EPCTEA 4844, Scan Body SBT 40, Réplica RI SB 40E</w:t>
            </w:r>
          </w:p>
        </w:tc>
        <w:tc>
          <w:tcPr>
            <w:tcW w:type="dxa" w:w="2448"/>
            <w:shd w:fill="FFFFFF"/>
            <w:tcMar>
              <w:top w:w="80" w:type="dxa"/>
              <w:bottom w:w="80" w:type="dxa"/>
              <w:left w:w="100" w:type="dxa"/>
              <w:right w:w="100" w:type="dxa"/>
            </w:tcMar>
          </w:tcPr>
          <w:p>
            <w:pPr>
              <w:spacing w:after="0"/>
            </w:pPr>
            <w:r>
              <w:rPr>
                <w:rFonts w:ascii="Segoe UI" w:hAnsi="Segoe UI"/>
                <w:b/>
                <w:color w:val="C0392B"/>
                <w:sz w:val="16"/>
              </w:rPr>
              <w:t>Acessórios de multi-posição interno</w:t>
            </w:r>
          </w:p>
        </w:tc>
      </w:tr>
    </w:tbl>
    <w:sectPr w:rsidR="00FC693F" w:rsidRPr="0006063C" w:rsidSect="00034616">
      <w:headerReference w:type="default" r:id="rId9"/>
      <w:footerReference w:type="default" r:id="rId10"/>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7F8C8D"/>
        <w:sz w:val="17"/>
      </w:rPr>
      <w:t>Clínica Médico-Dentária de Aver-o-Mar, Lda | Diretor Clínico: Dr. Luís Zeferino (OMD 01162)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F8C8D"/>
        <w:sz w:val="17"/>
      </w:rPr>
      <w:t>Gestão Clínica e Stock Galimplant — Manual de Instruções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