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2.3.a, Physical access controls (locks, badges, biometrics, mantraps)</w:t>
      </w:r>
    </w:p>
    <w:p>
      <w:r>
        <w:t>Unit 2 · 2.3 Protecting Physical Spaces</w:t>
      </w:r>
    </w:p>
    <w:p>
      <w:r>
        <w:t>AP Learning Objective(s): 2.3.A | Skill: Mitigate Risk</w:t>
      </w:r>
    </w:p>
    <w:p>
      <w:pPr>
        <w:pStyle w:val="Heading2"/>
      </w:pPr>
      <w:r>
        <w:t>Before class</w:t>
      </w:r>
    </w:p>
    <w:p>
      <w:r>
        <w:t>Every firewall rule, encryption key, and intrusion-detection alert becomes irrelevant if an attacker can walk through the front door, plug a USB drive into a server, or tailgate an employee into a restricted corridor. Physical security is not a legacy concern; it is the outermost layer of a layered defense model.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Keyed lock</w:t>
      </w:r>
    </w:p>
    <w:p>
      <w:pPr>
        <w:pStyle w:val="ListBullet"/>
      </w:pPr>
      <w:r>
        <w:t>RFID badge</w:t>
      </w:r>
    </w:p>
    <w:p>
      <w:pPr>
        <w:pStyle w:val="ListBullet"/>
      </w:pPr>
      <w:r>
        <w:t>Biometric</w:t>
      </w:r>
    </w:p>
    <w:p>
      <w:pPr>
        <w:pStyle w:val="ListBullet"/>
      </w:pPr>
      <w:r>
        <w:t>Mantrap</w:t>
      </w:r>
    </w:p>
    <w:p>
      <w:pPr>
        <w:pStyle w:val="ListBullet"/>
      </w:pPr>
      <w:r>
        <w:t>Tailgating</w:t>
      </w:r>
    </w:p>
    <w:p>
      <w:pPr>
        <w:pStyle w:val="ListBullet"/>
      </w:pPr>
      <w:r>
        <w:t>False acceptance rate (FAR)</w:t>
      </w:r>
    </w:p>
    <w:p>
      <w:pPr>
        <w:pStyle w:val="ListBullet"/>
      </w:pPr>
      <w:r>
        <w:t>False rejection rate (FRR)</w:t>
      </w:r>
    </w:p>
    <w:p>
      <w:pPr>
        <w:pStyle w:val="ListBullet"/>
      </w:pPr>
      <w:r>
        <w:t>Defense in depth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