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331589E1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Full time </w:t>
      </w:r>
      <w:r w:rsidR="002A3400">
        <w:rPr>
          <w:rFonts w:ascii="Calibri Light" w:hAnsi="Calibri Light" w:cs="Calibri Light"/>
          <w:color w:val="000000" w:themeColor="text1"/>
          <w:sz w:val="20"/>
          <w:szCs w:val="20"/>
        </w:rPr>
        <w:t>June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522819C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</w:t>
      </w:r>
      <w:r w:rsidR="002A3400">
        <w:rPr>
          <w:rFonts w:ascii="Calibri Light" w:hAnsi="Calibri Light" w:cs="Calibri Light"/>
          <w:sz w:val="22"/>
          <w:szCs w:val="22"/>
        </w:rPr>
        <w:t>2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5412EFF8" w14:textId="17709191" w:rsidR="000A3B12" w:rsidRPr="001C411C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(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Incoming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)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Fall 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September – December 2021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7F56A0E8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>by abstracting two programs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calculation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40A6F1F5" w14:textId="1CEB6EFC" w:rsidR="00E474AD" w:rsidRPr="002B1443" w:rsidRDefault="008E35D9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159F36F2" w:rsid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80BA700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CD0D" w14:textId="77777777" w:rsidR="004A3151" w:rsidRDefault="004A3151" w:rsidP="00F66DB7">
      <w:r>
        <w:separator/>
      </w:r>
    </w:p>
  </w:endnote>
  <w:endnote w:type="continuationSeparator" w:id="0">
    <w:p w14:paraId="59FEF340" w14:textId="77777777" w:rsidR="004A3151" w:rsidRDefault="004A3151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572B" w14:textId="77777777" w:rsidR="004A3151" w:rsidRDefault="004A3151" w:rsidP="00F66DB7">
      <w:r>
        <w:separator/>
      </w:r>
    </w:p>
  </w:footnote>
  <w:footnote w:type="continuationSeparator" w:id="0">
    <w:p w14:paraId="174AF6A2" w14:textId="77777777" w:rsidR="004A3151" w:rsidRDefault="004A3151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441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52B73"/>
    <w:rsid w:val="002570E7"/>
    <w:rsid w:val="00267AA3"/>
    <w:rsid w:val="00270696"/>
    <w:rsid w:val="0027300B"/>
    <w:rsid w:val="002A254F"/>
    <w:rsid w:val="002A3400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3151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5D9D"/>
    <w:rsid w:val="00824A6E"/>
    <w:rsid w:val="008269B0"/>
    <w:rsid w:val="00827EFA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2021-08-18T19:27:00Z</cp:lastPrinted>
  <dcterms:created xsi:type="dcterms:W3CDTF">2021-08-18T19:27:00Z</dcterms:created>
  <dcterms:modified xsi:type="dcterms:W3CDTF">2021-08-19T19:00:00Z</dcterms:modified>
</cp:coreProperties>
</file>