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197CA">
      <w:pPr>
        <w:pStyle w:val="3"/>
        <w:spacing w:line="240" w:lineRule="auto"/>
      </w:pPr>
      <w:r>
        <w:t>配置管理</w:t>
      </w:r>
    </w:p>
    <w:p w14:paraId="3F79259B">
      <w:pPr>
        <w:pStyle w:val="4"/>
        <w:rPr>
          <w:rFonts w:hint="eastAsia"/>
        </w:rPr>
      </w:pPr>
      <w:r>
        <w:t>配置管理制度情况</w:t>
      </w:r>
    </w:p>
    <w:tbl>
      <w:tblPr>
        <w:tblStyle w:val="11"/>
        <w:tblpPr w:leftFromText="180" w:rightFromText="180" w:vertAnchor="text" w:horzAnchor="page" w:tblpX="2282" w:tblpY="642"/>
        <w:tblOverlap w:val="never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2021"/>
        <w:gridCol w:w="4598"/>
      </w:tblGrid>
      <w:tr w14:paraId="5EC54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25A483A7">
            <w:pPr>
              <w:spacing w:line="360" w:lineRule="auto"/>
              <w:rPr>
                <w:rFonts w:ascii="Times New Roman" w:hAnsi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0"/>
                <w:szCs w:val="21"/>
              </w:rPr>
              <w:t>制度类型</w:t>
            </w:r>
          </w:p>
        </w:tc>
        <w:tc>
          <w:tcPr>
            <w:tcW w:w="2021" w:type="dxa"/>
          </w:tcPr>
          <w:p w14:paraId="335B5710">
            <w:pPr>
              <w:spacing w:line="360" w:lineRule="auto"/>
              <w:rPr>
                <w:rFonts w:ascii="Times New Roman" w:hAnsi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0"/>
                <w:szCs w:val="21"/>
              </w:rPr>
              <w:t>是否有对应制度</w:t>
            </w:r>
          </w:p>
        </w:tc>
        <w:tc>
          <w:tcPr>
            <w:tcW w:w="4598" w:type="dxa"/>
          </w:tcPr>
          <w:p w14:paraId="5227DFE5">
            <w:pPr>
              <w:spacing w:line="360" w:lineRule="auto"/>
              <w:rPr>
                <w:rFonts w:ascii="Times New Roman" w:hAnsi="Times New Roman"/>
                <w:b/>
                <w:bCs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0"/>
                <w:szCs w:val="21"/>
              </w:rPr>
              <w:t>制度</w:t>
            </w:r>
            <w:r>
              <w:rPr>
                <w:rFonts w:hint="eastAsia" w:ascii="Times New Roman" w:hAnsi="Times New Roman"/>
                <w:b/>
                <w:bCs/>
                <w:kern w:val="0"/>
                <w:sz w:val="20"/>
                <w:szCs w:val="21"/>
              </w:rPr>
              <w:t>名称</w:t>
            </w:r>
          </w:p>
        </w:tc>
      </w:tr>
      <w:tr w14:paraId="014C51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50667957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  <w:szCs w:val="21"/>
              </w:rPr>
              <w:t>配置项管理制度</w:t>
            </w:r>
          </w:p>
        </w:tc>
        <w:tc>
          <w:tcPr>
            <w:tcW w:w="2021" w:type="dxa"/>
          </w:tcPr>
          <w:p w14:paraId="0649E70F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</w:rPr>
              <w:t>是 ☑ 否 □</w:t>
            </w:r>
          </w:p>
        </w:tc>
        <w:tc>
          <w:tcPr>
            <w:tcW w:w="4598" w:type="dxa"/>
          </w:tcPr>
          <w:p w14:paraId="5C31E5DE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《</w:t>
            </w:r>
            <w:r>
              <w:rPr>
                <w:rFonts w:hint="eastAsia" w:ascii="Times New Roman" w:hAnsi="Times New Roman"/>
                <w:color w:val="FF0000"/>
                <w:kern w:val="0"/>
                <w:sz w:val="20"/>
                <w:szCs w:val="21"/>
              </w:rPr>
              <w:t>QMS-SD-CX29 软件配置管理规程</w:t>
            </w: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》</w:t>
            </w:r>
          </w:p>
        </w:tc>
      </w:tr>
      <w:tr w14:paraId="56A5F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67CE9D5D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  <w:szCs w:val="21"/>
              </w:rPr>
              <w:t>基线发布制度</w:t>
            </w:r>
          </w:p>
        </w:tc>
        <w:tc>
          <w:tcPr>
            <w:tcW w:w="2021" w:type="dxa"/>
          </w:tcPr>
          <w:p w14:paraId="7C77EEB8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</w:rPr>
              <w:t>是 ☑ 否 □</w:t>
            </w:r>
          </w:p>
        </w:tc>
        <w:tc>
          <w:tcPr>
            <w:tcW w:w="4598" w:type="dxa"/>
          </w:tcPr>
          <w:p w14:paraId="200E10C4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《</w:t>
            </w:r>
            <w:r>
              <w:rPr>
                <w:rFonts w:hint="eastAsia" w:ascii="Times New Roman" w:hAnsi="Times New Roman"/>
                <w:color w:val="FF0000"/>
                <w:kern w:val="0"/>
                <w:sz w:val="20"/>
                <w:szCs w:val="21"/>
              </w:rPr>
              <w:t>QMS-SD-CX29 软件配置管理规程</w:t>
            </w: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》</w:t>
            </w:r>
          </w:p>
        </w:tc>
      </w:tr>
      <w:tr w14:paraId="398DB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37D5DDC7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  <w:szCs w:val="21"/>
              </w:rPr>
              <w:t>变更管理制度</w:t>
            </w:r>
          </w:p>
        </w:tc>
        <w:tc>
          <w:tcPr>
            <w:tcW w:w="2021" w:type="dxa"/>
          </w:tcPr>
          <w:p w14:paraId="22A9E181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</w:rPr>
              <w:t>是 ☑ 否 □</w:t>
            </w:r>
          </w:p>
        </w:tc>
        <w:tc>
          <w:tcPr>
            <w:tcW w:w="4598" w:type="dxa"/>
          </w:tcPr>
          <w:p w14:paraId="6A3CCCE8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《</w:t>
            </w:r>
            <w:r>
              <w:rPr>
                <w:rFonts w:hint="eastAsia" w:ascii="Times New Roman" w:hAnsi="Times New Roman"/>
                <w:color w:val="FF0000"/>
                <w:kern w:val="0"/>
                <w:sz w:val="20"/>
                <w:szCs w:val="21"/>
              </w:rPr>
              <w:t>QMS-SD-CX29 软件配置管理规程</w:t>
            </w: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》</w:t>
            </w:r>
          </w:p>
        </w:tc>
      </w:tr>
      <w:tr w14:paraId="2104F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</w:tcPr>
          <w:p w14:paraId="0DED8025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  <w:szCs w:val="21"/>
              </w:rPr>
              <w:t>版本发布制度</w:t>
            </w:r>
          </w:p>
        </w:tc>
        <w:tc>
          <w:tcPr>
            <w:tcW w:w="2021" w:type="dxa"/>
          </w:tcPr>
          <w:p w14:paraId="6B59B2C7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ascii="Times New Roman" w:hAnsi="Times New Roman"/>
                <w:kern w:val="0"/>
                <w:sz w:val="20"/>
              </w:rPr>
              <w:t>是 ☑ 否 □</w:t>
            </w:r>
          </w:p>
        </w:tc>
        <w:tc>
          <w:tcPr>
            <w:tcW w:w="4598" w:type="dxa"/>
          </w:tcPr>
          <w:p w14:paraId="6B2C63FE">
            <w:pPr>
              <w:spacing w:line="360" w:lineRule="auto"/>
              <w:rPr>
                <w:rFonts w:ascii="Times New Roman" w:hAnsi="Times New Roman"/>
                <w:kern w:val="0"/>
                <w:sz w:val="20"/>
                <w:szCs w:val="21"/>
              </w:rPr>
            </w:pP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《</w:t>
            </w:r>
            <w:r>
              <w:rPr>
                <w:rFonts w:hint="eastAsia" w:ascii="Times New Roman" w:hAnsi="Times New Roman"/>
                <w:color w:val="FF0000"/>
                <w:kern w:val="0"/>
                <w:sz w:val="20"/>
                <w:szCs w:val="21"/>
              </w:rPr>
              <w:t>规程-产品发布规程</w:t>
            </w:r>
            <w:r>
              <w:rPr>
                <w:rFonts w:hint="eastAsia" w:ascii="Times New Roman" w:hAnsi="Times New Roman"/>
                <w:kern w:val="0"/>
                <w:sz w:val="20"/>
                <w:szCs w:val="21"/>
              </w:rPr>
              <w:t>》</w:t>
            </w:r>
          </w:p>
        </w:tc>
      </w:tr>
    </w:tbl>
    <w:p w14:paraId="557BCD6A">
      <w:pPr>
        <w:pStyle w:val="2"/>
        <w:spacing w:line="288" w:lineRule="auto"/>
        <w:ind w:firstLine="0" w:firstLineChars="0"/>
        <w:rPr>
          <w:rFonts w:ascii="Times New Roman" w:hAnsi="Times New Roman"/>
          <w:color w:val="FF0000"/>
          <w:szCs w:val="21"/>
        </w:rPr>
      </w:pPr>
    </w:p>
    <w:p w14:paraId="09844FA6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1）《</w:t>
      </w:r>
      <w:r>
        <w:rPr>
          <w:rFonts w:hint="eastAsia" w:ascii="Times New Roman" w:hAnsi="Times New Roman"/>
          <w:color w:val="FF0000"/>
          <w:szCs w:val="21"/>
        </w:rPr>
        <w:t>QMS-SD-CX03-JG01 软件研制技术流程-软件工具研发部</w:t>
      </w:r>
      <w:r>
        <w:rPr>
          <w:rFonts w:hint="eastAsia" w:ascii="Times New Roman" w:hAnsi="Times New Roman"/>
          <w:szCs w:val="21"/>
        </w:rPr>
        <w:t>》，简介：</w:t>
      </w:r>
    </w:p>
    <w:p w14:paraId="33F05B9D">
      <w:pPr>
        <w:pStyle w:val="2"/>
        <w:spacing w:line="288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定义</w:t>
      </w:r>
      <w:r>
        <w:rPr>
          <w:rFonts w:ascii="Times New Roman" w:hAnsi="Times New Roman"/>
          <w:szCs w:val="21"/>
        </w:rPr>
        <w:t>了部门</w:t>
      </w:r>
      <w:r>
        <w:rPr>
          <w:rFonts w:hint="eastAsia" w:ascii="Times New Roman" w:hAnsi="Times New Roman"/>
          <w:szCs w:val="21"/>
        </w:rPr>
        <w:t>软件</w:t>
      </w:r>
      <w:r>
        <w:rPr>
          <w:rFonts w:ascii="Times New Roman" w:hAnsi="Times New Roman"/>
          <w:szCs w:val="21"/>
        </w:rPr>
        <w:t>研制技术流程</w:t>
      </w:r>
      <w:r>
        <w:rPr>
          <w:rFonts w:hint="eastAsia" w:ascii="Times New Roman" w:hAnsi="Times New Roman"/>
          <w:szCs w:val="21"/>
        </w:rPr>
        <w:t>为</w:t>
      </w:r>
      <w:r>
        <w:rPr>
          <w:rFonts w:ascii="Times New Roman" w:hAnsi="Times New Roman"/>
          <w:szCs w:val="21"/>
        </w:rPr>
        <w:t>迭代</w:t>
      </w:r>
      <w:r>
        <w:rPr>
          <w:rFonts w:hint="eastAsia" w:ascii="Times New Roman" w:hAnsi="Times New Roman"/>
          <w:szCs w:val="21"/>
        </w:rPr>
        <w:t>模型，</w:t>
      </w:r>
      <w:r>
        <w:rPr>
          <w:rFonts w:ascii="Times New Roman" w:hAnsi="Times New Roman"/>
          <w:szCs w:val="21"/>
        </w:rPr>
        <w:t>绘制研发技术</w:t>
      </w:r>
      <w:r>
        <w:rPr>
          <w:rFonts w:hint="eastAsia" w:ascii="Times New Roman" w:hAnsi="Times New Roman"/>
          <w:szCs w:val="21"/>
        </w:rPr>
        <w:t>流程图</w:t>
      </w:r>
      <w:r>
        <w:rPr>
          <w:rFonts w:ascii="Times New Roman" w:hAnsi="Times New Roman"/>
          <w:szCs w:val="21"/>
        </w:rPr>
        <w:t>，对流程图中的</w:t>
      </w:r>
      <w:r>
        <w:rPr>
          <w:rFonts w:hint="eastAsia" w:ascii="Times New Roman" w:hAnsi="Times New Roman"/>
          <w:szCs w:val="21"/>
        </w:rPr>
        <w:t>每</w:t>
      </w:r>
      <w:r>
        <w:rPr>
          <w:rFonts w:ascii="Times New Roman" w:hAnsi="Times New Roman"/>
          <w:szCs w:val="21"/>
        </w:rPr>
        <w:t>一个活动进行定义和说明</w:t>
      </w:r>
      <w:r>
        <w:rPr>
          <w:rFonts w:hint="eastAsia" w:ascii="Times New Roman" w:hAnsi="Times New Roman"/>
          <w:szCs w:val="21"/>
        </w:rPr>
        <w:t>，</w:t>
      </w:r>
      <w:r>
        <w:rPr>
          <w:rFonts w:ascii="Times New Roman" w:hAnsi="Times New Roman"/>
          <w:szCs w:val="21"/>
        </w:rPr>
        <w:t>明确活动输入和输出。</w:t>
      </w:r>
    </w:p>
    <w:p w14:paraId="26F75461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2）</w:t>
      </w:r>
      <w:r>
        <w:rPr>
          <w:rFonts w:hint="eastAsia" w:ascii="Times New Roman" w:hAnsi="Times New Roman"/>
          <w:color w:val="FF0000"/>
          <w:szCs w:val="21"/>
        </w:rPr>
        <w:t>《QMS-SD-CX29 软件配置管理规程》</w:t>
      </w:r>
      <w:r>
        <w:rPr>
          <w:rFonts w:hint="eastAsia" w:ascii="Times New Roman" w:hAnsi="Times New Roman"/>
          <w:szCs w:val="21"/>
        </w:rPr>
        <w:t>，简介：</w:t>
      </w:r>
    </w:p>
    <w:p w14:paraId="796CC582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规范</w:t>
      </w:r>
      <w:r>
        <w:rPr>
          <w:rFonts w:ascii="Times New Roman" w:hAnsi="Times New Roman"/>
          <w:szCs w:val="21"/>
        </w:rPr>
        <w:t>了</w:t>
      </w:r>
      <w:r>
        <w:rPr>
          <w:rFonts w:hint="eastAsia" w:ascii="Times New Roman" w:hAnsi="Times New Roman"/>
          <w:szCs w:val="21"/>
        </w:rPr>
        <w:t>部门</w:t>
      </w:r>
      <w:r>
        <w:rPr>
          <w:rFonts w:ascii="Times New Roman" w:hAnsi="Times New Roman"/>
          <w:szCs w:val="21"/>
        </w:rPr>
        <w:t>的软件配置管理</w:t>
      </w:r>
      <w:r>
        <w:rPr>
          <w:rFonts w:hint="eastAsia" w:ascii="Times New Roman" w:hAnsi="Times New Roman"/>
          <w:szCs w:val="21"/>
        </w:rPr>
        <w:t>过程</w:t>
      </w:r>
      <w:r>
        <w:rPr>
          <w:rFonts w:ascii="Times New Roman" w:hAnsi="Times New Roman"/>
          <w:szCs w:val="21"/>
        </w:rPr>
        <w:t>，包括配置项</w:t>
      </w:r>
      <w:r>
        <w:rPr>
          <w:rFonts w:hint="eastAsia" w:ascii="Times New Roman" w:hAnsi="Times New Roman"/>
          <w:szCs w:val="21"/>
        </w:rPr>
        <w:t>命名规则</w:t>
      </w:r>
      <w:r>
        <w:rPr>
          <w:rFonts w:ascii="Times New Roman" w:hAnsi="Times New Roman"/>
          <w:szCs w:val="21"/>
        </w:rPr>
        <w:t>、</w:t>
      </w:r>
      <w:r>
        <w:rPr>
          <w:rFonts w:hint="eastAsia" w:ascii="Times New Roman" w:hAnsi="Times New Roman"/>
          <w:szCs w:val="21"/>
        </w:rPr>
        <w:t>三库管理</w:t>
      </w:r>
      <w:r>
        <w:rPr>
          <w:rFonts w:ascii="Times New Roman" w:hAnsi="Times New Roman"/>
          <w:szCs w:val="21"/>
        </w:rPr>
        <w:t>、基线发布以及变更管理的制度等。</w:t>
      </w:r>
    </w:p>
    <w:p w14:paraId="5CE1F5E0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3）</w:t>
      </w:r>
      <w:r>
        <w:rPr>
          <w:rFonts w:hint="eastAsia" w:ascii="Times New Roman" w:hAnsi="Times New Roman"/>
          <w:color w:val="FF0000"/>
          <w:szCs w:val="21"/>
        </w:rPr>
        <w:t>《QMS-SD-CX27 软件质量保证规程》</w:t>
      </w:r>
      <w:r>
        <w:rPr>
          <w:rFonts w:hint="eastAsia" w:ascii="Times New Roman" w:hAnsi="Times New Roman"/>
          <w:szCs w:val="21"/>
        </w:rPr>
        <w:t>，简介：</w:t>
      </w:r>
    </w:p>
    <w:p w14:paraId="63A270B5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规范</w:t>
      </w:r>
      <w:r>
        <w:rPr>
          <w:rFonts w:ascii="Times New Roman" w:hAnsi="Times New Roman"/>
          <w:szCs w:val="21"/>
        </w:rPr>
        <w:t>了部门</w:t>
      </w:r>
      <w:r>
        <w:rPr>
          <w:rFonts w:hint="eastAsia" w:ascii="Times New Roman" w:hAnsi="Times New Roman"/>
          <w:szCs w:val="21"/>
        </w:rPr>
        <w:t>软件</w:t>
      </w:r>
      <w:r>
        <w:rPr>
          <w:rFonts w:ascii="Times New Roman" w:hAnsi="Times New Roman"/>
          <w:szCs w:val="21"/>
        </w:rPr>
        <w:t>质量保证过程，包括</w:t>
      </w:r>
      <w:r>
        <w:rPr>
          <w:rFonts w:hint="eastAsia" w:ascii="Times New Roman" w:hAnsi="Times New Roman"/>
          <w:szCs w:val="21"/>
        </w:rPr>
        <w:t>如何</w:t>
      </w:r>
      <w:r>
        <w:rPr>
          <w:rFonts w:ascii="Times New Roman" w:hAnsi="Times New Roman"/>
          <w:szCs w:val="21"/>
        </w:rPr>
        <w:t>执行过程审核、产品审核</w:t>
      </w:r>
      <w:r>
        <w:rPr>
          <w:rFonts w:hint="eastAsia" w:ascii="Times New Roman" w:hAnsi="Times New Roman"/>
          <w:szCs w:val="21"/>
        </w:rPr>
        <w:t>等</w:t>
      </w:r>
      <w:r>
        <w:rPr>
          <w:rFonts w:ascii="Times New Roman" w:hAnsi="Times New Roman"/>
          <w:szCs w:val="21"/>
        </w:rPr>
        <w:t>。</w:t>
      </w:r>
    </w:p>
    <w:p w14:paraId="69CAC3E4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4）</w:t>
      </w:r>
      <w:r>
        <w:rPr>
          <w:rFonts w:hint="eastAsia" w:ascii="Times New Roman" w:hAnsi="Times New Roman"/>
          <w:color w:val="FF0000"/>
          <w:szCs w:val="21"/>
        </w:rPr>
        <w:t>《规程-产品发布规程》</w:t>
      </w:r>
      <w:r>
        <w:rPr>
          <w:rFonts w:hint="eastAsia" w:ascii="Times New Roman" w:hAnsi="Times New Roman"/>
          <w:szCs w:val="21"/>
        </w:rPr>
        <w:t>，简介：</w:t>
      </w:r>
    </w:p>
    <w:p w14:paraId="22C9F080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规范了</w:t>
      </w:r>
      <w:r>
        <w:rPr>
          <w:rFonts w:ascii="Times New Roman" w:hAnsi="Times New Roman"/>
          <w:szCs w:val="21"/>
        </w:rPr>
        <w:t>部门产品发布的过程，包括编制研制总结报告、发布评审会等。</w:t>
      </w:r>
    </w:p>
    <w:p w14:paraId="381C1CD7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5）</w:t>
      </w:r>
      <w:r>
        <w:rPr>
          <w:rFonts w:hint="eastAsia" w:ascii="Times New Roman" w:hAnsi="Times New Roman"/>
          <w:color w:val="FF0000"/>
          <w:szCs w:val="21"/>
        </w:rPr>
        <w:t>《规程-产品确认测试规程》</w:t>
      </w:r>
      <w:r>
        <w:rPr>
          <w:rFonts w:ascii="Times New Roman" w:hAnsi="Times New Roman"/>
          <w:szCs w:val="21"/>
        </w:rPr>
        <w:t>，简介：</w:t>
      </w:r>
    </w:p>
    <w:p w14:paraId="298B42BE">
      <w:pPr>
        <w:pStyle w:val="2"/>
        <w:spacing w:line="288" w:lineRule="auto"/>
        <w:rPr>
          <w:rFonts w:hint="eastAsia" w:ascii="宋体" w:hAnsi="宋体" w:cs="宋体"/>
          <w:szCs w:val="21"/>
        </w:rPr>
      </w:pPr>
      <w:r>
        <w:rPr>
          <w:rFonts w:hint="eastAsia" w:ascii="Times New Roman" w:hAnsi="Times New Roman"/>
          <w:szCs w:val="21"/>
        </w:rPr>
        <w:t>规范</w:t>
      </w:r>
      <w:r>
        <w:rPr>
          <w:rFonts w:ascii="Times New Roman" w:hAnsi="Times New Roman"/>
          <w:szCs w:val="21"/>
        </w:rPr>
        <w:t>了部门产品确认测试的过程，包括</w:t>
      </w:r>
      <w:r>
        <w:rPr>
          <w:rFonts w:hint="eastAsia" w:ascii="Times New Roman" w:hAnsi="Times New Roman"/>
          <w:szCs w:val="21"/>
        </w:rPr>
        <w:t>确认</w:t>
      </w:r>
      <w:r>
        <w:rPr>
          <w:rFonts w:ascii="Times New Roman" w:hAnsi="Times New Roman"/>
          <w:szCs w:val="21"/>
        </w:rPr>
        <w:t>测试计划、</w:t>
      </w:r>
      <w:r>
        <w:rPr>
          <w:rFonts w:hint="eastAsia" w:ascii="Times New Roman" w:hAnsi="Times New Roman"/>
          <w:szCs w:val="21"/>
        </w:rPr>
        <w:t>确认</w:t>
      </w:r>
      <w:r>
        <w:rPr>
          <w:rFonts w:ascii="Times New Roman" w:hAnsi="Times New Roman"/>
          <w:szCs w:val="21"/>
        </w:rPr>
        <w:t>测试执行、</w:t>
      </w:r>
      <w:r>
        <w:rPr>
          <w:rFonts w:hint="eastAsia" w:ascii="Times New Roman" w:hAnsi="Times New Roman"/>
          <w:szCs w:val="21"/>
        </w:rPr>
        <w:t>确认</w:t>
      </w:r>
      <w:r>
        <w:rPr>
          <w:rFonts w:ascii="Times New Roman" w:hAnsi="Times New Roman"/>
          <w:szCs w:val="21"/>
        </w:rPr>
        <w:t>测试</w:t>
      </w:r>
      <w:r>
        <w:rPr>
          <w:rFonts w:hint="eastAsia" w:ascii="Times New Roman" w:hAnsi="Times New Roman"/>
          <w:szCs w:val="21"/>
        </w:rPr>
        <w:t>结果</w:t>
      </w:r>
      <w:r>
        <w:rPr>
          <w:rFonts w:ascii="Times New Roman" w:hAnsi="Times New Roman"/>
          <w:szCs w:val="21"/>
        </w:rPr>
        <w:t>记录等</w:t>
      </w:r>
      <w:r>
        <w:rPr>
          <w:rFonts w:hint="eastAsia" w:ascii="Times New Roman" w:hAnsi="Times New Roman"/>
          <w:szCs w:val="21"/>
        </w:rPr>
        <w:t>。</w:t>
      </w:r>
    </w:p>
    <w:p w14:paraId="5E8C364F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企业配合人员：</w:t>
      </w:r>
      <w:r>
        <w:rPr>
          <w:rFonts w:ascii="Times New Roman" w:hAnsi="Times New Roman"/>
          <w:szCs w:val="21"/>
        </w:rPr>
        <w:t>xxx</w:t>
      </w:r>
    </w:p>
    <w:p w14:paraId="440C52E2">
      <w:pPr>
        <w:pStyle w:val="2"/>
        <w:spacing w:line="288" w:lineRule="auto"/>
        <w:rPr>
          <w:rFonts w:ascii="Times New Roman" w:hAnsi="Times New Roman"/>
          <w:color w:val="FF0000"/>
          <w:szCs w:val="21"/>
        </w:rPr>
      </w:pPr>
    </w:p>
    <w:p w14:paraId="27D48E4E">
      <w:pPr>
        <w:pStyle w:val="2"/>
        <w:spacing w:line="288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代码、版本管理工具：GitLab（代码托管与版本管理，配置库地址 http://10.10.10.208/sunwise/controlled_library）</w:t>
      </w:r>
    </w:p>
    <w:p w14:paraId="206416E3">
      <w:pPr>
        <w:pStyle w:val="2"/>
        <w:spacing w:line="288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缺陷问题管理工具（如有）：Polarion（项目管理与缺陷跟踪，项目 HDLChecker，缺陷编号 HDLC-3794~HDLC-3808 等，见缺陷管理记录截图）</w:t>
      </w:r>
    </w:p>
    <w:p w14:paraId="3ACEC00E">
      <w:pPr>
        <w:pStyle w:val="2"/>
        <w:spacing w:line="288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文档库管理工具（如有）：AEM（部门自研研制一体化管理平台，项目文档管理与受控文档入库）</w:t>
      </w:r>
    </w:p>
    <w:p w14:paraId="28AABEC4">
      <w:pPr>
        <w:pStyle w:val="2"/>
        <w:spacing w:line="288" w:lineRule="auto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color w:val="FF0000"/>
          <w:szCs w:val="21"/>
        </w:rPr>
        <w:t>产品库管理工具：Windows 文件共享服务器（产品库地址 \\10.10.10.207\产品受控库）</w:t>
      </w:r>
    </w:p>
    <w:p w14:paraId="493228D2">
      <w:pPr>
        <w:pStyle w:val="4"/>
        <w:rPr>
          <w:rFonts w:hint="eastAsia"/>
        </w:rPr>
      </w:pPr>
      <w:r>
        <w:t>版本</w:t>
      </w:r>
      <w:r>
        <w:rPr>
          <w:rFonts w:hint="eastAsia"/>
        </w:rPr>
        <w:t>库</w:t>
      </w:r>
    </w:p>
    <w:p w14:paraId="2454D6AF">
      <w:pPr>
        <w:spacing w:line="360" w:lineRule="auto"/>
        <w:ind w:firstLine="42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代码库建立时间：</w:t>
      </w:r>
      <w:r>
        <w:rPr>
          <w:rFonts w:hint="eastAsia" w:ascii="Times New Roman" w:hAnsi="Times New Roman"/>
          <w:szCs w:val="21"/>
        </w:rPr>
        <w:t>20</w:t>
      </w:r>
      <w:r>
        <w:rPr>
          <w:rFonts w:ascii="Times New Roman" w:hAnsi="Times New Roman"/>
          <w:szCs w:val="21"/>
        </w:rPr>
        <w:t>19</w:t>
      </w:r>
      <w:r>
        <w:rPr>
          <w:rFonts w:hint="eastAsia" w:ascii="Times New Roman" w:hAnsi="Times New Roman"/>
          <w:szCs w:val="21"/>
        </w:rPr>
        <w:t>年</w:t>
      </w:r>
    </w:p>
    <w:p w14:paraId="65BCBB9B">
      <w:pPr>
        <w:spacing w:line="360" w:lineRule="auto"/>
        <w:ind w:firstLine="420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版本更新记录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是</w:t>
      </w:r>
      <w:r>
        <w:rPr>
          <w:rFonts w:ascii="Times New Roman" w:hAnsi="Times New Roman"/>
        </w:rPr>
        <w:t xml:space="preserve"> ☑   否 □</w:t>
      </w:r>
      <w:r>
        <w:rPr>
          <w:rFonts w:ascii="Times New Roman" w:hAnsi="Times New Roman"/>
        </w:rPr>
        <w:tab/>
      </w:r>
    </w:p>
    <w:p w14:paraId="147626D1">
      <w:pPr>
        <w:pStyle w:val="2"/>
        <w:rPr>
          <w:rFonts w:ascii="Times New Roman" w:hAnsi="Times New Roman"/>
        </w:rPr>
      </w:pPr>
      <w:r>
        <w:rPr>
          <w:rFonts w:hint="eastAsia" w:ascii="Times New Roman" w:hAnsi="Times New Roman"/>
        </w:rPr>
        <w:t>现场查看版本更新记录表（截图）</w:t>
      </w:r>
    </w:p>
    <w:p w14:paraId="13BBDCEC">
      <w:pPr>
        <w:pStyle w:val="2"/>
        <w:ind w:firstLine="0" w:firstLineChars="0"/>
        <w:rPr>
          <w:rFonts w:ascii="Times New Roman" w:hAnsi="Times New Roman"/>
        </w:rPr>
      </w:pPr>
      <w:r>
        <w:drawing>
          <wp:inline distT="0" distB="0" distL="114300" distR="114300">
            <wp:extent cx="5272405" cy="4871720"/>
            <wp:effectExtent l="0" t="0" r="444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7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6F7AB">
      <w:pPr>
        <w:pStyle w:val="2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</w:rPr>
        <w:t>提供</w:t>
      </w:r>
      <w:r>
        <w:rPr>
          <w:rFonts w:ascii="Times New Roman" w:hAnsi="Times New Roman"/>
          <w:szCs w:val="21"/>
        </w:rPr>
        <w:t>缺陷管理</w:t>
      </w:r>
      <w:r>
        <w:rPr>
          <w:rFonts w:hint="eastAsia" w:ascii="Times New Roman" w:hAnsi="Times New Roman"/>
          <w:szCs w:val="21"/>
        </w:rPr>
        <w:t>记录（截图）</w:t>
      </w:r>
    </w:p>
    <w:p w14:paraId="71281BDB">
      <w:pPr>
        <w:pStyle w:val="2"/>
        <w:ind w:firstLine="0" w:firstLineChars="0"/>
        <w:rPr>
          <w:b/>
          <w:bCs/>
        </w:rPr>
      </w:pPr>
      <w:r>
        <w:drawing>
          <wp:inline distT="0" distB="0" distL="114300" distR="114300">
            <wp:extent cx="5266055" cy="2353310"/>
            <wp:effectExtent l="0" t="0" r="1079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52B56">
      <w:pPr>
        <w:pStyle w:val="4"/>
        <w:rPr>
          <w:rFonts w:hint="eastAsia"/>
        </w:rPr>
      </w:pPr>
      <w:r>
        <w:rPr>
          <w:rFonts w:hint="eastAsia"/>
        </w:rPr>
        <w:t>文档库（项目管理工具、项目管理文档库）</w:t>
      </w:r>
    </w:p>
    <w:p w14:paraId="793C5CAD">
      <w:pPr>
        <w:pStyle w:val="2"/>
        <w:spacing w:line="288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项目</w:t>
      </w:r>
      <w:r>
        <w:rPr>
          <w:rFonts w:ascii="宋体" w:hAnsi="宋体" w:cs="宋体"/>
          <w:szCs w:val="21"/>
        </w:rPr>
        <w:t>文档采用部门</w:t>
      </w:r>
      <w:r>
        <w:rPr>
          <w:rFonts w:hint="eastAsia" w:ascii="宋体" w:hAnsi="宋体" w:cs="宋体"/>
          <w:szCs w:val="21"/>
        </w:rPr>
        <w:t>自研研制一体化管理</w:t>
      </w:r>
      <w:r>
        <w:rPr>
          <w:rFonts w:ascii="宋体" w:hAnsi="宋体" w:cs="宋体"/>
          <w:szCs w:val="21"/>
        </w:rPr>
        <w:t>平台</w:t>
      </w:r>
      <w:r>
        <w:rPr>
          <w:rFonts w:hint="eastAsia" w:ascii="宋体" w:hAnsi="宋体" w:cs="宋体"/>
          <w:szCs w:val="21"/>
        </w:rPr>
        <w:t>AEM进行管理</w:t>
      </w:r>
      <w:r>
        <w:rPr>
          <w:rFonts w:ascii="宋体" w:hAnsi="宋体" w:cs="宋体"/>
          <w:szCs w:val="21"/>
        </w:rPr>
        <w:t>，</w:t>
      </w:r>
      <w:r>
        <w:rPr>
          <w:rFonts w:hint="eastAsia" w:ascii="宋体" w:hAnsi="宋体" w:cs="宋体"/>
          <w:szCs w:val="21"/>
        </w:rPr>
        <w:t>重要</w:t>
      </w:r>
      <w:r>
        <w:rPr>
          <w:rFonts w:ascii="宋体" w:hAnsi="宋体" w:cs="宋体"/>
          <w:szCs w:val="21"/>
        </w:rPr>
        <w:t>过程文</w:t>
      </w:r>
      <w:r>
        <w:rPr>
          <w:rFonts w:hint="eastAsia" w:ascii="宋体" w:hAnsi="宋体" w:cs="宋体"/>
          <w:szCs w:val="21"/>
        </w:rPr>
        <w:t>档</w:t>
      </w:r>
      <w:r>
        <w:rPr>
          <w:rFonts w:ascii="宋体" w:hAnsi="宋体" w:cs="宋体"/>
          <w:szCs w:val="21"/>
        </w:rPr>
        <w:t>定稿后</w:t>
      </w:r>
      <w:r>
        <w:rPr>
          <w:rFonts w:hint="eastAsia" w:ascii="宋体" w:hAnsi="宋体" w:cs="宋体"/>
          <w:szCs w:val="21"/>
        </w:rPr>
        <w:t>入</w:t>
      </w:r>
      <w:r>
        <w:rPr>
          <w:rFonts w:ascii="宋体" w:hAnsi="宋体" w:cs="宋体"/>
          <w:szCs w:val="21"/>
        </w:rPr>
        <w:t>配置</w:t>
      </w:r>
      <w:r>
        <w:rPr>
          <w:rFonts w:hint="eastAsia" w:ascii="宋体" w:hAnsi="宋体" w:cs="宋体"/>
          <w:szCs w:val="21"/>
        </w:rPr>
        <w:t>受控</w:t>
      </w:r>
      <w:r>
        <w:rPr>
          <w:rFonts w:ascii="宋体" w:hAnsi="宋体" w:cs="宋体"/>
          <w:szCs w:val="21"/>
        </w:rPr>
        <w:t>库进行管理。</w:t>
      </w:r>
    </w:p>
    <w:p w14:paraId="1BBC6245">
      <w:pPr>
        <w:numPr>
          <w:ilvl w:val="0"/>
          <w:numId w:val="3"/>
        </w:numPr>
        <w:spacing w:line="288" w:lineRule="auto"/>
      </w:pPr>
      <w:r>
        <w:rPr>
          <w:rFonts w:hint="eastAsia" w:ascii="Times New Roman" w:hAnsi="Times New Roman"/>
          <w:b/>
          <w:bCs/>
          <w:szCs w:val="21"/>
        </w:rPr>
        <w:t>配置库</w:t>
      </w:r>
    </w:p>
    <w:p w14:paraId="2512A9A4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配置库名称：Sunwise</w:t>
      </w:r>
      <w:r>
        <w:rPr>
          <w:rFonts w:ascii="Times New Roman" w:hAnsi="Times New Roman"/>
          <w:szCs w:val="21"/>
        </w:rPr>
        <w:t>_</w:t>
      </w:r>
      <w:r>
        <w:t xml:space="preserve"> </w:t>
      </w:r>
      <w:r>
        <w:rPr>
          <w:rFonts w:ascii="Times New Roman" w:hAnsi="Times New Roman"/>
          <w:szCs w:val="21"/>
        </w:rPr>
        <w:t>Controlled_Library</w:t>
      </w:r>
    </w:p>
    <w:p w14:paraId="5802B15F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配置管理工具：</w:t>
      </w:r>
      <w:r>
        <w:rPr>
          <w:rFonts w:ascii="Times New Roman" w:hAnsi="Times New Roman"/>
          <w:szCs w:val="21"/>
        </w:rPr>
        <w:t>gitlab</w:t>
      </w:r>
    </w:p>
    <w:p w14:paraId="7A5B7D93">
      <w:pPr>
        <w:pStyle w:val="2"/>
        <w:spacing w:line="288" w:lineRule="auto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配置库地址：</w:t>
      </w:r>
      <w:r>
        <w:fldChar w:fldCharType="begin"/>
      </w:r>
      <w:r>
        <w:instrText xml:space="preserve"> HYPERLINK "http://10.10.10.208/sunwise/controlled_library/tree/master/HDLChecker" </w:instrText>
      </w:r>
      <w:r>
        <w:fldChar w:fldCharType="separate"/>
      </w:r>
      <w:r>
        <w:rPr>
          <w:rStyle w:val="13"/>
        </w:rPr>
        <w:t>http://10.10.10.208/sunwise/controlled_library/tree/master/HDLChecker</w:t>
      </w:r>
      <w:r>
        <w:rPr>
          <w:rStyle w:val="14"/>
        </w:rPr>
        <w:fldChar w:fldCharType="end"/>
      </w:r>
    </w:p>
    <w:p w14:paraId="22ED581B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简介：</w:t>
      </w:r>
    </w:p>
    <w:p w14:paraId="0659C646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受控</w:t>
      </w:r>
      <w:r>
        <w:rPr>
          <w:rFonts w:hint="eastAsia" w:ascii="Times New Roman" w:hAnsi="Times New Roman"/>
          <w:szCs w:val="21"/>
        </w:rPr>
        <w:t>库</w:t>
      </w:r>
      <w:r>
        <w:rPr>
          <w:rFonts w:ascii="Times New Roman" w:hAnsi="Times New Roman"/>
          <w:szCs w:val="21"/>
        </w:rPr>
        <w:t>，</w:t>
      </w:r>
      <w:r>
        <w:rPr>
          <w:rFonts w:hint="eastAsia" w:ascii="Times New Roman" w:hAnsi="Times New Roman"/>
          <w:szCs w:val="21"/>
        </w:rPr>
        <w:t>用于</w:t>
      </w:r>
      <w:r>
        <w:rPr>
          <w:rFonts w:ascii="Times New Roman" w:hAnsi="Times New Roman"/>
          <w:szCs w:val="21"/>
        </w:rPr>
        <w:t>存放版本规划报告、版本总结报告、需求设计文档</w:t>
      </w:r>
      <w:r>
        <w:rPr>
          <w:rFonts w:hint="eastAsia" w:ascii="Times New Roman" w:hAnsi="Times New Roman"/>
          <w:szCs w:val="21"/>
        </w:rPr>
        <w:t>以及</w:t>
      </w:r>
      <w:r>
        <w:rPr>
          <w:rFonts w:ascii="Times New Roman" w:hAnsi="Times New Roman"/>
          <w:szCs w:val="21"/>
        </w:rPr>
        <w:t>相应的评审记录等文档产品。</w:t>
      </w:r>
    </w:p>
    <w:p w14:paraId="3D182354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drawing>
          <wp:inline distT="0" distB="0" distL="0" distR="0">
            <wp:extent cx="5274310" cy="24104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1452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</w:p>
    <w:p w14:paraId="5020FABE">
      <w:pPr>
        <w:pStyle w:val="4"/>
        <w:rPr>
          <w:rFonts w:hint="eastAsia"/>
        </w:rPr>
      </w:pPr>
      <w:r>
        <w:rPr>
          <w:rFonts w:hint="eastAsia"/>
        </w:rPr>
        <w:t>产品库</w:t>
      </w:r>
    </w:p>
    <w:p w14:paraId="1C40392C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产品库地址：\\10.10.10.207\产品受控库</w:t>
      </w:r>
    </w:p>
    <w:p w14:paraId="66DE00E8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简介：</w:t>
      </w:r>
    </w:p>
    <w:p w14:paraId="6DD5BFC3">
      <w:pPr>
        <w:pStyle w:val="2"/>
        <w:spacing w:line="288" w:lineRule="auto"/>
        <w:ind w:firstLineChars="0"/>
        <w:rPr>
          <w:rFonts w:ascii="Times New Roman" w:hAnsi="Times New Roman"/>
          <w:szCs w:val="21"/>
        </w:rPr>
      </w:pPr>
      <w:r>
        <w:rPr>
          <w:rFonts w:hint="eastAsia" w:ascii="Times New Roman" w:hAnsi="Times New Roman"/>
          <w:szCs w:val="21"/>
        </w:rPr>
        <w:t>用于存放</w:t>
      </w:r>
      <w:r>
        <w:rPr>
          <w:rFonts w:ascii="Times New Roman" w:hAnsi="Times New Roman"/>
          <w:szCs w:val="21"/>
        </w:rPr>
        <w:t>已经批准发布的正式</w:t>
      </w:r>
      <w:r>
        <w:rPr>
          <w:rFonts w:hint="eastAsia" w:ascii="Times New Roman" w:hAnsi="Times New Roman"/>
          <w:szCs w:val="21"/>
        </w:rPr>
        <w:t>版本</w:t>
      </w:r>
      <w:r>
        <w:rPr>
          <w:rFonts w:ascii="Times New Roman" w:hAnsi="Times New Roman"/>
          <w:szCs w:val="21"/>
        </w:rPr>
        <w:t>的产品，包括产品发行说明、用户手册、安装包。</w:t>
      </w:r>
    </w:p>
    <w:p w14:paraId="3C2A82DE">
      <w:pPr>
        <w:pStyle w:val="2"/>
        <w:spacing w:line="288" w:lineRule="auto"/>
        <w:ind w:firstLine="0" w:firstLineChars="0"/>
        <w:rPr>
          <w:rFonts w:ascii="Times New Roman" w:hAnsi="Times New Roman"/>
          <w:szCs w:val="21"/>
        </w:rPr>
      </w:pPr>
      <w:bookmarkStart w:id="0" w:name="_GoBack"/>
      <w:r>
        <w:drawing>
          <wp:inline distT="0" distB="0" distL="0" distR="0">
            <wp:extent cx="5274310" cy="184404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5EB4F32">
      <w:pPr>
        <w:spacing w:line="288" w:lineRule="auto"/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szCs w:val="21"/>
        </w:rPr>
        <w:drawing>
          <wp:inline distT="0" distB="0" distL="0" distR="0">
            <wp:extent cx="5274310" cy="2845435"/>
            <wp:effectExtent l="0" t="0" r="254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4AD3">
      <w:pPr>
        <w:pStyle w:val="5"/>
        <w:spacing w:before="0" w:after="0" w:line="240" w:lineRule="auto"/>
        <w:ind w:left="0" w:firstLine="0"/>
        <w:jc w:val="left"/>
      </w:pPr>
      <w:r>
        <w:rPr>
          <w:rFonts w:hint="eastAsia"/>
        </w:rPr>
        <w:t>配置项记录</w:t>
      </w:r>
    </w:p>
    <w:p w14:paraId="284C91D9">
      <w:pPr>
        <w:pStyle w:val="5"/>
        <w:numPr>
          <w:numId w:val="0"/>
        </w:numPr>
        <w:spacing w:before="0" w:after="0" w:line="240" w:lineRule="auto"/>
        <w:ind w:leftChars="0"/>
      </w:pPr>
      <w:r>
        <w:drawing>
          <wp:inline distT="0" distB="0" distL="114300" distR="114300">
            <wp:extent cx="5264785" cy="2926080"/>
            <wp:effectExtent l="0" t="0" r="12065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56C2C">
      <w:pPr>
        <w:pStyle w:val="5"/>
        <w:spacing w:before="0" w:after="0" w:line="240" w:lineRule="auto"/>
        <w:ind w:left="0" w:firstLine="0"/>
      </w:pPr>
      <w:r>
        <w:rPr>
          <w:rFonts w:hint="eastAsia"/>
        </w:rPr>
        <w:t>配置库记录</w:t>
      </w:r>
    </w:p>
    <w:p w14:paraId="029887DB">
      <w:r>
        <w:drawing>
          <wp:inline distT="0" distB="0" distL="114300" distR="114300">
            <wp:extent cx="5271135" cy="2952115"/>
            <wp:effectExtent l="0" t="0" r="571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3C6ED">
      <w:pPr>
        <w:pStyle w:val="5"/>
        <w:spacing w:before="0" w:after="0" w:line="240" w:lineRule="auto"/>
        <w:ind w:left="0" w:firstLine="0"/>
      </w:pPr>
      <w:r>
        <w:rPr>
          <w:rFonts w:hint="eastAsia"/>
        </w:rPr>
        <w:t>产品基线记录</w:t>
      </w:r>
    </w:p>
    <w:p w14:paraId="4CBFB2D3">
      <w:pPr>
        <w:rPr>
          <w:color w:val="EE0000"/>
        </w:rPr>
      </w:pPr>
      <w:r>
        <w:rPr>
          <w:rFonts w:hint="eastAsia"/>
          <w:color w:val="EE0000"/>
        </w:rPr>
        <w:t>（注：在某个时间点 “冻结” 的产品版本，包含哪些配置项、每个配置项的版本号是什么。）（截图提供）</w:t>
      </w:r>
    </w:p>
    <w:p w14:paraId="6F4A151E">
      <w:pPr>
        <w:pStyle w:val="4"/>
        <w:rPr>
          <w:rFonts w:hint="eastAsia"/>
        </w:rPr>
      </w:pPr>
      <w:r>
        <w:t>产品配置管理过程与配置管理制度的一致性情况</w:t>
      </w:r>
    </w:p>
    <w:p w14:paraId="08190594">
      <w:pPr>
        <w:spacing w:line="360" w:lineRule="auto"/>
        <w:ind w:firstLine="420"/>
        <w:rPr>
          <w:rFonts w:ascii="Times New Roman" w:hAnsi="Times New Roman"/>
        </w:rPr>
      </w:pPr>
      <w:r>
        <w:rPr>
          <w:rFonts w:ascii="Times New Roman" w:hAnsi="Times New Roman"/>
          <w:szCs w:val="21"/>
        </w:rPr>
        <w:t>产品配置管理过程与配置管理制度是否一致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是</w:t>
      </w:r>
      <w:r>
        <w:rPr>
          <w:rFonts w:ascii="Times New Roman" w:hAnsi="Times New Roman"/>
        </w:rPr>
        <w:t xml:space="preserve"> ☑      否 □ </w:t>
      </w:r>
    </w:p>
    <w:p w14:paraId="42F7C4F9">
      <w:pPr>
        <w:spacing w:line="360" w:lineRule="auto"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制度简介：产品研发过程按照《QMS-SD-CX29 软件配置管理规程》执行配置项命名、三库管理（开发库、受控库、产品库）、基线发布与变更管理制度；代码与版本管理使用 GitLab，项目文档使用 AEM 一体化管理平台，缺陷跟踪使用 Polarion，正式发布产品存放于产品受控库。配置管理全过程与上述制度要求一致。</w:t>
      </w:r>
    </w:p>
    <w:p w14:paraId="364C65D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068BD"/>
    <w:multiLevelType w:val="singleLevel"/>
    <w:tmpl w:val="CFE068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1">
    <w:nsid w:val="348292A0"/>
    <w:multiLevelType w:val="multilevel"/>
    <w:tmpl w:val="348292A0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24B71C3"/>
    <w:multiLevelType w:val="multilevel"/>
    <w:tmpl w:val="724B71C3"/>
    <w:lvl w:ilvl="0" w:tentative="0">
      <w:start w:val="1"/>
      <w:numFmt w:val="decimal"/>
      <w:pStyle w:val="3"/>
      <w:suff w:val="nothing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suff w:val="nothing"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ind w:left="311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5AE9"/>
    <w:rsid w:val="00016A28"/>
    <w:rsid w:val="000546A0"/>
    <w:rsid w:val="00083CEA"/>
    <w:rsid w:val="000D2B97"/>
    <w:rsid w:val="000D43B5"/>
    <w:rsid w:val="00150F4A"/>
    <w:rsid w:val="001A75F2"/>
    <w:rsid w:val="001E488A"/>
    <w:rsid w:val="00211677"/>
    <w:rsid w:val="002573C2"/>
    <w:rsid w:val="0028137F"/>
    <w:rsid w:val="002A498C"/>
    <w:rsid w:val="002A6F71"/>
    <w:rsid w:val="00320845"/>
    <w:rsid w:val="00330344"/>
    <w:rsid w:val="00354B8C"/>
    <w:rsid w:val="00364AFD"/>
    <w:rsid w:val="00397397"/>
    <w:rsid w:val="003C6C2E"/>
    <w:rsid w:val="003D5AE9"/>
    <w:rsid w:val="003D664C"/>
    <w:rsid w:val="003F33C8"/>
    <w:rsid w:val="00496049"/>
    <w:rsid w:val="004A1ED5"/>
    <w:rsid w:val="004D3567"/>
    <w:rsid w:val="004D5DA4"/>
    <w:rsid w:val="0051538E"/>
    <w:rsid w:val="0053583F"/>
    <w:rsid w:val="00540363"/>
    <w:rsid w:val="00545DF4"/>
    <w:rsid w:val="00585647"/>
    <w:rsid w:val="005C003C"/>
    <w:rsid w:val="005D20E9"/>
    <w:rsid w:val="005E1960"/>
    <w:rsid w:val="00644B07"/>
    <w:rsid w:val="0067187A"/>
    <w:rsid w:val="006E3DFC"/>
    <w:rsid w:val="006F1CE9"/>
    <w:rsid w:val="007057B6"/>
    <w:rsid w:val="00710D1B"/>
    <w:rsid w:val="00712648"/>
    <w:rsid w:val="007137AB"/>
    <w:rsid w:val="00724040"/>
    <w:rsid w:val="007B27E2"/>
    <w:rsid w:val="007B7BFC"/>
    <w:rsid w:val="007D21CE"/>
    <w:rsid w:val="007E760C"/>
    <w:rsid w:val="00802784"/>
    <w:rsid w:val="00820BBA"/>
    <w:rsid w:val="00827FE9"/>
    <w:rsid w:val="00841684"/>
    <w:rsid w:val="00870BBA"/>
    <w:rsid w:val="00892A48"/>
    <w:rsid w:val="008C1A84"/>
    <w:rsid w:val="008C2915"/>
    <w:rsid w:val="00933057"/>
    <w:rsid w:val="00965254"/>
    <w:rsid w:val="00995733"/>
    <w:rsid w:val="009B2287"/>
    <w:rsid w:val="009B4EF5"/>
    <w:rsid w:val="009D6347"/>
    <w:rsid w:val="00A04C1B"/>
    <w:rsid w:val="00A35EC7"/>
    <w:rsid w:val="00A44B07"/>
    <w:rsid w:val="00AA05DF"/>
    <w:rsid w:val="00AA696A"/>
    <w:rsid w:val="00B24F09"/>
    <w:rsid w:val="00B25DE9"/>
    <w:rsid w:val="00B31CA0"/>
    <w:rsid w:val="00B608E2"/>
    <w:rsid w:val="00B61E04"/>
    <w:rsid w:val="00B854A5"/>
    <w:rsid w:val="00BB609B"/>
    <w:rsid w:val="00BC7E35"/>
    <w:rsid w:val="00C4169A"/>
    <w:rsid w:val="00C43B97"/>
    <w:rsid w:val="00CB4269"/>
    <w:rsid w:val="00CC3977"/>
    <w:rsid w:val="00CE13CB"/>
    <w:rsid w:val="00D24A90"/>
    <w:rsid w:val="00D46596"/>
    <w:rsid w:val="00D85AC1"/>
    <w:rsid w:val="00DA266A"/>
    <w:rsid w:val="00DC7D02"/>
    <w:rsid w:val="00E23974"/>
    <w:rsid w:val="00E34FCC"/>
    <w:rsid w:val="00E431B9"/>
    <w:rsid w:val="00E66C0C"/>
    <w:rsid w:val="00E85C07"/>
    <w:rsid w:val="00E8637B"/>
    <w:rsid w:val="00EE3BF7"/>
    <w:rsid w:val="00F25D1D"/>
    <w:rsid w:val="00FA7FDF"/>
    <w:rsid w:val="00FB3AF8"/>
    <w:rsid w:val="00FE284F"/>
    <w:rsid w:val="455F6ABA"/>
    <w:rsid w:val="49234508"/>
    <w:rsid w:val="5B90055D"/>
    <w:rsid w:val="73F9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20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15"/>
    <w:qFormat/>
    <w:uiPriority w:val="0"/>
    <w:pPr>
      <w:keepNext/>
      <w:keepLines/>
      <w:numPr>
        <w:ilvl w:val="3"/>
        <w:numId w:val="2"/>
      </w:numPr>
      <w:spacing w:before="200" w:after="200" w:line="360" w:lineRule="auto"/>
      <w:outlineLvl w:val="3"/>
    </w:pPr>
    <w:rPr>
      <w:rFonts w:ascii="Arial" w:hAnsi="Arial"/>
      <w:b/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99"/>
    <w:pPr>
      <w:ind w:firstLine="420" w:firstLineChars="200"/>
    </w:pPr>
  </w:style>
  <w:style w:type="paragraph" w:styleId="7">
    <w:name w:val="Balloon Text"/>
    <w:basedOn w:val="1"/>
    <w:link w:val="21"/>
    <w:semiHidden/>
    <w:unhideWhenUsed/>
    <w:uiPriority w:val="99"/>
    <w:rPr>
      <w:sz w:val="18"/>
      <w:szCs w:val="18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FollowedHyperlink"/>
    <w:basedOn w:val="12"/>
    <w:semiHidden/>
    <w:unhideWhenUsed/>
    <w:uiPriority w:val="99"/>
    <w:rPr>
      <w:color w:val="800080"/>
      <w:u w:val="single"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customStyle="1" w:styleId="15">
    <w:name w:val="标题 4 字符"/>
    <w:basedOn w:val="12"/>
    <w:link w:val="6"/>
    <w:qFormat/>
    <w:uiPriority w:val="0"/>
    <w:rPr>
      <w:rFonts w:ascii="Arial" w:hAnsi="Arial" w:eastAsia="宋体" w:cs="Times New Roman"/>
      <w:b/>
      <w:sz w:val="24"/>
      <w:szCs w:val="22"/>
    </w:rPr>
  </w:style>
  <w:style w:type="character" w:customStyle="1" w:styleId="16">
    <w:name w:val="页眉 字符"/>
    <w:basedOn w:val="12"/>
    <w:link w:val="9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7">
    <w:name w:val="页脚 字符"/>
    <w:basedOn w:val="12"/>
    <w:link w:val="8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8">
    <w:name w:val="标题 1 字符"/>
    <w:basedOn w:val="12"/>
    <w:link w:val="3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9">
    <w:name w:val="标题 2 字符"/>
    <w:basedOn w:val="12"/>
    <w:link w:val="4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字符"/>
    <w:basedOn w:val="12"/>
    <w:link w:val="5"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21">
    <w:name w:val="批注框文本 字符"/>
    <w:basedOn w:val="12"/>
    <w:link w:val="7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GIF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1140</Words>
  <Characters>1456</Characters>
  <Lines>9</Lines>
  <Paragraphs>2</Paragraphs>
  <TotalTime>1072</TotalTime>
  <ScaleCrop>false</ScaleCrop>
  <LinksUpToDate>false</LinksUpToDate>
  <CharactersWithSpaces>1507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2022-10-28T03:26:00Z</dcterms:created>
  <dc:creator>赵 婷</dc:creator>
  <cp:lastModifiedBy>赵顺康</cp:lastModifiedBy>
  <dcterms:modified xsi:type="dcterms:W3CDTF">2026-09-24T03:14:00Z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eyJoZGlkIjoiMGRlOTg3ZmJhZGY0NTYwMjA3ZmU0ZWM0ZDRhMGVkNjAiLCJ1c2VySWQiOiIxODE5MjE5NDAzIn0=</vt:lpwstr>
  </property>
  <property fmtid="{D5CDD505-2E9C-101B-9397-08002B2CF9AE}" pid="3" name="KSOProductBuildVer">
    <vt:lpwstr>2052-12.1.0.28505</vt:lpwstr>
  </property>
  <property fmtid="{D5CDD505-2E9C-101B-9397-08002B2CF9AE}" pid="4" name="ICV">
    <vt:lpwstr>3CB8C321ADEE4F87AC5E9FAD37656D4E_12</vt:lpwstr>
  </property>
</Properties>
</file>