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A988" w14:textId="77777777" w:rsidR="0060669C" w:rsidRDefault="00000000">
      <w:r>
        <w:rPr>
          <w:noProof/>
        </w:rPr>
        <w:drawing>
          <wp:anchor distT="0" distB="0" distL="114300" distR="114300" simplePos="0" relativeHeight="251661312" behindDoc="1" locked="0" layoutInCell="1" allowOverlap="1" wp14:anchorId="5D224D77" wp14:editId="0802AB5F">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14:paraId="1DCA7C82" w14:textId="77777777" w:rsidR="0060669C" w:rsidRDefault="0060669C"/>
    <w:p w14:paraId="7C17403E" w14:textId="77777777" w:rsidR="0060669C" w:rsidRDefault="0060669C"/>
    <w:p w14:paraId="2308937F" w14:textId="77777777" w:rsidR="0060669C" w:rsidRDefault="0060669C"/>
    <w:p w14:paraId="1B0F241D" w14:textId="77777777" w:rsidR="0060669C" w:rsidRDefault="0060669C"/>
    <w:p w14:paraId="2EE9301F" w14:textId="77777777" w:rsidR="0060669C" w:rsidRDefault="0060669C"/>
    <w:p w14:paraId="42E7E8F5" w14:textId="77777777" w:rsidR="0060669C" w:rsidRDefault="0060669C"/>
    <w:p w14:paraId="55E0D4B9" w14:textId="77777777" w:rsidR="0060669C" w:rsidRDefault="00000000">
      <w:pPr>
        <w:spacing w:line="276" w:lineRule="auto"/>
        <w:rPr>
          <w:rFonts w:ascii="Arial Black" w:hAnsi="Arial Black"/>
          <w:sz w:val="44"/>
          <w:szCs w:val="44"/>
        </w:rPr>
      </w:pPr>
      <w:r>
        <w:rPr>
          <w:rFonts w:ascii="Arial Black" w:hAnsi="Arial Black"/>
          <w:sz w:val="44"/>
          <w:szCs w:val="44"/>
        </w:rPr>
        <w:t>M10 Introducción al Derecho FLN F</w:t>
      </w:r>
    </w:p>
    <w:p w14:paraId="2D4D8F41" w14:textId="054A31A0" w:rsidR="0060669C" w:rsidRDefault="00000000">
      <w:pPr>
        <w:spacing w:line="276" w:lineRule="auto"/>
      </w:pPr>
      <w:r>
        <w:rPr>
          <w:rFonts w:ascii="Arial Black" w:hAnsi="Arial Black"/>
          <w:sz w:val="44"/>
          <w:szCs w:val="44"/>
        </w:rPr>
        <w:t>A</w:t>
      </w:r>
      <w:r w:rsidR="007801A8">
        <w:rPr>
          <w:rFonts w:ascii="Arial Black" w:hAnsi="Arial Black"/>
          <w:sz w:val="44"/>
          <w:szCs w:val="44"/>
        </w:rPr>
        <w:t>ctividad</w:t>
      </w:r>
      <w:r>
        <w:rPr>
          <w:rFonts w:ascii="Arial Black" w:hAnsi="Arial Black"/>
          <w:sz w:val="44"/>
          <w:szCs w:val="44"/>
        </w:rPr>
        <w:t xml:space="preserve"> </w:t>
      </w:r>
      <w:r w:rsidR="000970D0">
        <w:rPr>
          <w:rFonts w:ascii="Arial Black" w:hAnsi="Arial Black"/>
          <w:sz w:val="44"/>
          <w:szCs w:val="44"/>
        </w:rPr>
        <w:t>2</w:t>
      </w:r>
    </w:p>
    <w:tbl>
      <w:tblPr>
        <w:tblStyle w:val="Tablaconcuadrcula"/>
        <w:tblpPr w:leftFromText="141" w:rightFromText="141" w:vertAnchor="page" w:horzAnchor="page" w:tblpX="1814" w:tblpY="9168"/>
        <w:tblW w:w="48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069"/>
      </w:tblGrid>
      <w:tr w:rsidR="0060669C" w14:paraId="0E95F9C0" w14:textId="77777777">
        <w:trPr>
          <w:trHeight w:val="659"/>
        </w:trPr>
        <w:tc>
          <w:tcPr>
            <w:tcW w:w="745" w:type="pct"/>
          </w:tcPr>
          <w:p w14:paraId="137D867C" w14:textId="77777777" w:rsidR="0060669C" w:rsidRDefault="00000000">
            <w:pPr>
              <w:spacing w:after="0"/>
              <w:jc w:val="left"/>
              <w:rPr>
                <w:b/>
                <w:bCs/>
                <w:sz w:val="24"/>
                <w:szCs w:val="24"/>
              </w:rPr>
            </w:pPr>
            <w:r>
              <w:rPr>
                <w:b/>
                <w:bCs/>
                <w:sz w:val="24"/>
                <w:szCs w:val="24"/>
              </w:rPr>
              <w:t>Tutor:</w:t>
            </w:r>
          </w:p>
        </w:tc>
        <w:tc>
          <w:tcPr>
            <w:tcW w:w="4254" w:type="pct"/>
          </w:tcPr>
          <w:p w14:paraId="519CFCAA" w14:textId="77777777" w:rsidR="0060669C" w:rsidRDefault="00000000">
            <w:pPr>
              <w:tabs>
                <w:tab w:val="left" w:pos="2532"/>
              </w:tabs>
              <w:spacing w:after="0"/>
              <w:jc w:val="left"/>
              <w:rPr>
                <w:b/>
                <w:bCs/>
                <w:color w:val="auto"/>
                <w:sz w:val="24"/>
                <w:szCs w:val="24"/>
              </w:rPr>
            </w:pPr>
            <w:r>
              <w:rPr>
                <w:b/>
                <w:bCs/>
                <w:color w:val="auto"/>
                <w:sz w:val="24"/>
                <w:szCs w:val="24"/>
              </w:rPr>
              <w:t xml:space="preserve"> José Pérez Silva</w:t>
            </w:r>
          </w:p>
        </w:tc>
      </w:tr>
      <w:tr w:rsidR="0060669C" w14:paraId="2BEE785B" w14:textId="77777777">
        <w:trPr>
          <w:trHeight w:val="659"/>
        </w:trPr>
        <w:tc>
          <w:tcPr>
            <w:tcW w:w="745" w:type="pct"/>
          </w:tcPr>
          <w:p w14:paraId="2A9AF51F" w14:textId="77777777" w:rsidR="0060669C" w:rsidRDefault="00000000">
            <w:pPr>
              <w:spacing w:after="0"/>
              <w:jc w:val="left"/>
              <w:rPr>
                <w:b/>
                <w:bCs/>
                <w:sz w:val="24"/>
                <w:szCs w:val="24"/>
              </w:rPr>
            </w:pPr>
            <w:r>
              <w:rPr>
                <w:b/>
                <w:bCs/>
                <w:sz w:val="24"/>
                <w:szCs w:val="24"/>
              </w:rPr>
              <w:t xml:space="preserve">Estudiante: </w:t>
            </w:r>
          </w:p>
        </w:tc>
        <w:tc>
          <w:tcPr>
            <w:tcW w:w="4254" w:type="pct"/>
          </w:tcPr>
          <w:p w14:paraId="15BA6CD9" w14:textId="77777777" w:rsidR="0060669C" w:rsidRDefault="00000000">
            <w:pPr>
              <w:spacing w:after="0"/>
              <w:jc w:val="left"/>
              <w:rPr>
                <w:b/>
                <w:bCs/>
                <w:color w:val="auto"/>
                <w:sz w:val="24"/>
                <w:szCs w:val="24"/>
              </w:rPr>
            </w:pPr>
            <w:r>
              <w:rPr>
                <w:rStyle w:val="Textodelmarcadordeposicin"/>
                <w:b/>
                <w:bCs/>
                <w:color w:val="auto"/>
                <w:sz w:val="24"/>
                <w:szCs w:val="24"/>
              </w:rPr>
              <w:t>José Ramón Ibáñez Posadas</w:t>
            </w:r>
          </w:p>
        </w:tc>
      </w:tr>
      <w:tr w:rsidR="0060669C" w14:paraId="3FE9242B" w14:textId="77777777">
        <w:trPr>
          <w:trHeight w:val="659"/>
        </w:trPr>
        <w:tc>
          <w:tcPr>
            <w:tcW w:w="745" w:type="pct"/>
          </w:tcPr>
          <w:p w14:paraId="768C0562" w14:textId="77777777" w:rsidR="0060669C" w:rsidRDefault="00000000">
            <w:pPr>
              <w:spacing w:after="0"/>
              <w:jc w:val="left"/>
              <w:rPr>
                <w:b/>
                <w:bCs/>
                <w:sz w:val="24"/>
                <w:szCs w:val="24"/>
              </w:rPr>
            </w:pPr>
            <w:r>
              <w:rPr>
                <w:b/>
                <w:bCs/>
                <w:sz w:val="24"/>
                <w:szCs w:val="24"/>
              </w:rPr>
              <w:t>Matricula:</w:t>
            </w:r>
          </w:p>
        </w:tc>
        <w:tc>
          <w:tcPr>
            <w:tcW w:w="4254" w:type="pct"/>
          </w:tcPr>
          <w:p w14:paraId="74B787FE" w14:textId="77777777" w:rsidR="0060669C" w:rsidRDefault="00000000">
            <w:pPr>
              <w:spacing w:after="0"/>
              <w:jc w:val="left"/>
              <w:rPr>
                <w:color w:val="auto"/>
                <w:sz w:val="24"/>
                <w:szCs w:val="24"/>
              </w:rPr>
            </w:pPr>
            <w:r>
              <w:rPr>
                <w:b/>
                <w:bCs/>
                <w:color w:val="auto"/>
                <w:sz w:val="24"/>
                <w:szCs w:val="24"/>
              </w:rPr>
              <w:t>BNL098377</w:t>
            </w:r>
          </w:p>
        </w:tc>
      </w:tr>
    </w:tbl>
    <w:p w14:paraId="6E1D5A10" w14:textId="77777777" w:rsidR="0060669C" w:rsidRDefault="0060669C">
      <w:pPr>
        <w:rPr>
          <w:rFonts w:ascii="Arial Black" w:hAnsi="Arial Black"/>
          <w:sz w:val="48"/>
          <w:szCs w:val="48"/>
        </w:rPr>
      </w:pPr>
    </w:p>
    <w:p w14:paraId="77150CD9" w14:textId="77777777" w:rsidR="0060669C" w:rsidRDefault="0060669C"/>
    <w:p w14:paraId="7D9AD68A" w14:textId="77777777" w:rsidR="0060669C" w:rsidRDefault="0060669C"/>
    <w:p w14:paraId="38257A1F" w14:textId="77777777" w:rsidR="0060669C" w:rsidRDefault="0060669C"/>
    <w:p w14:paraId="10CAD932" w14:textId="77777777" w:rsidR="0060669C" w:rsidRDefault="0060669C"/>
    <w:p w14:paraId="50FB1626" w14:textId="77777777" w:rsidR="0060669C" w:rsidRDefault="0060669C"/>
    <w:tbl>
      <w:tblPr>
        <w:tblStyle w:val="Tablaconcuadrcula"/>
        <w:tblpPr w:leftFromText="141" w:rightFromText="141" w:vertAnchor="text" w:horzAnchor="margin" w:tblpY="131"/>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630"/>
      </w:tblGrid>
      <w:tr w:rsidR="0060669C" w14:paraId="1F7EDBF9" w14:textId="77777777">
        <w:trPr>
          <w:trHeight w:val="1320"/>
        </w:trPr>
        <w:tc>
          <w:tcPr>
            <w:tcW w:w="4630" w:type="dxa"/>
          </w:tcPr>
          <w:sdt>
            <w:sdtPr>
              <w:rPr>
                <w:sz w:val="24"/>
                <w:szCs w:val="24"/>
              </w:rPr>
              <w:id w:val="132609563"/>
              <w:placeholder>
                <w:docPart w:val="F13AAD00402E4C64A95DFAF22128490A"/>
              </w:placeholder>
            </w:sdtPr>
            <w:sdtContent>
              <w:p w14:paraId="4B8D987B" w14:textId="77777777" w:rsidR="0060669C" w:rsidRDefault="00000000">
                <w:pPr>
                  <w:spacing w:after="0"/>
                  <w:rPr>
                    <w:sz w:val="24"/>
                    <w:szCs w:val="24"/>
                  </w:rPr>
                </w:pPr>
                <w:r>
                  <w:rPr>
                    <w:sz w:val="24"/>
                    <w:szCs w:val="24"/>
                  </w:rPr>
                  <w:t>Monterrey, Nuevo León</w:t>
                </w:r>
              </w:p>
            </w:sdtContent>
          </w:sdt>
        </w:tc>
        <w:tc>
          <w:tcPr>
            <w:tcW w:w="4630" w:type="dxa"/>
          </w:tcPr>
          <w:sdt>
            <w:sdtPr>
              <w:rPr>
                <w:sz w:val="24"/>
                <w:szCs w:val="24"/>
              </w:rPr>
              <w:alias w:val="Fecha"/>
              <w:tag w:val="Fecha"/>
              <w:id w:val="337964472"/>
              <w:placeholder>
                <w:docPart w:val="4DFEE5C89BF74F6B8AFEEAC2D58CCA44"/>
              </w:placeholder>
              <w:date>
                <w:dateFormat w:val="dddd, d' de 'MMMM' de 'yyyy"/>
                <w:lid w:val="es-MX"/>
                <w:storeMappedDataAs w:val="text"/>
                <w:calendar w:val="gregorian"/>
              </w:date>
            </w:sdtPr>
            <w:sdtContent>
              <w:p w14:paraId="121F7703" w14:textId="20C4E756" w:rsidR="0060669C" w:rsidRDefault="00B51785">
                <w:pPr>
                  <w:spacing w:after="0"/>
                  <w:rPr>
                    <w:sz w:val="24"/>
                    <w:szCs w:val="24"/>
                  </w:rPr>
                </w:pPr>
                <w:r>
                  <w:rPr>
                    <w:sz w:val="24"/>
                    <w:szCs w:val="24"/>
                  </w:rPr>
                  <w:t>sábado</w:t>
                </w:r>
                <w:r w:rsidR="00000000">
                  <w:t xml:space="preserve">, </w:t>
                </w:r>
                <w:r>
                  <w:t>14</w:t>
                </w:r>
                <w:r w:rsidR="00000000">
                  <w:t xml:space="preserve"> de Octubre de 2023</w:t>
                </w:r>
              </w:p>
            </w:sdtContent>
          </w:sdt>
          <w:p w14:paraId="5C2556C6" w14:textId="77777777" w:rsidR="0060669C" w:rsidRDefault="0060669C">
            <w:pPr>
              <w:spacing w:after="0"/>
            </w:pPr>
          </w:p>
        </w:tc>
      </w:tr>
    </w:tbl>
    <w:p w14:paraId="60C9A477" w14:textId="77777777" w:rsidR="0060669C" w:rsidRDefault="00000000">
      <w:pPr>
        <w:rPr>
          <w:rFonts w:ascii="Arial Black" w:hAnsi="Arial Black"/>
          <w:sz w:val="48"/>
          <w:szCs w:val="48"/>
        </w:rPr>
      </w:pPr>
      <w:r>
        <w:rPr>
          <w:rFonts w:ascii="Arial Black" w:hAnsi="Arial Black"/>
          <w:sz w:val="48"/>
          <w:szCs w:val="48"/>
        </w:rPr>
        <w:br w:type="page"/>
      </w:r>
    </w:p>
    <w:p w14:paraId="32B74E3C" w14:textId="5B704D08" w:rsidR="0060669C" w:rsidRDefault="00000000">
      <w:pPr>
        <w:rPr>
          <w:rFonts w:ascii="Arial Black" w:hAnsi="Arial Black"/>
          <w:sz w:val="48"/>
          <w:szCs w:val="48"/>
        </w:rPr>
      </w:pPr>
      <w:r>
        <w:rPr>
          <w:rFonts w:ascii="Arial Black" w:hAnsi="Arial Black"/>
          <w:sz w:val="48"/>
          <w:szCs w:val="48"/>
        </w:rPr>
        <w:lastRenderedPageBreak/>
        <w:t>I</w:t>
      </w:r>
      <w:r w:rsidR="006071DA">
        <w:rPr>
          <w:rFonts w:ascii="Arial Black" w:hAnsi="Arial Black"/>
          <w:sz w:val="48"/>
          <w:szCs w:val="48"/>
        </w:rPr>
        <w:t>ntroducción</w:t>
      </w:r>
    </w:p>
    <w:p w14:paraId="5186E42E" w14:textId="77777777" w:rsidR="00CC3302" w:rsidRPr="008C1BF3" w:rsidRDefault="00CC3302" w:rsidP="00CC3302">
      <w:pPr>
        <w:pStyle w:val="Sinespaciado"/>
        <w:jc w:val="both"/>
        <w:rPr>
          <w:rFonts w:ascii="Arial" w:hAnsi="Arial" w:cs="Arial"/>
          <w:sz w:val="20"/>
          <w:szCs w:val="20"/>
        </w:rPr>
      </w:pPr>
      <w:r w:rsidRPr="008C1BF3">
        <w:rPr>
          <w:rFonts w:ascii="Arial" w:hAnsi="Arial" w:cs="Arial"/>
          <w:sz w:val="20"/>
          <w:szCs w:val="20"/>
        </w:rPr>
        <w:t>En esta actividad, abordaremos el tema del Estado y sus elementos fundamentales, los cuales comprenden una organización política dividida en tres componentes principales: la Población, el Territorio y el Gobierno. Además, examinaremos la importancia de la Constitución y sus diferentes partes.</w:t>
      </w:r>
    </w:p>
    <w:p w14:paraId="1703AE3D" w14:textId="77777777" w:rsidR="00CC3302" w:rsidRPr="008C1BF3" w:rsidRDefault="00CC3302" w:rsidP="00CC3302">
      <w:pPr>
        <w:pStyle w:val="Sinespaciado"/>
        <w:jc w:val="both"/>
        <w:rPr>
          <w:rFonts w:ascii="Arial" w:hAnsi="Arial" w:cs="Arial"/>
          <w:sz w:val="20"/>
          <w:szCs w:val="20"/>
        </w:rPr>
      </w:pPr>
    </w:p>
    <w:p w14:paraId="01BFE8C8" w14:textId="3EECA1B0" w:rsidR="00CC3302" w:rsidRPr="008C1BF3" w:rsidRDefault="00CC3302" w:rsidP="00CC3302">
      <w:pPr>
        <w:pStyle w:val="Sinespaciado"/>
        <w:jc w:val="both"/>
        <w:rPr>
          <w:rFonts w:ascii="Arial" w:hAnsi="Arial" w:cs="Arial"/>
          <w:sz w:val="20"/>
          <w:szCs w:val="20"/>
        </w:rPr>
      </w:pPr>
      <w:r w:rsidRPr="008C1BF3">
        <w:rPr>
          <w:rFonts w:ascii="Arial" w:hAnsi="Arial" w:cs="Arial"/>
          <w:sz w:val="20"/>
          <w:szCs w:val="20"/>
        </w:rPr>
        <w:t>Tendremos la oportunidad de conocer las garantías individuales que se establecen en el artículo 4°, el cual asegura la igualdad entre hombres y mujeres ante la ley. Esto implica que el Estado mexicano otorga seguridad y respaldo a los derechos humanos.</w:t>
      </w:r>
    </w:p>
    <w:p w14:paraId="3A51F5EE" w14:textId="77777777" w:rsidR="00CC3302" w:rsidRPr="008C1BF3" w:rsidRDefault="00CC3302" w:rsidP="00CC3302">
      <w:pPr>
        <w:pStyle w:val="Sinespaciado"/>
        <w:jc w:val="both"/>
        <w:rPr>
          <w:rFonts w:ascii="Arial" w:hAnsi="Arial" w:cs="Arial"/>
          <w:sz w:val="20"/>
          <w:szCs w:val="20"/>
        </w:rPr>
      </w:pPr>
    </w:p>
    <w:p w14:paraId="75548AEB" w14:textId="77777777" w:rsidR="00CC3302" w:rsidRPr="008C1BF3" w:rsidRDefault="00CC3302" w:rsidP="00CC3302">
      <w:pPr>
        <w:pStyle w:val="Sinespaciado"/>
        <w:jc w:val="both"/>
        <w:rPr>
          <w:rFonts w:ascii="Arial" w:hAnsi="Arial" w:cs="Arial"/>
          <w:sz w:val="20"/>
          <w:szCs w:val="20"/>
        </w:rPr>
      </w:pPr>
      <w:r w:rsidRPr="008C1BF3">
        <w:rPr>
          <w:rFonts w:ascii="Arial" w:hAnsi="Arial" w:cs="Arial"/>
          <w:sz w:val="20"/>
          <w:szCs w:val="20"/>
        </w:rPr>
        <w:t>Exploraremos también las diferentes formas de gobierno, su clasificación y quién los representa. La soberanía, por otro lado, se refiere al poder supremo de un país depositado en sus ciudadanos, el cual se ejerce a través del voto. Además, analizaremos cómo los poderes de la unión influyen en nuestra sociedad.</w:t>
      </w:r>
    </w:p>
    <w:p w14:paraId="476259F3" w14:textId="77777777" w:rsidR="00CC3302" w:rsidRPr="008C1BF3" w:rsidRDefault="00CC3302" w:rsidP="00CC3302">
      <w:pPr>
        <w:pStyle w:val="Sinespaciado"/>
        <w:jc w:val="both"/>
        <w:rPr>
          <w:rFonts w:ascii="Arial" w:hAnsi="Arial" w:cs="Arial"/>
          <w:sz w:val="20"/>
          <w:szCs w:val="20"/>
        </w:rPr>
      </w:pPr>
    </w:p>
    <w:p w14:paraId="51A0C74D" w14:textId="03C2CC8E" w:rsidR="0060669C" w:rsidRPr="008C1BF3" w:rsidRDefault="00CC3302" w:rsidP="008C1BF3">
      <w:pPr>
        <w:pStyle w:val="Sinespaciado"/>
        <w:jc w:val="both"/>
        <w:rPr>
          <w:rFonts w:ascii="Arial" w:hAnsi="Arial" w:cs="Arial"/>
          <w:sz w:val="20"/>
          <w:szCs w:val="20"/>
        </w:rPr>
      </w:pPr>
      <w:r w:rsidRPr="008C1BF3">
        <w:rPr>
          <w:rFonts w:ascii="Arial" w:hAnsi="Arial" w:cs="Arial"/>
          <w:sz w:val="20"/>
          <w:szCs w:val="20"/>
        </w:rPr>
        <w:t>Finalmente, examinaremos las acciones tomadas por el poder ejecutivo durante el año 2020. Para facilitar la comprensión, utilizaremos una infografía para explicar los conceptos y proporcionaremos un párrafo ejemplificativo sobre el poder ejecutivo en nuestro país. Con esto, daremos inicio a nuestra exploración sobre el Estado y sus elementos en esta actividad.</w:t>
      </w:r>
    </w:p>
    <w:p w14:paraId="200AB123" w14:textId="77777777" w:rsidR="0060669C" w:rsidRDefault="00000000">
      <w:pPr>
        <w:rPr>
          <w:b/>
          <w:bCs/>
          <w:sz w:val="24"/>
          <w:szCs w:val="24"/>
        </w:rPr>
      </w:pPr>
      <w:r>
        <w:rPr>
          <w:b/>
          <w:bCs/>
          <w:sz w:val="24"/>
          <w:szCs w:val="24"/>
        </w:rPr>
        <w:br w:type="page" w:clear="all"/>
      </w:r>
    </w:p>
    <w:p w14:paraId="553A4F39" w14:textId="78D32D8B" w:rsidR="0060669C" w:rsidRDefault="00000000">
      <w:pPr>
        <w:rPr>
          <w:rFonts w:ascii="Arial Black" w:hAnsi="Arial Black"/>
          <w:sz w:val="48"/>
          <w:szCs w:val="48"/>
        </w:rPr>
      </w:pPr>
      <w:r>
        <w:rPr>
          <w:rFonts w:ascii="Arial Black" w:hAnsi="Arial Black"/>
          <w:sz w:val="48"/>
          <w:szCs w:val="48"/>
        </w:rPr>
        <w:lastRenderedPageBreak/>
        <w:t>D</w:t>
      </w:r>
      <w:r w:rsidR="006071DA">
        <w:rPr>
          <w:rFonts w:ascii="Arial Black" w:hAnsi="Arial Black"/>
          <w:sz w:val="48"/>
          <w:szCs w:val="48"/>
        </w:rPr>
        <w:t>esarollo</w:t>
      </w:r>
    </w:p>
    <w:p w14:paraId="38FE30CC" w14:textId="58871A11" w:rsidR="0060669C" w:rsidRDefault="007801A8">
      <w:pPr>
        <w:rPr>
          <w:rFonts w:ascii="Arial Black" w:hAnsi="Arial Black"/>
          <w:sz w:val="48"/>
          <w:szCs w:val="48"/>
        </w:rPr>
      </w:pPr>
      <w:r>
        <w:rPr>
          <w:noProof/>
        </w:rPr>
        <w:drawing>
          <wp:anchor distT="0" distB="0" distL="114300" distR="114300" simplePos="0" relativeHeight="251663360" behindDoc="1" locked="0" layoutInCell="1" allowOverlap="1" wp14:anchorId="47E9FFF5" wp14:editId="08E465D4">
            <wp:simplePos x="0" y="0"/>
            <wp:positionH relativeFrom="margin">
              <wp:posOffset>-902335</wp:posOffset>
            </wp:positionH>
            <wp:positionV relativeFrom="page">
              <wp:posOffset>2197100</wp:posOffset>
            </wp:positionV>
            <wp:extent cx="7378700" cy="6832600"/>
            <wp:effectExtent l="0" t="0" r="0" b="0"/>
            <wp:wrapTight wrapText="bothSides">
              <wp:wrapPolygon edited="0">
                <wp:start x="0" y="0"/>
                <wp:lineTo x="0" y="21560"/>
                <wp:lineTo x="21563" y="21560"/>
                <wp:lineTo x="21563" y="0"/>
                <wp:lineTo x="0" y="0"/>
              </wp:wrapPolygon>
            </wp:wrapTight>
            <wp:docPr id="1146890462" name="Imagen 114689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8700" cy="683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sz w:val="48"/>
          <w:szCs w:val="48"/>
        </w:rPr>
        <w:t>Infografía</w:t>
      </w:r>
    </w:p>
    <w:p w14:paraId="3E5B479F" w14:textId="77777777" w:rsidR="00092764" w:rsidRPr="00092764" w:rsidRDefault="00092764" w:rsidP="00092764">
      <w:pPr>
        <w:spacing w:after="0" w:line="240" w:lineRule="auto"/>
        <w:jc w:val="both"/>
        <w:rPr>
          <w:rFonts w:ascii="Arial Black" w:hAnsi="Arial Black"/>
          <w:b/>
          <w:bCs/>
          <w:sz w:val="44"/>
          <w:szCs w:val="44"/>
        </w:rPr>
      </w:pPr>
      <w:r>
        <w:rPr>
          <w:rFonts w:ascii="Arial Black" w:hAnsi="Arial Black"/>
          <w:sz w:val="44"/>
          <w:szCs w:val="44"/>
        </w:rPr>
        <w:br w:type="page"/>
      </w:r>
      <w:r w:rsidRPr="00092764">
        <w:rPr>
          <w:rFonts w:ascii="Arial Black" w:hAnsi="Arial Black"/>
          <w:b/>
          <w:bCs/>
          <w:sz w:val="32"/>
          <w:szCs w:val="32"/>
        </w:rPr>
        <w:lastRenderedPageBreak/>
        <w:t>El trabajo que ha realizado el Poder Ejecutivo durante el 2020 en cuanto a materia penal</w:t>
      </w:r>
    </w:p>
    <w:p w14:paraId="5EEF2EE6" w14:textId="77777777" w:rsidR="00092764" w:rsidRPr="00092764" w:rsidRDefault="00092764" w:rsidP="00092764">
      <w:pPr>
        <w:spacing w:after="0" w:line="240" w:lineRule="auto"/>
        <w:jc w:val="left"/>
        <w:rPr>
          <w:rFonts w:ascii="Arial Black" w:hAnsi="Arial Black"/>
          <w:sz w:val="44"/>
          <w:szCs w:val="44"/>
        </w:rPr>
      </w:pPr>
    </w:p>
    <w:p w14:paraId="4ED769FD" w14:textId="77777777" w:rsidR="00092764" w:rsidRPr="00092764" w:rsidRDefault="00092764" w:rsidP="00092764">
      <w:pPr>
        <w:jc w:val="both"/>
        <w:rPr>
          <w:color w:val="auto"/>
        </w:rPr>
      </w:pPr>
      <w:r w:rsidRPr="00092764">
        <w:rPr>
          <w:color w:val="auto"/>
        </w:rPr>
        <w:t>Según el artículo 4°, deberán considerarse como urgentes, de forma enunciativa y no limitativa los siguientes asuntos en materia penal:</w:t>
      </w:r>
    </w:p>
    <w:p w14:paraId="3909F6D6" w14:textId="078217B5" w:rsidR="00092764" w:rsidRPr="00092764" w:rsidRDefault="00092764" w:rsidP="00092764">
      <w:pPr>
        <w:pStyle w:val="Prrafodelista"/>
        <w:numPr>
          <w:ilvl w:val="0"/>
          <w:numId w:val="2"/>
        </w:numPr>
        <w:jc w:val="both"/>
        <w:rPr>
          <w:color w:val="auto"/>
        </w:rPr>
      </w:pPr>
      <w:r w:rsidRPr="00092764">
        <w:rPr>
          <w:color w:val="auto"/>
        </w:rPr>
        <w:t>Ejercicio de la acción penal con detenido.</w:t>
      </w:r>
    </w:p>
    <w:p w14:paraId="4E4F471C" w14:textId="26221828" w:rsidR="00092764" w:rsidRPr="00092764" w:rsidRDefault="00092764" w:rsidP="00092764">
      <w:pPr>
        <w:pStyle w:val="Prrafodelista"/>
        <w:numPr>
          <w:ilvl w:val="0"/>
          <w:numId w:val="2"/>
        </w:numPr>
        <w:jc w:val="both"/>
        <w:rPr>
          <w:color w:val="auto"/>
        </w:rPr>
      </w:pPr>
      <w:r w:rsidRPr="00092764">
        <w:rPr>
          <w:color w:val="auto"/>
        </w:rPr>
        <w:t>Ejercicio de la acción penal sin detenido por delitos que ameriten prisión preventiva oficiosa.</w:t>
      </w:r>
    </w:p>
    <w:p w14:paraId="5267CF11" w14:textId="40A5FF04" w:rsidR="00092764" w:rsidRPr="00092764" w:rsidRDefault="00092764" w:rsidP="00092764">
      <w:pPr>
        <w:pStyle w:val="Prrafodelista"/>
        <w:numPr>
          <w:ilvl w:val="0"/>
          <w:numId w:val="2"/>
        </w:numPr>
        <w:jc w:val="both"/>
        <w:rPr>
          <w:color w:val="auto"/>
        </w:rPr>
      </w:pPr>
      <w:r w:rsidRPr="00092764">
        <w:rPr>
          <w:color w:val="auto"/>
        </w:rPr>
        <w:t>La calificación de detenciones.</w:t>
      </w:r>
    </w:p>
    <w:p w14:paraId="737FAD78" w14:textId="7E29727A" w:rsidR="00092764" w:rsidRPr="00092764" w:rsidRDefault="00092764" w:rsidP="00092764">
      <w:pPr>
        <w:pStyle w:val="Prrafodelista"/>
        <w:numPr>
          <w:ilvl w:val="0"/>
          <w:numId w:val="2"/>
        </w:numPr>
        <w:jc w:val="both"/>
        <w:rPr>
          <w:color w:val="auto"/>
        </w:rPr>
      </w:pPr>
      <w:r w:rsidRPr="00092764">
        <w:rPr>
          <w:color w:val="auto"/>
        </w:rPr>
        <w:t>Implementación y modificación de medidas cautelares relacionadas con prisión preventiva.</w:t>
      </w:r>
    </w:p>
    <w:p w14:paraId="042EBCD3" w14:textId="4DA0CA7F" w:rsidR="00092764" w:rsidRPr="00092764" w:rsidRDefault="00092764" w:rsidP="00092764">
      <w:pPr>
        <w:pStyle w:val="Prrafodelista"/>
        <w:numPr>
          <w:ilvl w:val="0"/>
          <w:numId w:val="2"/>
        </w:numPr>
        <w:jc w:val="both"/>
        <w:rPr>
          <w:color w:val="auto"/>
        </w:rPr>
      </w:pPr>
      <w:r w:rsidRPr="00092764">
        <w:rPr>
          <w:color w:val="auto"/>
        </w:rPr>
        <w:t>Determinación sobre extradición</w:t>
      </w:r>
    </w:p>
    <w:p w14:paraId="76B6A9F3" w14:textId="2D0242C9" w:rsidR="00092764" w:rsidRDefault="00092764" w:rsidP="00092764">
      <w:pPr>
        <w:pStyle w:val="Prrafodelista"/>
        <w:numPr>
          <w:ilvl w:val="0"/>
          <w:numId w:val="2"/>
        </w:numPr>
        <w:jc w:val="both"/>
        <w:rPr>
          <w:color w:val="auto"/>
        </w:rPr>
      </w:pPr>
      <w:r w:rsidRPr="00092764">
        <w:rPr>
          <w:color w:val="auto"/>
        </w:rPr>
        <w:t>Planteamiento en torno a las afectaciones derivadas del COVID-19 con motivo del internamiento.</w:t>
      </w:r>
    </w:p>
    <w:p w14:paraId="1728957B" w14:textId="72162CEE" w:rsidR="00092764" w:rsidRPr="00092764" w:rsidRDefault="00092764" w:rsidP="00092764">
      <w:pPr>
        <w:jc w:val="both"/>
        <w:rPr>
          <w:color w:val="auto"/>
        </w:rPr>
      </w:pPr>
      <w:r w:rsidRPr="00092764">
        <w:rPr>
          <w:color w:val="auto"/>
        </w:rPr>
        <w:t>En términos generales, todas las demandas de amparo o acciones que buscan proteger contra actos que ponen en peligro la vida, restricciones a la libertad personal fuera del proceso judicial, aislamiento, deportación o expulsión, destierro, extradición, desaparición forzada de personas, maltratos y otros actos prohibidos por el artículo 22 de la constitución, así como las presentadas por falta de atención médica especializada para personas privadas de su libertad en un centro de reclusión. Por lo tanto, las audiencias necesarias para resolver asuntos urgentes se llevarán a cabo según lo establecido en este acuerdo.</w:t>
      </w:r>
    </w:p>
    <w:p w14:paraId="7770E20E" w14:textId="77777777" w:rsidR="00092764" w:rsidRDefault="00092764">
      <w:pPr>
        <w:spacing w:after="0" w:line="240" w:lineRule="auto"/>
        <w:jc w:val="left"/>
        <w:rPr>
          <w:rFonts w:ascii="Arial Black" w:hAnsi="Arial Black"/>
          <w:sz w:val="44"/>
          <w:szCs w:val="44"/>
        </w:rPr>
      </w:pPr>
      <w:r>
        <w:rPr>
          <w:rFonts w:ascii="Arial Black" w:hAnsi="Arial Black"/>
          <w:sz w:val="44"/>
          <w:szCs w:val="44"/>
        </w:rPr>
        <w:br w:type="page"/>
      </w:r>
    </w:p>
    <w:p w14:paraId="23D7A325" w14:textId="57C68F36" w:rsidR="0060669C" w:rsidRDefault="00000000">
      <w:pPr>
        <w:rPr>
          <w:rFonts w:ascii="Arial Black" w:hAnsi="Arial Black"/>
          <w:sz w:val="44"/>
          <w:szCs w:val="44"/>
        </w:rPr>
      </w:pPr>
      <w:r>
        <w:rPr>
          <w:rFonts w:ascii="Arial Black" w:hAnsi="Arial Black"/>
          <w:sz w:val="44"/>
          <w:szCs w:val="44"/>
        </w:rPr>
        <w:lastRenderedPageBreak/>
        <w:t>C</w:t>
      </w:r>
      <w:r w:rsidR="00B15467">
        <w:rPr>
          <w:rFonts w:ascii="Arial Black" w:hAnsi="Arial Black"/>
          <w:sz w:val="44"/>
          <w:szCs w:val="44"/>
        </w:rPr>
        <w:t>onclusión</w:t>
      </w:r>
    </w:p>
    <w:p w14:paraId="5CFAB728" w14:textId="7037BCB5" w:rsidR="006071DA" w:rsidRPr="006071DA" w:rsidRDefault="006071DA" w:rsidP="006071DA">
      <w:pPr>
        <w:jc w:val="both"/>
        <w:rPr>
          <w:color w:val="auto"/>
        </w:rPr>
      </w:pPr>
      <w:r w:rsidRPr="006071DA">
        <w:rPr>
          <w:color w:val="auto"/>
        </w:rPr>
        <w:t>En conclusión, este trabajo nos ha brindado un rico aprendizaje sobre los conceptos que conforman el Estado y sus elementos. Hemos comprendido que se dividen en tres pilares fundamentales: soberanía, población y territorio. Asimismo, hemos explorado las diferentes formas de gobierno, tanto a través de la clasificación aristotélica como de la clasificación contemporánea, y su subdivisión.</w:t>
      </w:r>
    </w:p>
    <w:p w14:paraId="6054310B" w14:textId="3D53A1EC" w:rsidR="006071DA" w:rsidRPr="006071DA" w:rsidRDefault="006071DA" w:rsidP="006071DA">
      <w:pPr>
        <w:jc w:val="both"/>
        <w:rPr>
          <w:color w:val="auto"/>
        </w:rPr>
      </w:pPr>
      <w:r w:rsidRPr="006071DA">
        <w:rPr>
          <w:color w:val="auto"/>
        </w:rPr>
        <w:t>Además, hemos adquirido conocimiento sobre la importancia de la soberanía en México, que representa el poder que tenemos como ciudadanos, especialmente a través del voto para elegir a nuestros gobernantes. Esto es fundamental para garantizar un cumplimiento adecuado de la Constitución y de los derechos humanos.</w:t>
      </w:r>
    </w:p>
    <w:p w14:paraId="72BD1AF1" w14:textId="6D2D63B2" w:rsidR="006071DA" w:rsidRPr="006071DA" w:rsidRDefault="006071DA" w:rsidP="006071DA">
      <w:pPr>
        <w:jc w:val="both"/>
        <w:rPr>
          <w:color w:val="auto"/>
        </w:rPr>
      </w:pPr>
      <w:r w:rsidRPr="006071DA">
        <w:rPr>
          <w:color w:val="auto"/>
        </w:rPr>
        <w:t>Un aspecto relevante de esta actividad ha sido el estudio de la actividad del poder ejecutivo durante el año 2020, particularmente en el ámbito penal. Hemos observado cómo, frente a casos específicos, se han aplicado artículos de la Constitución para dar seguimiento y asegurar el cumplimiento de las leyes que los regulan.</w:t>
      </w:r>
    </w:p>
    <w:p w14:paraId="08A789B1" w14:textId="6A470D29" w:rsidR="006071DA" w:rsidRPr="006071DA" w:rsidRDefault="006071DA" w:rsidP="006071DA">
      <w:pPr>
        <w:jc w:val="both"/>
        <w:rPr>
          <w:color w:val="auto"/>
        </w:rPr>
      </w:pPr>
      <w:r w:rsidRPr="006071DA">
        <w:rPr>
          <w:color w:val="auto"/>
        </w:rPr>
        <w:t>En definitiva, esta actividad ha resultado de gran importancia, ya que nos ha permitido adquirir datos interesantes sobre el funcionamiento del marco constitucional en nuestro país. Nos hemos enriquecido con un conocimiento más profundo de los fundamentos y mecanismos que rigen nuestra organización política.</w:t>
      </w:r>
    </w:p>
    <w:p w14:paraId="2019CB74" w14:textId="77777777" w:rsidR="0060669C" w:rsidRDefault="00000000">
      <w:pPr>
        <w:jc w:val="both"/>
      </w:pPr>
      <w:r>
        <w:br w:type="page" w:clear="all"/>
      </w:r>
    </w:p>
    <w:sdt>
      <w:sdtPr>
        <w:rPr>
          <w:rFonts w:ascii="Arial Black" w:hAnsi="Arial Black"/>
          <w:b/>
          <w:bCs/>
          <w:lang w:val="es-ES"/>
        </w:rPr>
        <w:id w:val="438104362"/>
        <w:docPartObj>
          <w:docPartGallery w:val="Bibliographies"/>
          <w:docPartUnique/>
        </w:docPartObj>
      </w:sdtPr>
      <w:sdtEndPr>
        <w:rPr>
          <w:rFonts w:ascii="Arial" w:eastAsiaTheme="minorHAnsi" w:hAnsi="Arial"/>
          <w:b w:val="0"/>
          <w:bCs w:val="0"/>
          <w:sz w:val="20"/>
          <w:szCs w:val="20"/>
          <w:lang w:val="es-MX"/>
        </w:rPr>
      </w:sdtEndPr>
      <w:sdtContent>
        <w:p w14:paraId="1C048EA5" w14:textId="4826A17E" w:rsidR="00033109" w:rsidRPr="00522819" w:rsidRDefault="00033109">
          <w:pPr>
            <w:pStyle w:val="Ttulo1"/>
            <w:rPr>
              <w:rFonts w:ascii="Arial Black" w:hAnsi="Arial Black"/>
              <w:b/>
              <w:bCs/>
              <w:sz w:val="44"/>
              <w:szCs w:val="44"/>
            </w:rPr>
          </w:pPr>
          <w:r w:rsidRPr="00522819">
            <w:rPr>
              <w:rFonts w:ascii="Arial Black" w:hAnsi="Arial Black"/>
              <w:b/>
              <w:bCs/>
              <w:sz w:val="44"/>
              <w:szCs w:val="44"/>
              <w:lang w:val="es-ES"/>
            </w:rPr>
            <w:t>Bibliografía</w:t>
          </w:r>
        </w:p>
        <w:sdt>
          <w:sdtPr>
            <w:id w:val="111145805"/>
            <w:bibliography/>
          </w:sdtPr>
          <w:sdtContent>
            <w:p w14:paraId="222D0929" w14:textId="77777777" w:rsidR="00F76036" w:rsidRDefault="00033109" w:rsidP="00F76036">
              <w:pPr>
                <w:pStyle w:val="Bibliografa"/>
                <w:ind w:left="720" w:hanging="720"/>
                <w:rPr>
                  <w:noProof/>
                  <w:sz w:val="24"/>
                  <w:szCs w:val="24"/>
                  <w:lang w:val="es-ES"/>
                </w:rPr>
              </w:pPr>
              <w:r>
                <w:fldChar w:fldCharType="begin"/>
              </w:r>
              <w:r>
                <w:instrText>BIBLIOGRAPHY</w:instrText>
              </w:r>
              <w:r>
                <w:fldChar w:fldCharType="separate"/>
              </w:r>
              <w:r w:rsidR="00F76036">
                <w:rPr>
                  <w:noProof/>
                  <w:lang w:val="es-ES"/>
                </w:rPr>
                <w:t xml:space="preserve">Concepto. (202). </w:t>
              </w:r>
              <w:r w:rsidR="00F76036">
                <w:rPr>
                  <w:i/>
                  <w:iCs/>
                  <w:noProof/>
                  <w:lang w:val="es-ES"/>
                </w:rPr>
                <w:t>Concepto</w:t>
              </w:r>
              <w:r w:rsidR="00F76036">
                <w:rPr>
                  <w:noProof/>
                  <w:lang w:val="es-ES"/>
                </w:rPr>
                <w:t>. Obtenido de Enciclopedia Concepto: https://concepto.de/garantias-individuales/</w:t>
              </w:r>
            </w:p>
            <w:p w14:paraId="34C526F7" w14:textId="77777777" w:rsidR="00F76036" w:rsidRDefault="00F76036" w:rsidP="00F76036">
              <w:pPr>
                <w:pStyle w:val="Bibliografa"/>
                <w:ind w:left="720" w:hanging="720"/>
                <w:rPr>
                  <w:noProof/>
                  <w:lang w:val="es-ES"/>
                </w:rPr>
              </w:pPr>
              <w:r>
                <w:rPr>
                  <w:noProof/>
                  <w:lang w:val="es-ES"/>
                </w:rPr>
                <w:t xml:space="preserve">Concepto. (14 de Octubre de 2023). </w:t>
              </w:r>
              <w:r>
                <w:rPr>
                  <w:i/>
                  <w:iCs/>
                  <w:noProof/>
                  <w:lang w:val="es-ES"/>
                </w:rPr>
                <w:t>Garantias Individuales</w:t>
              </w:r>
              <w:r>
                <w:rPr>
                  <w:noProof/>
                  <w:lang w:val="es-ES"/>
                </w:rPr>
                <w:t>. Obtenido de Enciclipedia Concepto: https://concepto.de/garantias-individuales/</w:t>
              </w:r>
            </w:p>
            <w:p w14:paraId="0A749DA3" w14:textId="77777777" w:rsidR="00F76036" w:rsidRDefault="00F76036" w:rsidP="00F76036">
              <w:pPr>
                <w:pStyle w:val="Bibliografa"/>
                <w:ind w:left="720" w:hanging="720"/>
                <w:rPr>
                  <w:noProof/>
                  <w:lang w:val="es-ES"/>
                </w:rPr>
              </w:pPr>
              <w:r>
                <w:rPr>
                  <w:noProof/>
                  <w:lang w:val="es-ES"/>
                </w:rPr>
                <w:t xml:space="preserve">Estado, G. d. (14 de Octubre de 2023). </w:t>
              </w:r>
              <w:r>
                <w:rPr>
                  <w:i/>
                  <w:iCs/>
                  <w:noProof/>
                  <w:lang w:val="es-ES"/>
                </w:rPr>
                <w:t>Gaceta del Estado</w:t>
              </w:r>
              <w:r>
                <w:rPr>
                  <w:noProof/>
                  <w:lang w:val="es-ES"/>
                </w:rPr>
                <w:t>. Obtenido de Gaceta del Estado: https://www.senado.gob.mx/65/gaceta_del_senado/documento/60476</w:t>
              </w:r>
            </w:p>
            <w:p w14:paraId="36D029C4" w14:textId="77777777" w:rsidR="00F76036" w:rsidRDefault="00F76036" w:rsidP="00F76036">
              <w:pPr>
                <w:pStyle w:val="Bibliografa"/>
                <w:ind w:left="720" w:hanging="720"/>
                <w:rPr>
                  <w:noProof/>
                  <w:lang w:val="es-ES"/>
                </w:rPr>
              </w:pPr>
              <w:r>
                <w:rPr>
                  <w:noProof/>
                  <w:lang w:val="es-ES"/>
                </w:rPr>
                <w:t>México, G. (14 de Octubre de 2023). Obtenido de http://sil.gobernacion.gob.mx/Glosario/definicionpop.php?ID=96#:~:text=El%20Estado%20tiene%20cuatro%20elementos,%3A%20Ejecutivo%2C%20Legislativo%20y%20Judicial.</w:t>
              </w:r>
            </w:p>
            <w:p w14:paraId="6ADF1CD7" w14:textId="77777777" w:rsidR="00F76036" w:rsidRDefault="00F76036" w:rsidP="00F76036">
              <w:pPr>
                <w:pStyle w:val="Bibliografa"/>
                <w:ind w:left="720" w:hanging="720"/>
                <w:rPr>
                  <w:noProof/>
                  <w:lang w:val="es-ES"/>
                </w:rPr>
              </w:pPr>
              <w:r>
                <w:rPr>
                  <w:noProof/>
                  <w:lang w:val="es-ES"/>
                </w:rPr>
                <w:t xml:space="preserve">México, G. d. (14 de Octubre de 2023). </w:t>
              </w:r>
              <w:r>
                <w:rPr>
                  <w:i/>
                  <w:iCs/>
                  <w:noProof/>
                  <w:lang w:val="es-ES"/>
                </w:rPr>
                <w:t>Gobierno y su estructura</w:t>
              </w:r>
              <w:r>
                <w:rPr>
                  <w:noProof/>
                  <w:lang w:val="es-ES"/>
                </w:rPr>
                <w:t>. Obtenido de Gobierno y su estructura: https://embamex.sre.gob.mx/nuevazelandia/index.php/sobremexico/gobiernoyestructura</w:t>
              </w:r>
            </w:p>
            <w:p w14:paraId="0C625FBE" w14:textId="77777777" w:rsidR="00F76036" w:rsidRDefault="00F76036" w:rsidP="00F76036">
              <w:pPr>
                <w:pStyle w:val="Bibliografa"/>
                <w:ind w:left="720" w:hanging="720"/>
                <w:rPr>
                  <w:noProof/>
                  <w:lang w:val="es-ES"/>
                </w:rPr>
              </w:pPr>
              <w:r>
                <w:rPr>
                  <w:noProof/>
                  <w:lang w:val="es-ES"/>
                </w:rPr>
                <w:t xml:space="preserve">Postgrado, C. E. (14 de Octubre de 2023). </w:t>
              </w:r>
              <w:r>
                <w:rPr>
                  <w:i/>
                  <w:iCs/>
                  <w:noProof/>
                  <w:lang w:val="es-ES"/>
                </w:rPr>
                <w:t>Formas de Gobierno que rigen nuestra vida social y politica</w:t>
              </w:r>
              <w:r>
                <w:rPr>
                  <w:noProof/>
                  <w:lang w:val="es-ES"/>
                </w:rPr>
                <w:t>. Obtenido de Formas de Gobierno que riguen nuestra vida social y politca: https://www.ceupe.mx/blog/formas-de-gobierno-que-rigen-nuestra-vida-social-y-politica.html</w:t>
              </w:r>
            </w:p>
            <w:p w14:paraId="34FFA469" w14:textId="77777777" w:rsidR="00F76036" w:rsidRDefault="00F76036" w:rsidP="00F76036">
              <w:pPr>
                <w:pStyle w:val="Bibliografa"/>
                <w:ind w:left="720" w:hanging="720"/>
                <w:rPr>
                  <w:noProof/>
                  <w:lang w:val="es-ES"/>
                </w:rPr>
              </w:pPr>
              <w:r>
                <w:rPr>
                  <w:noProof/>
                  <w:lang w:val="es-ES"/>
                </w:rPr>
                <w:t xml:space="preserve">UNAM. (14 de Octubre de 2023). </w:t>
              </w:r>
              <w:r>
                <w:rPr>
                  <w:i/>
                  <w:iCs/>
                  <w:noProof/>
                  <w:lang w:val="es-ES"/>
                </w:rPr>
                <w:t>Nuestra Constitución y la doctrina de la soberanía</w:t>
              </w:r>
              <w:r>
                <w:rPr>
                  <w:noProof/>
                  <w:lang w:val="es-ES"/>
                </w:rPr>
                <w:t>. Obtenido de Nuestra Constitución y la doctrina de la soberanía: https://archivos.juridicas.unam.mx/www/bjv/libros/12/5852/34.pdf</w:t>
              </w:r>
            </w:p>
            <w:p w14:paraId="5B79502D" w14:textId="4B8965AA" w:rsidR="009940F4" w:rsidRPr="009940F4" w:rsidRDefault="00033109" w:rsidP="007801A8">
              <w:r>
                <w:rPr>
                  <w:b/>
                  <w:bCs/>
                  <w:noProof/>
                </w:rPr>
                <w:fldChar w:fldCharType="end"/>
              </w:r>
            </w:p>
          </w:sdtContent>
        </w:sdt>
      </w:sdtContent>
    </w:sdt>
    <w:sectPr w:rsidR="009940F4" w:rsidRPr="009940F4">
      <w:headerReference w:type="default" r:id="rId11"/>
      <w:footerReference w:type="default" r:id="rId12"/>
      <w:headerReference w:type="first" r:id="rId13"/>
      <w:pgSz w:w="12240" w:h="15840"/>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7C9F" w14:textId="77777777" w:rsidR="004F1592" w:rsidRDefault="004F1592">
      <w:pPr>
        <w:spacing w:line="240" w:lineRule="auto"/>
      </w:pPr>
      <w:r>
        <w:separator/>
      </w:r>
    </w:p>
  </w:endnote>
  <w:endnote w:type="continuationSeparator" w:id="0">
    <w:p w14:paraId="5606E074" w14:textId="77777777" w:rsidR="004F1592" w:rsidRDefault="004F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1CFFEC60" w14:textId="77777777" w:rsidR="0060669C" w:rsidRDefault="00000000">
        <w:pPr>
          <w:pStyle w:val="Piedepgina"/>
        </w:pPr>
        <w:r>
          <w:fldChar w:fldCharType="begin"/>
        </w:r>
        <w:r>
          <w:instrText>PAGE   \* MERGEFORMAT</w:instrText>
        </w:r>
        <w:r>
          <w:fldChar w:fldCharType="separate"/>
        </w:r>
        <w:r>
          <w:rPr>
            <w:lang w:val="es-ES"/>
          </w:rPr>
          <w:t>2</w:t>
        </w:r>
        <w:r>
          <w:fldChar w:fldCharType="end"/>
        </w:r>
      </w:p>
    </w:sdtContent>
  </w:sdt>
  <w:p w14:paraId="211BD1D4" w14:textId="77777777" w:rsidR="0060669C" w:rsidRDefault="006066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A60F" w14:textId="77777777" w:rsidR="004F1592" w:rsidRDefault="004F1592">
      <w:pPr>
        <w:spacing w:after="0"/>
      </w:pPr>
      <w:r>
        <w:separator/>
      </w:r>
    </w:p>
  </w:footnote>
  <w:footnote w:type="continuationSeparator" w:id="0">
    <w:p w14:paraId="1CA48B8A" w14:textId="77777777" w:rsidR="004F1592" w:rsidRDefault="004F15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FF62" w14:textId="77777777" w:rsidR="0060669C" w:rsidRDefault="00000000">
    <w:pPr>
      <w:pStyle w:val="Encabezado"/>
    </w:pPr>
    <w:r>
      <w:rPr>
        <w:noProof/>
      </w:rPr>
      <mc:AlternateContent>
        <mc:Choice Requires="wpg">
          <w:drawing>
            <wp:anchor distT="0" distB="0" distL="114300" distR="114300" simplePos="0" relativeHeight="251660288" behindDoc="0" locked="0" layoutInCell="1" allowOverlap="1" wp14:anchorId="4AF7F5FB" wp14:editId="25A471F5">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2"/>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424E" w14:textId="77777777" w:rsidR="0060669C" w:rsidRDefault="00000000">
    <w:pPr>
      <w:pStyle w:val="Encabezado"/>
    </w:pPr>
    <w:r>
      <w:rPr>
        <w:noProof/>
      </w:rPr>
      <mc:AlternateContent>
        <mc:Choice Requires="wpg">
          <w:drawing>
            <wp:anchor distT="0" distB="0" distL="114300" distR="114300" simplePos="0" relativeHeight="251659264" behindDoc="0" locked="0" layoutInCell="1" allowOverlap="1" wp14:anchorId="30B47A54" wp14:editId="16C5B672">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2"/>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187A1"/>
    <w:multiLevelType w:val="singleLevel"/>
    <w:tmpl w:val="FEF187A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AF511C4"/>
    <w:multiLevelType w:val="hybridMultilevel"/>
    <w:tmpl w:val="6FE874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1685613">
    <w:abstractNumId w:val="0"/>
  </w:num>
  <w:num w:numId="2" w16cid:durableId="83122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9C"/>
    <w:rsid w:val="1EA45FB3"/>
    <w:rsid w:val="2F7E11CB"/>
    <w:rsid w:val="32D50C75"/>
    <w:rsid w:val="57EF33B0"/>
    <w:rsid w:val="5FEFD645"/>
    <w:rsid w:val="63DCE529"/>
    <w:rsid w:val="7763B590"/>
    <w:rsid w:val="77DF0164"/>
    <w:rsid w:val="7B97EFB4"/>
    <w:rsid w:val="7D2570F8"/>
    <w:rsid w:val="7FE5265A"/>
    <w:rsid w:val="7FFBFCFE"/>
    <w:rsid w:val="CFC94043"/>
    <w:rsid w:val="DBD403F2"/>
    <w:rsid w:val="DFAF5832"/>
    <w:rsid w:val="EDEE5F83"/>
    <w:rsid w:val="EEFE675B"/>
    <w:rsid w:val="F25FDDAF"/>
    <w:rsid w:val="F6DF22CD"/>
    <w:rsid w:val="F7F5496D"/>
    <w:rsid w:val="F9DBBACE"/>
    <w:rsid w:val="FB675A9A"/>
    <w:rsid w:val="FBF56E95"/>
    <w:rsid w:val="FDFFA71F"/>
    <w:rsid w:val="FEBBCD90"/>
    <w:rsid w:val="00002417"/>
    <w:rsid w:val="00033109"/>
    <w:rsid w:val="00092764"/>
    <w:rsid w:val="000970D0"/>
    <w:rsid w:val="004F1592"/>
    <w:rsid w:val="00522819"/>
    <w:rsid w:val="0060669C"/>
    <w:rsid w:val="006071DA"/>
    <w:rsid w:val="007801A8"/>
    <w:rsid w:val="008C1BF3"/>
    <w:rsid w:val="009940F4"/>
    <w:rsid w:val="00B15467"/>
    <w:rsid w:val="00B51785"/>
    <w:rsid w:val="00CC3302"/>
    <w:rsid w:val="00F63553"/>
    <w:rsid w:val="00F7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C090B6"/>
  <w15:docId w15:val="{F59C59A6-50FB-9541-BE28-C7981719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center"/>
    </w:pPr>
    <w:rPr>
      <w:rFonts w:ascii="Arial" w:eastAsiaTheme="minorHAnsi" w:hAnsi="Arial" w:cs="Arial"/>
      <w:color w:val="002060"/>
      <w:lang w:eastAsia="en-US"/>
    </w:rPr>
  </w:style>
  <w:style w:type="paragraph" w:styleId="Ttulo1">
    <w:name w:val="heading 1"/>
    <w:basedOn w:val="Normal"/>
    <w:next w:val="Normal"/>
    <w:link w:val="Ttulo1Car"/>
    <w:uiPriority w:val="9"/>
    <w:qFormat/>
    <w:pPr>
      <w:keepNext/>
      <w:keepLines/>
      <w:spacing w:before="480" w:after="200"/>
      <w:outlineLvl w:val="0"/>
    </w:pPr>
    <w:rPr>
      <w:rFonts w:eastAsia="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eastAsia="Arial"/>
      <w:sz w:val="34"/>
    </w:rPr>
  </w:style>
  <w:style w:type="paragraph" w:styleId="Ttulo3">
    <w:name w:val="heading 3"/>
    <w:basedOn w:val="Normal"/>
    <w:next w:val="Normal"/>
    <w:link w:val="Ttulo3Car"/>
    <w:uiPriority w:val="9"/>
    <w:unhideWhenUsed/>
    <w:qFormat/>
    <w:pPr>
      <w:keepNext/>
      <w:keepLines/>
      <w:spacing w:before="320" w:after="200"/>
      <w:outlineLvl w:val="2"/>
    </w:pPr>
    <w:rPr>
      <w:rFonts w:eastAsia="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eastAsia="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eastAsia="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5B9BD5" w:themeColor="accent1"/>
      <w:sz w:val="18"/>
      <w:szCs w:val="18"/>
    </w:rPr>
  </w:style>
  <w:style w:type="character" w:styleId="Refdenotaalfinal">
    <w:name w:val="endnote reference"/>
    <w:basedOn w:val="Fuentedeprrafopredeter"/>
    <w:uiPriority w:val="99"/>
    <w:semiHidden/>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styleId="Refdenotaalpie">
    <w:name w:val="footnote reference"/>
    <w:basedOn w:val="Fuentedeprrafopredeter"/>
    <w:uiPriority w:val="99"/>
    <w:unhideWhenUsed/>
    <w:qFormat/>
    <w:rPr>
      <w:vertAlign w:val="superscript"/>
    </w:rPr>
  </w:style>
  <w:style w:type="paragraph" w:styleId="Textonotapie">
    <w:name w:val="footnote text"/>
    <w:basedOn w:val="Normal"/>
    <w:link w:val="TextonotapieCar"/>
    <w:uiPriority w:val="99"/>
    <w:semiHidden/>
    <w:unhideWhenUsed/>
    <w:qFormat/>
    <w:pPr>
      <w:spacing w:after="40" w:line="240" w:lineRule="auto"/>
    </w:pPr>
    <w:rPr>
      <w:sz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uiPriority w:val="99"/>
    <w:unhideWhenUsed/>
    <w:qFormat/>
    <w:rPr>
      <w:color w:val="0563C1" w:themeColor="hyperlink"/>
      <w:u w:val="single"/>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qFormat/>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qFormat/>
    <w:pPr>
      <w:spacing w:after="57"/>
      <w:ind w:left="283"/>
    </w:pPr>
  </w:style>
  <w:style w:type="paragraph" w:styleId="TDC3">
    <w:name w:val="toc 3"/>
    <w:basedOn w:val="Normal"/>
    <w:next w:val="Normal"/>
    <w:uiPriority w:val="39"/>
    <w:unhideWhenUsed/>
    <w:qFormat/>
    <w:pPr>
      <w:spacing w:after="57"/>
      <w:ind w:left="567"/>
    </w:pPr>
  </w:style>
  <w:style w:type="paragraph" w:styleId="TDC4">
    <w:name w:val="toc 4"/>
    <w:basedOn w:val="Normal"/>
    <w:next w:val="Normal"/>
    <w:uiPriority w:val="39"/>
    <w:unhideWhenUsed/>
    <w:qFormat/>
    <w:pPr>
      <w:spacing w:after="57"/>
      <w:ind w:left="850"/>
    </w:pPr>
  </w:style>
  <w:style w:type="paragraph" w:styleId="TDC5">
    <w:name w:val="toc 5"/>
    <w:basedOn w:val="Normal"/>
    <w:next w:val="Normal"/>
    <w:uiPriority w:val="39"/>
    <w:unhideWhenUsed/>
    <w:qFormat/>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pPr>
      <w:spacing w:after="57"/>
      <w:ind w:left="2268"/>
    </w:p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rPr>
      <w:sz w:val="48"/>
      <w:szCs w:val="48"/>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rPr>
      <w:color w:val="808080"/>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Bibliografa">
    <w:name w:val="Bibliography"/>
    <w:basedOn w:val="Normal"/>
    <w:next w:val="Normal"/>
    <w:uiPriority w:val="37"/>
    <w:unhideWhenUsed/>
    <w:rsid w:val="0003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06860">
      <w:bodyDiv w:val="1"/>
      <w:marLeft w:val="0"/>
      <w:marRight w:val="0"/>
      <w:marTop w:val="0"/>
      <w:marBottom w:val="0"/>
      <w:divBdr>
        <w:top w:val="none" w:sz="0" w:space="0" w:color="auto"/>
        <w:left w:val="none" w:sz="0" w:space="0" w:color="auto"/>
        <w:bottom w:val="none" w:sz="0" w:space="0" w:color="auto"/>
        <w:right w:val="none" w:sz="0" w:space="0" w:color="auto"/>
      </w:divBdr>
    </w:div>
    <w:div w:id="1163593225">
      <w:bodyDiv w:val="1"/>
      <w:marLeft w:val="0"/>
      <w:marRight w:val="0"/>
      <w:marTop w:val="0"/>
      <w:marBottom w:val="0"/>
      <w:divBdr>
        <w:top w:val="none" w:sz="0" w:space="0" w:color="auto"/>
        <w:left w:val="none" w:sz="0" w:space="0" w:color="auto"/>
        <w:bottom w:val="none" w:sz="0" w:space="0" w:color="auto"/>
        <w:right w:val="none" w:sz="0" w:space="0" w:color="auto"/>
      </w:divBdr>
    </w:div>
    <w:div w:id="1186361781">
      <w:bodyDiv w:val="1"/>
      <w:marLeft w:val="0"/>
      <w:marRight w:val="0"/>
      <w:marTop w:val="0"/>
      <w:marBottom w:val="0"/>
      <w:divBdr>
        <w:top w:val="none" w:sz="0" w:space="0" w:color="auto"/>
        <w:left w:val="none" w:sz="0" w:space="0" w:color="auto"/>
        <w:bottom w:val="none" w:sz="0" w:space="0" w:color="auto"/>
        <w:right w:val="none" w:sz="0" w:space="0" w:color="auto"/>
      </w:divBdr>
    </w:div>
    <w:div w:id="1231310180">
      <w:bodyDiv w:val="1"/>
      <w:marLeft w:val="0"/>
      <w:marRight w:val="0"/>
      <w:marTop w:val="0"/>
      <w:marBottom w:val="0"/>
      <w:divBdr>
        <w:top w:val="none" w:sz="0" w:space="0" w:color="auto"/>
        <w:left w:val="none" w:sz="0" w:space="0" w:color="auto"/>
        <w:bottom w:val="none" w:sz="0" w:space="0" w:color="auto"/>
        <w:right w:val="none" w:sz="0" w:space="0" w:color="auto"/>
      </w:divBdr>
    </w:div>
    <w:div w:id="1381058398">
      <w:bodyDiv w:val="1"/>
      <w:marLeft w:val="0"/>
      <w:marRight w:val="0"/>
      <w:marTop w:val="0"/>
      <w:marBottom w:val="0"/>
      <w:divBdr>
        <w:top w:val="none" w:sz="0" w:space="0" w:color="auto"/>
        <w:left w:val="none" w:sz="0" w:space="0" w:color="auto"/>
        <w:bottom w:val="none" w:sz="0" w:space="0" w:color="auto"/>
        <w:right w:val="none" w:sz="0" w:space="0" w:color="auto"/>
      </w:divBdr>
    </w:div>
    <w:div w:id="1402481529">
      <w:bodyDiv w:val="1"/>
      <w:marLeft w:val="0"/>
      <w:marRight w:val="0"/>
      <w:marTop w:val="0"/>
      <w:marBottom w:val="0"/>
      <w:divBdr>
        <w:top w:val="none" w:sz="0" w:space="0" w:color="auto"/>
        <w:left w:val="none" w:sz="0" w:space="0" w:color="auto"/>
        <w:bottom w:val="none" w:sz="0" w:space="0" w:color="auto"/>
        <w:right w:val="none" w:sz="0" w:space="0" w:color="auto"/>
      </w:divBdr>
    </w:div>
    <w:div w:id="1419209280">
      <w:bodyDiv w:val="1"/>
      <w:marLeft w:val="0"/>
      <w:marRight w:val="0"/>
      <w:marTop w:val="0"/>
      <w:marBottom w:val="0"/>
      <w:divBdr>
        <w:top w:val="none" w:sz="0" w:space="0" w:color="auto"/>
        <w:left w:val="none" w:sz="0" w:space="0" w:color="auto"/>
        <w:bottom w:val="none" w:sz="0" w:space="0" w:color="auto"/>
        <w:right w:val="none" w:sz="0" w:space="0" w:color="auto"/>
      </w:divBdr>
    </w:div>
    <w:div w:id="1646658724">
      <w:bodyDiv w:val="1"/>
      <w:marLeft w:val="0"/>
      <w:marRight w:val="0"/>
      <w:marTop w:val="0"/>
      <w:marBottom w:val="0"/>
      <w:divBdr>
        <w:top w:val="none" w:sz="0" w:space="0" w:color="auto"/>
        <w:left w:val="none" w:sz="0" w:space="0" w:color="auto"/>
        <w:bottom w:val="none" w:sz="0" w:space="0" w:color="auto"/>
        <w:right w:val="none" w:sz="0" w:space="0" w:color="auto"/>
      </w:divBdr>
    </w:div>
    <w:div w:id="202612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rsidR="00F74E6C" w:rsidRDefault="00000000">
          <w:pPr>
            <w:pStyle w:val="F13AAD00402E4C64A95DFAF22128490A"/>
          </w:pPr>
          <w:r>
            <w:rPr>
              <w:rFonts w:ascii="Arial" w:hAnsi="Arial" w:cs="Arial"/>
              <w:sz w:val="24"/>
              <w:szCs w:val="24"/>
            </w:rPr>
            <w:t>Ciudad y Estado</w:t>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rsidR="00F74E6C" w:rsidRDefault="00000000">
          <w:pPr>
            <w:pStyle w:val="4DFEE5C89BF74F6B8AFEEAC2D58CCA44"/>
          </w:pPr>
          <w:r>
            <w:rPr>
              <w:rStyle w:val="Textodelmarcadordeposicin"/>
            </w:rPr>
            <w:t>Haga clic aquí o pulse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0AF" w:rsidRDefault="00DC30AF">
      <w:pPr>
        <w:spacing w:line="240" w:lineRule="auto"/>
      </w:pPr>
      <w:r>
        <w:separator/>
      </w:r>
    </w:p>
  </w:endnote>
  <w:endnote w:type="continuationSeparator" w:id="0">
    <w:p w:rsidR="00DC30AF" w:rsidRDefault="00DC30A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0AF" w:rsidRDefault="00DC30AF">
      <w:pPr>
        <w:spacing w:after="0"/>
      </w:pPr>
      <w:r>
        <w:separator/>
      </w:r>
    </w:p>
  </w:footnote>
  <w:footnote w:type="continuationSeparator" w:id="0">
    <w:p w:rsidR="00DC30AF" w:rsidRDefault="00DC30A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6C"/>
    <w:rsid w:val="00DC30AF"/>
    <w:rsid w:val="00F7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rPr>
      <w:sz w:val="22"/>
      <w:szCs w:val="22"/>
    </w:r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qFormat/>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qFormat/>
  </w:style>
  <w:style w:type="paragraph" w:styleId="Piedepgina">
    <w:name w:val="footer"/>
    <w:basedOn w:val="Normal"/>
    <w:link w:val="PiedepginaCar"/>
    <w:uiPriority w:val="99"/>
    <w:unhideWhenUsed/>
    <w:qFormat/>
    <w:pPr>
      <w:tabs>
        <w:tab w:val="center" w:pos="7143"/>
        <w:tab w:val="right" w:pos="14287"/>
      </w:tabs>
      <w:spacing w:after="0" w:line="240" w:lineRule="auto"/>
    </w:p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qFormat/>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qFormat/>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qFormat/>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qFormat/>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qFormat/>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qFormat/>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qFormat/>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qFormat/>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qFormat/>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qFormat/>
    <w:rPr>
      <w:color w:val="0563C1" w:themeColor="hyperlink"/>
      <w:u w:val="single"/>
    </w:rPr>
  </w:style>
  <w:style w:type="paragraph" w:styleId="Textonotapie">
    <w:name w:val="footnote text"/>
    <w:basedOn w:val="Normal"/>
    <w:link w:val="TextonotapieCar"/>
    <w:uiPriority w:val="99"/>
    <w:semiHidden/>
    <w:unhideWhenUsed/>
    <w:qFormat/>
    <w:pPr>
      <w:spacing w:after="40" w:line="240" w:lineRule="auto"/>
    </w:pPr>
    <w:rPr>
      <w:sz w:val="18"/>
    </w:rPr>
  </w:style>
  <w:style w:type="character" w:customStyle="1" w:styleId="TextonotapieCar">
    <w:name w:val="Texto nota pie Car"/>
    <w:link w:val="Textonotapie"/>
    <w:uiPriority w:val="99"/>
    <w:qFormat/>
    <w:rPr>
      <w:sz w:val="18"/>
    </w:rPr>
  </w:style>
  <w:style w:type="character" w:styleId="Refdenotaalpie">
    <w:name w:val="footnote reference"/>
    <w:basedOn w:val="Fuentedeprrafopredeter"/>
    <w:uiPriority w:val="99"/>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rPr>
      <w:sz w:val="20"/>
    </w:rPr>
  </w:style>
  <w:style w:type="character" w:customStyle="1" w:styleId="TextonotaalfinalCar">
    <w:name w:val="Texto nota al final Car"/>
    <w:link w:val="Textonotaalfinal"/>
    <w:uiPriority w:val="99"/>
    <w:qFormat/>
    <w:rPr>
      <w:sz w:val="20"/>
    </w:rPr>
  </w:style>
  <w:style w:type="character" w:styleId="Refdenotaalfinal">
    <w:name w:val="endnote reference"/>
    <w:basedOn w:val="Fuentedeprrafopredeter"/>
    <w:uiPriority w:val="99"/>
    <w:semiHidden/>
    <w:unhideWhenUsed/>
    <w:qFormat/>
    <w:rPr>
      <w:vertAlign w:val="superscript"/>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qFormat/>
    <w:pPr>
      <w:spacing w:after="57"/>
      <w:ind w:left="2268"/>
    </w:pPr>
  </w:style>
  <w:style w:type="paragraph" w:styleId="Tabladeilustraciones">
    <w:name w:val="table of figures"/>
    <w:basedOn w:val="Normal"/>
    <w:next w:val="Normal"/>
    <w:uiPriority w:val="99"/>
    <w:unhideWhenUsed/>
    <w:qFormat/>
    <w:pPr>
      <w:spacing w:after="0"/>
    </w:pPr>
  </w:style>
  <w:style w:type="character" w:styleId="Textodelmarcadordeposicin">
    <w:name w:val="Placeholder Text"/>
    <w:basedOn w:val="Fuentedeprrafopredeter"/>
    <w:uiPriority w:val="99"/>
    <w:semiHidden/>
    <w:qFormat/>
    <w:rPr>
      <w:color w:val="808080"/>
    </w:rPr>
  </w:style>
  <w:style w:type="paragraph" w:customStyle="1" w:styleId="F13AAD00402E4C64A95DFAF22128490A">
    <w:name w:val="F13AAD00402E4C64A95DFAF22128490A"/>
    <w:qFormat/>
    <w:pPr>
      <w:spacing w:after="160" w:line="259" w:lineRule="auto"/>
    </w:pPr>
    <w:rPr>
      <w:sz w:val="22"/>
      <w:szCs w:val="22"/>
      <w:lang w:val="es-ES" w:eastAsia="es-ES"/>
    </w:rPr>
  </w:style>
  <w:style w:type="paragraph" w:customStyle="1" w:styleId="4DFEE5C89BF74F6B8AFEEAC2D58CCA44">
    <w:name w:val="4DFEE5C89BF74F6B8AFEEAC2D58CCA4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Gob23</b:Tag>
    <b:SourceType>InternetSite</b:SourceType>
    <b:Guid>{AE4DB9BD-46C4-C946-9AA5-D6E9EE08696B}</b:Guid>
    <b:Year>2023</b:Year>
    <b:Author>
      <b:Author>
        <b:NameList>
          <b:Person>
            <b:Last>México</b:Last>
            <b:First>Gobernación</b:First>
          </b:Person>
        </b:NameList>
      </b:Author>
    </b:Author>
    <b:URL>http://sil.gobernacion.gob.mx/Glosario/definicionpop.php?ID=96#:~:text=El%20Estado%20tiene%20cuatro%20elementos,%3A%20Ejecutivo%2C%20Legislativo%20y%20Judicial.</b:URL>
    <b:Month>Octubre</b:Month>
    <b:Day>14</b:Day>
    <b:RefOrder>1</b:RefOrder>
  </b:Source>
  <b:Source>
    <b:Tag>Gac23</b:Tag>
    <b:SourceType>InternetSite</b:SourceType>
    <b:Guid>{BAE8C967-DCFE-454F-B0CB-EF494C925745}</b:Guid>
    <b:Author>
      <b:Author>
        <b:NameList>
          <b:Person>
            <b:Last>Estado</b:Last>
            <b:First>Gaceta</b:First>
            <b:Middle>del</b:Middle>
          </b:Person>
        </b:NameList>
      </b:Author>
    </b:Author>
    <b:Title>Gaceta del Estado</b:Title>
    <b:InternetSiteTitle>Gaceta del Estado</b:InternetSiteTitle>
    <b:URL>https://www.senado.gob.mx/65/gaceta_del_senado/documento/60476</b:URL>
    <b:Year>2023</b:Year>
    <b:Month>Octubre</b:Month>
    <b:Day>14</b:Day>
    <b:RefOrder>2</b:RefOrder>
  </b:Source>
  <b:Source>
    <b:Tag>Con02</b:Tag>
    <b:SourceType>InternetSite</b:SourceType>
    <b:Guid>{8173204F-1602-454D-B24E-B16BB8803F7C}</b:Guid>
    <b:Author>
      <b:Author>
        <b:NameList>
          <b:Person>
            <b:Last>Concepto</b:Last>
          </b:Person>
        </b:NameList>
      </b:Author>
    </b:Author>
    <b:Title>Concepto</b:Title>
    <b:InternetSiteTitle>Enciclopedia Concepto</b:InternetSiteTitle>
    <b:URL>https://concepto.de/garantias-individuales/</b:URL>
    <b:Year>202</b:Year>
    <b:RefOrder>3</b:RefOrder>
  </b:Source>
  <b:Source>
    <b:Tag>Con23</b:Tag>
    <b:SourceType>InternetSite</b:SourceType>
    <b:Guid>{7B9CCA7D-1980-FD44-B929-98A2E030D341}</b:Guid>
    <b:Author>
      <b:Author>
        <b:NameList>
          <b:Person>
            <b:Last>Concepto</b:Last>
          </b:Person>
        </b:NameList>
      </b:Author>
    </b:Author>
    <b:Title>Garantias Individuales</b:Title>
    <b:InternetSiteTitle>Enciclipedia Concepto</b:InternetSiteTitle>
    <b:URL>https://concepto.de/garantias-individuales/</b:URL>
    <b:Year>2023</b:Year>
    <b:Month>Octubre</b:Month>
    <b:Day>14</b:Day>
    <b:RefOrder>4</b:RefOrder>
  </b:Source>
  <b:Source>
    <b:Tag>Cen23</b:Tag>
    <b:SourceType>InternetSite</b:SourceType>
    <b:Guid>{5AD0F004-294E-9D4B-8F74-D306FDB5F47F}</b:Guid>
    <b:Author>
      <b:Author>
        <b:NameList>
          <b:Person>
            <b:Last>Postgrado</b:Last>
            <b:First>Centro</b:First>
            <b:Middle>Europeo de</b:Middle>
          </b:Person>
        </b:NameList>
      </b:Author>
    </b:Author>
    <b:Title>Formas de Gobierno que rigen nuestra vida social y politica</b:Title>
    <b:InternetSiteTitle>Formas de Gobierno que riguen nuestra vida social y politca</b:InternetSiteTitle>
    <b:URL>https://www.ceupe.mx/blog/formas-de-gobierno-que-rigen-nuestra-vida-social-y-politica.html</b:URL>
    <b:Year>2023</b:Year>
    <b:Month>Octubre</b:Month>
    <b:Day>14</b:Day>
    <b:RefOrder>5</b:RefOrder>
  </b:Source>
  <b:Source>
    <b:Tag>UNA23</b:Tag>
    <b:SourceType>InternetSite</b:SourceType>
    <b:Guid>{4B6994AD-B42A-CD43-9745-BAF77544C3C9}</b:Guid>
    <b:Author>
      <b:Author>
        <b:NameList>
          <b:Person>
            <b:Last>UNAM</b:Last>
          </b:Person>
        </b:NameList>
      </b:Author>
    </b:Author>
    <b:Title>Nuestra Constitución y la doctrina de la soberanía</b:Title>
    <b:InternetSiteTitle>Nuestra Constitución y la doctrina de la soberanía</b:InternetSiteTitle>
    <b:URL>https://archivos.juridicas.unam.mx/www/bjv/libros/12/5852/34.pdf</b:URL>
    <b:Year>2023</b:Year>
    <b:Month>Octubre</b:Month>
    <b:Day>14</b:Day>
    <b:RefOrder>6</b:RefOrder>
  </b:Source>
  <b:Source>
    <b:Tag>Gob231</b:Tag>
    <b:SourceType>InternetSite</b:SourceType>
    <b:Guid>{16499BBF-5EB5-1F4D-9E23-0AD1C7924D42}</b:Guid>
    <b:Author>
      <b:Author>
        <b:NameList>
          <b:Person>
            <b:Last>México</b:Last>
            <b:First>Gobierno</b:First>
            <b:Middle>de</b:Middle>
          </b:Person>
        </b:NameList>
      </b:Author>
    </b:Author>
    <b:Title>Gobierno y su estructura</b:Title>
    <b:InternetSiteTitle>Gobierno y su estructura</b:InternetSiteTitle>
    <b:URL>https://embamex.sre.gob.mx/nuevazelandia/index.php/sobremexico/gobiernoyestructura</b:URL>
    <b:Year>2023</b:Year>
    <b:Month>Octubre</b:Month>
    <b:Day>14</b:Day>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A810B-20E5-3444-A8E3-F19AD369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IBM</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José Ramón Ibáñez Posadas</cp:lastModifiedBy>
  <cp:revision>26</cp:revision>
  <dcterms:created xsi:type="dcterms:W3CDTF">2021-06-16T09:55:00Z</dcterms:created>
  <dcterms:modified xsi:type="dcterms:W3CDTF">2023-10-14T22:52:00Z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