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df" ContentType="application/pdf"/>
  <Override PartName="/word/media/rId48.pdf" ContentType="application/pdf"/>
  <Override PartName="/word/media/rId56.pdf" ContentType="application/pdf"/>
  <Override PartName="/word/media/rId52.pdf" ContentType="application/pdf"/>
  <Override PartName="/word/media/rId21.pdf" ContentType="application/pdf"/>
  <Override PartName="/word/media/rId6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Apparent Contradictions in the Aluminum–Water Hydrolysis Literature</w:t>
      </w:r>
      <w:r>
        <w:t xml:space="preserve"> </w:t>
      </w:r>
      <w:r>
        <w:t xml:space="preserve">are Predominantly Methodological: a Provenance-Tracked, Leakage-Controlled Analysis</w:t>
      </w:r>
    </w:p>
    <w:p>
      <w:pPr>
        <w:pStyle w:val="Author"/>
      </w:pPr>
      <w:r>
        <w:t xml:space="preserve">Dogukan Unal</w:t>
      </w:r>
    </w:p>
    <w:p>
      <w:pPr>
        <w:pStyle w:val="AbstractTitle"/>
      </w:pPr>
      <w:r>
        <w:t xml:space="preserve">Abstract</w:t>
      </w:r>
    </w:p>
    <w:p>
      <w:pPr>
        <w:pStyle w:val="Abstract"/>
      </w:pPr>
      <w:r>
        <w:t xml:space="preserve">Two decades of aluminum–water hydrolysis experiments have produced a literature</w:t>
      </w:r>
      <w:r>
        <w:t xml:space="preserve"> </w:t>
      </w:r>
      <w:r>
        <w:t xml:space="preserve">that contradicts itself: reported activation energies span</w:t>
      </w:r>
      <w:r>
        <w:t xml:space="preserve"> </w:t>
      </w:r>
      <m:oMath>
        <m:r>
          <m:t>3.5</m:t>
        </m:r>
      </m:oMath>
      <w:r>
        <w:t xml:space="preserve">–</w:t>
      </w:r>
      <m:oMath>
        <m:r>
          <m:t>102.6</m:t>
        </m:r>
      </m:oMath>
      <w:r>
        <w:t xml:space="preserve"> kJ mol</w:t>
      </w:r>
      <m:oMath>
        <m:sSup>
          <m:e>
            <m:r>
              <m:t>​</m:t>
            </m:r>
          </m:e>
          <m:sup>
            <m:r>
              <m:rPr>
                <m:sty m:val="p"/>
              </m:rPr>
              <m:t>−</m:t>
            </m:r>
            <m:r>
              <m:t>1</m:t>
            </m:r>
          </m:sup>
        </m:sSup>
      </m:oMath>
      <w:r>
        <w:t xml:space="preserve"> </w:t>
      </w:r>
      <w:r>
        <w:t xml:space="preserve">and the direction of the particle-size effect changes sign across studies. Whether these</w:t>
      </w:r>
      <w:r>
        <w:t xml:space="preserve"> </w:t>
      </w:r>
      <w:r>
        <w:t xml:space="preserve">contradictions reflect genuine physico-chemical regimes or artifacts of non-standardized</w:t>
      </w:r>
      <w:r>
        <w:t xml:space="preserve"> </w:t>
      </w:r>
      <w:r>
        <w:t xml:space="preserve">protocols is the question we address with a leakage-controlled machine-learning evaluation</w:t>
      </w:r>
      <w:r>
        <w:t xml:space="preserve"> </w:t>
      </w:r>
      <w:r>
        <w:t xml:space="preserve">framework. We curate a provenance-tracked, quality-tiered open dataset of 315 condition-level</w:t>
      </w:r>
      <w:r>
        <w:t xml:space="preserve"> </w:t>
      </w:r>
      <w:r>
        <w:t xml:space="preserve">hydrogen-yield rows from 31 independent studies (plus a separate 76-row kinetic table), with</w:t>
      </w:r>
      <w:r>
        <w:t xml:space="preserve"> </w:t>
      </w:r>
      <w:r>
        <w:t xml:space="preserve">pre-registered hypotheses and transparent null reporting. Under study-grouped cross-validation,</w:t>
      </w:r>
      <w:r>
        <w:t xml:space="preserve"> </w:t>
      </w:r>
      <w:r>
        <w:t xml:space="preserve">six machine-learning models collapse from</w:t>
      </w:r>
      <w:r>
        <w:t xml:space="preserve"> </w:t>
      </w:r>
      <m:oMath>
        <m:sSup>
          <m:e>
            <m:r>
              <m:t>R</m:t>
            </m:r>
          </m:e>
          <m:sup>
            <m:r>
              <m:t>2</m:t>
            </m:r>
          </m:sup>
        </m:sSup>
        <m:r>
          <m:t>​</m:t>
        </m:r>
        <m:r>
          <m:rPr>
            <m:sty m:val="p"/>
          </m:rPr>
          <m:t>≈</m:t>
        </m:r>
        <m:r>
          <m:t>​</m:t>
        </m:r>
        <m:r>
          <m:t>0.55</m:t>
        </m:r>
      </m:oMath>
      <w:r>
        <w:t xml:space="preserve"> </w:t>
      </w:r>
      <w:r>
        <w:t xml:space="preserve">(random splits)</w:t>
      </w:r>
      <w:r>
        <w:t xml:space="preserve"> </w:t>
      </w:r>
      <w:r>
        <w:t xml:space="preserve">to</w:t>
      </w:r>
      <w:r>
        <w:t xml:space="preserve"> </w:t>
      </w:r>
      <m:oMath>
        <m:sSup>
          <m:e>
            <m:r>
              <m:t>R</m:t>
            </m:r>
          </m:e>
          <m:sup>
            <m:r>
              <m:t>2</m:t>
            </m:r>
          </m:sup>
        </m:sSup>
        <m:r>
          <m:rPr>
            <m:sty m:val="p"/>
          </m:rPr>
          <m:t>&lt;</m:t>
        </m:r>
        <m:r>
          <m:t>0</m:t>
        </m:r>
      </m:oMath>
      <w:r>
        <w:t xml:space="preserve"> </w:t>
      </w:r>
      <w:r>
        <w:t xml:space="preserve">(optimism gap</w:t>
      </w:r>
      <w:r>
        <w:t xml:space="preserve"> </w:t>
      </w:r>
      <m:oMath>
        <m:r>
          <m:t>0.62</m:t>
        </m:r>
      </m:oMath>
      <w:r>
        <w:t xml:space="preserve">–</w:t>
      </w:r>
      <m:oMath>
        <m:r>
          <m:t>0.85</m:t>
        </m:r>
      </m:oMath>
      <w:r>
        <w:t xml:space="preserve">,</w:t>
      </w:r>
      <w:r>
        <w:t xml:space="preserve"> </w:t>
      </w:r>
      <w:r>
        <w:t xml:space="preserve">$R^2_{\rm rand}\!-\!R^2_{\rm grp}$</w:t>
      </w:r>
      <w:r>
        <w:t xml:space="preserve">): the literature does not pool naively. Variance decomposition attributes</w:t>
      </w:r>
      <w:r>
        <w:t xml:space="preserve"> </w:t>
      </w:r>
      <m:oMath>
        <m:r>
          <m:rPr>
            <m:sty m:val="p"/>
          </m:rPr>
          <m:t>≈</m:t>
        </m:r>
        <m:r>
          <m:t>​</m:t>
        </m:r>
        <m:r>
          <m:t>72</m:t>
        </m:r>
        <m:r>
          <m:rPr>
            <m:sty m:val="p"/>
          </m:rPr>
          <m:t>%</m:t>
        </m:r>
      </m:oMath>
      <w:r>
        <w:t xml:space="preserve"> </w:t>
      </w:r>
      <w:r>
        <w:t xml:space="preserve">of between-study</w:t>
      </w:r>
      <w:r>
        <w:t xml:space="preserve"> </w:t>
      </w:r>
      <w:r>
        <w:t xml:space="preserve">yield variance to</w:t>
      </w:r>
      <w:r>
        <w:t xml:space="preserve"> </w:t>
      </w:r>
      <w:r>
        <w:rPr>
          <w:i/>
          <w:iCs/>
        </w:rPr>
        <w:t xml:space="preserve">methodological</w:t>
      </w:r>
      <w:r>
        <w:t xml:space="preserve"> </w:t>
      </w:r>
      <w:r>
        <w:t xml:space="preserve">covariates versus</w:t>
      </w:r>
      <w:r>
        <w:t xml:space="preserve"> </w:t>
      </w:r>
      <m:oMath>
        <m:r>
          <m:rPr>
            <m:sty m:val="p"/>
          </m:rPr>
          <m:t>≈</m:t>
        </m:r>
        <m:r>
          <m:t>​</m:t>
        </m:r>
        <m:r>
          <m:t>2</m:t>
        </m:r>
        <m:r>
          <m:rPr>
            <m:sty m:val="p"/>
          </m:rPr>
          <m:t>%</m:t>
        </m:r>
      </m:oMath>
      <w:r>
        <w:t xml:space="preserve"> </w:t>
      </w:r>
      <w:r>
        <w:t xml:space="preserve">(95 % CI 0.01–0.37) for the physico-chemical regime label,</w:t>
      </w:r>
      <w:r>
        <w:t xml:space="preserve"> </w:t>
      </w:r>
      <w:r>
        <w:t xml:space="preserve">with hydrogen measurement apparatus the largest single source (</w:t>
      </w:r>
      <m:oMath>
        <m:r>
          <m:rPr>
            <m:sty m:val="p"/>
          </m:rPr>
          <m:t>≈</m:t>
        </m:r>
        <m:r>
          <m:t>​</m:t>
        </m:r>
        <m:r>
          <m:t>43</m:t>
        </m:r>
        <m:r>
          <m:rPr>
            <m:sty m:val="p"/>
          </m:rPr>
          <m:t>%</m:t>
        </m:r>
      </m:oMath>
      <w:r>
        <w:t xml:space="preserve">)</w:t>
      </w:r>
      <w:r>
        <w:t xml:space="preserve"> </w:t>
      </w:r>
      <w:r>
        <w:t xml:space="preserve">and temperature-control method explaining</w:t>
      </w:r>
      <w:r>
        <w:t xml:space="preserve"> </w:t>
      </w:r>
      <m:oMath>
        <m:r>
          <m:rPr>
            <m:sty m:val="p"/>
          </m:rPr>
          <m:t>≈</m:t>
        </m:r>
        <m:r>
          <m:t>​</m:t>
        </m:r>
        <m:r>
          <m:t>8</m:t>
        </m:r>
        <m:r>
          <m:rPr>
            <m:sty m:val="p"/>
          </m:rPr>
          <m:t>%</m:t>
        </m:r>
      </m:oMath>
      <w:r>
        <w:t xml:space="preserve">. A complementary mixed-effects meta-regression finds no significant</w:t>
      </w:r>
      <w:r>
        <w:t xml:space="preserve"> </w:t>
      </w:r>
      <w:r>
        <w:t xml:space="preserve">regime moderation (</w:t>
      </w:r>
      <m:oMath>
        <m:r>
          <m:t>p</m:t>
        </m:r>
        <m:r>
          <m:rPr>
            <m:sty m:val="p"/>
          </m:rPr>
          <m:t>=</m:t>
        </m:r>
        <m:r>
          <m:t>0.32</m:t>
        </m:r>
      </m:oMath>
      <w:r>
        <w:t xml:space="preserve">–</w:t>
      </w:r>
      <m:oMath>
        <m:r>
          <m:t>0.45</m:t>
        </m:r>
      </m:oMath>
      <w:r>
        <w:t xml:space="preserve">,</w:t>
      </w:r>
      <w:r>
        <w:t xml:space="preserve"> </w:t>
      </w:r>
      <m:oMath>
        <m:r>
          <m:t>0</m:t>
        </m:r>
        <m:r>
          <m:rPr>
            <m:sty m:val="p"/>
          </m:rPr>
          <m:t>/</m:t>
        </m:r>
        <m:r>
          <m:t>8</m:t>
        </m:r>
      </m:oMath>
      <w:r>
        <w:t xml:space="preserve"> </w:t>
      </w:r>
      <w:r>
        <w:t xml:space="preserve">Holm-corrected interactions). The flagship</w:t>
      </w:r>
      <w:r>
        <w:t xml:space="preserve"> </w:t>
      </w:r>
      <w:r>
        <w:t xml:space="preserve">particle-size</w:t>
      </w:r>
      <w:r>
        <w:t xml:space="preserve"> </w:t>
      </w:r>
      <w:r>
        <w:t xml:space="preserve">“contradiction”</w:t>
      </w:r>
      <w:r>
        <w:t xml:space="preserve"> </w:t>
      </w:r>
      <w:r>
        <w:t xml:space="preserve">dissolves: within every study that reports particle size</w:t>
      </w:r>
      <w:r>
        <w:t xml:space="preserve"> </w:t>
      </w:r>
      <w:r>
        <w:t xml:space="preserve">as a variable (</w:t>
      </w:r>
      <m:oMath>
        <m:r>
          <m:t>n</m:t>
        </m:r>
        <m:r>
          <m:t>​</m:t>
        </m:r>
        <m:r>
          <m:rPr>
            <m:sty m:val="p"/>
          </m:rPr>
          <m:t>=</m:t>
        </m:r>
        <m:r>
          <m:t>​</m:t>
        </m:r>
        <m:r>
          <m:t>5</m:t>
        </m:r>
      </m:oMath>
      <w:r>
        <w:t xml:space="preserve"> </w:t>
      </w:r>
      <w:r>
        <w:t xml:space="preserve">of</w:t>
      </w:r>
      <w:r>
        <w:t xml:space="preserve"> </w:t>
      </w:r>
      <m:oMath>
        <m:r>
          <m:t>31</m:t>
        </m:r>
      </m:oMath>
      <w:r>
        <w:t xml:space="preserve">;</w:t>
      </w:r>
      <w:r>
        <w:t xml:space="preserve"> </w:t>
      </w:r>
      <m:oMath>
        <m:r>
          <m:t>59</m:t>
        </m:r>
        <m:r>
          <m:rPr>
            <m:sty m:val="p"/>
          </m:rPr>
          <m:t>/</m:t>
        </m:r>
        <m:r>
          <m:t>315</m:t>
        </m:r>
      </m:oMath>
      <w:r>
        <w:t xml:space="preserve"> </w:t>
      </w:r>
      <w:r>
        <w:t xml:space="preserve">rows), the within-study effect is consistently</w:t>
      </w:r>
      <w:r>
        <w:t xml:space="preserve"> </w:t>
      </w:r>
      <w:r>
        <w:t xml:space="preserve">negative, identifying the cross-study</w:t>
      </w:r>
      <w:r>
        <w:t xml:space="preserve"> </w:t>
      </w:r>
      <w:r>
        <w:t xml:space="preserve">apparent flip as an integration artifact. We release the curated dataset, the reproducible</w:t>
      </w:r>
      <w:r>
        <w:t xml:space="preserve"> </w:t>
      </w:r>
      <w:r>
        <w:t xml:space="preserve">analysis pipeline, and a proposed minimum-information reporting checklist to make future</w:t>
      </w:r>
      <w:r>
        <w:t xml:space="preserve"> </w:t>
      </w:r>
      <w:r>
        <w:t xml:space="preserve">experiments poolable across laboratories. The framework generalizes to energy-domain machine-learning applications with</w:t>
      </w:r>
      <w:r>
        <w:t xml:space="preserve"> </w:t>
      </w:r>
      <w:r>
        <w:t xml:space="preserve">group structure in training and test records, such as laboratory or protocol identity.</w:t>
      </w:r>
    </w:p>
    <w:p>
      <w:pPr>
        <w:pStyle w:val="FirstParagraph"/>
      </w:pPr>
      <w:r>
        <w:t xml:space="preserve">aluminum–water hydrolysis ,hydrogen production ,machine learning ,</w:t>
      </w:r>
      <w:r>
        <w:t xml:space="preserve"> </w:t>
      </w:r>
      <w:r>
        <w:t xml:space="preserve">data leakage ,meta-analysis ,reproducibility</w:t>
      </w:r>
    </w:p>
    <w:bookmarkStart w:id="9" w:name="highlights"/>
    <w:p>
      <w:pPr>
        <w:pStyle w:val="Heading1"/>
      </w:pPr>
      <w:r>
        <w:t xml:space="preserve">Highlights</w:t>
      </w:r>
    </w:p>
    <w:p>
      <w:pPr>
        <w:numPr>
          <w:ilvl w:val="0"/>
          <w:numId w:val="1001"/>
        </w:numPr>
      </w:pPr>
      <w:r>
        <w:t xml:space="preserve">Leakage-controlled ML evaluation:</w:t>
      </w:r>
      <w:r>
        <w:t xml:space="preserve"> </w:t>
      </w:r>
      <m:oMath>
        <m:sSup>
          <m:e>
            <m:r>
              <m:t>R</m:t>
            </m:r>
          </m:e>
          <m:sup>
            <m:r>
              <m:t>2</m:t>
            </m:r>
          </m:sup>
        </m:sSup>
        <m:r>
          <m:t>​</m:t>
        </m:r>
        <m:r>
          <m:rPr>
            <m:sty m:val="p"/>
          </m:rPr>
          <m:t>≈</m:t>
        </m:r>
        <m:r>
          <m:t>​</m:t>
        </m:r>
        <m:r>
          <m:t>0.55</m:t>
        </m:r>
      </m:oMath>
      <w:r>
        <w:t xml:space="preserve"> </w:t>
      </w:r>
      <w:r>
        <w:t xml:space="preserve">(random);</w:t>
      </w:r>
      <w:r>
        <w:t xml:space="preserve"> </w:t>
      </w:r>
      <m:oMath>
        <m:sSup>
          <m:e>
            <m:r>
              <m:t>R</m:t>
            </m:r>
          </m:e>
          <m:sup>
            <m:r>
              <m:t>2</m:t>
            </m:r>
          </m:sup>
        </m:sSup>
        <m:r>
          <m:t>​</m:t>
        </m:r>
        <m:r>
          <m:rPr>
            <m:sty m:val="p"/>
          </m:rPr>
          <m:t>&lt;</m:t>
        </m:r>
        <m:r>
          <m:t>​</m:t>
        </m:r>
        <m:r>
          <m:t>0</m:t>
        </m:r>
      </m:oMath>
      <w:r>
        <w:t xml:space="preserve"> </w:t>
      </w:r>
      <w:r>
        <w:t xml:space="preserve">(grouped); gap 0.62–0.85.</w:t>
      </w:r>
    </w:p>
    <w:p>
      <w:pPr>
        <w:numPr>
          <w:ilvl w:val="0"/>
          <w:numId w:val="1001"/>
        </w:numPr>
      </w:pPr>
      <w:r>
        <w:t xml:space="preserve">Open dataset: 315 yield rows + 76 kinetic rows from 31 studies, CC-BY.</w:t>
      </w:r>
    </w:p>
    <w:p>
      <w:pPr>
        <w:numPr>
          <w:ilvl w:val="0"/>
          <w:numId w:val="1001"/>
        </w:numPr>
      </w:pPr>
      <w:r>
        <w:t xml:space="preserve">Methodology explains</w:t>
      </w:r>
      <w:r>
        <w:t xml:space="preserve"> </w:t>
      </w:r>
      <m:oMath>
        <m:r>
          <m:rPr>
            <m:sty m:val="p"/>
          </m:rPr>
          <m:t>≈</m:t>
        </m:r>
      </m:oMath>
      <w:r>
        <w:t xml:space="preserve">72% of between-study yield variance vs</w:t>
      </w:r>
      <w:r>
        <w:t xml:space="preserve"> </w:t>
      </w:r>
      <m:oMath>
        <m:r>
          <m:rPr>
            <m:sty m:val="p"/>
          </m:rPr>
          <m:t>≈</m:t>
        </m:r>
      </m:oMath>
      <w:r>
        <w:t xml:space="preserve">2% for regime.</w:t>
      </w:r>
    </w:p>
    <w:p>
      <w:pPr>
        <w:numPr>
          <w:ilvl w:val="0"/>
          <w:numId w:val="1001"/>
        </w:numPr>
      </w:pPr>
      <w:r>
        <w:t xml:space="preserve">Hydrogen measurement apparatus is the single largest variance source (</w:t>
      </w:r>
      <m:oMath>
        <m:r>
          <m:rPr>
            <m:sty m:val="p"/>
          </m:rPr>
          <m:t>≈</m:t>
        </m:r>
      </m:oMath>
      <w:r>
        <w:t xml:space="preserve">43%); temperature control</w:t>
      </w:r>
      <w:r>
        <w:t xml:space="preserve"> </w:t>
      </w:r>
      <m:oMath>
        <m:r>
          <m:rPr>
            <m:sty m:val="p"/>
          </m:rPr>
          <m:t>≈</m:t>
        </m:r>
      </m:oMath>
      <w:r>
        <w:t xml:space="preserve">8%.</w:t>
      </w:r>
    </w:p>
    <w:p>
      <w:pPr>
        <w:numPr>
          <w:ilvl w:val="0"/>
          <w:numId w:val="1001"/>
        </w:numPr>
      </w:pPr>
      <w:r>
        <w:t xml:space="preserve">Particle-size</w:t>
      </w:r>
      <w:r>
        <w:t xml:space="preserve"> </w:t>
      </w:r>
      <w:r>
        <w:t xml:space="preserve">“contradiction”</w:t>
      </w:r>
      <w:r>
        <w:t xml:space="preserve"> </w:t>
      </w:r>
      <w:r>
        <w:t xml:space="preserve">is an integration artifact: 5/5 within-study effects negative.</w:t>
      </w:r>
    </w:p>
    <w:bookmarkEnd w:id="9"/>
    <w:bookmarkStart w:id="11" w:name="introduction"/>
    <w:p>
      <w:pPr>
        <w:pStyle w:val="Heading1"/>
      </w:pPr>
      <w:r>
        <w:t xml:space="preserve">Introduction</w:t>
      </w:r>
    </w:p>
    <w:p>
      <w:pPr>
        <w:pStyle w:val="FirstParagraph"/>
      </w:pPr>
      <w:r>
        <w:t xml:space="preserve">The reaction of aluminum with water,</w:t>
      </w:r>
      <w:r>
        <w:t xml:space="preserve"> </w:t>
      </w:r>
      <m:oMath>
        <m:r>
          <m:t>2</m:t>
        </m:r>
        <m:r>
          <m:t> </m:t>
        </m:r>
        <m:r>
          <m:rPr>
            <m:sty m:val="p"/>
          </m:rPr>
          <m:t>A</m:t>
        </m:r>
        <m:r>
          <m:rPr>
            <m:sty m:val="p"/>
          </m:rPr>
          <m:t>l</m:t>
        </m:r>
        <m:r>
          <m:rPr>
            <m:sty m:val="p"/>
          </m:rPr>
          <m:t>+</m:t>
        </m:r>
        <m:r>
          <m:t>3</m:t>
        </m:r>
        <m:r>
          <m:t> </m:t>
        </m:r>
        <m:sSub>
          <m:e>
            <m:r>
              <m:rPr>
                <m:sty m:val="p"/>
              </m:rPr>
              <m:t>H</m:t>
            </m:r>
          </m:e>
          <m:sub>
            <m:r>
              <m:rPr>
                <m:sty m:val="p"/>
              </m:rPr>
              <m:t>2</m:t>
            </m:r>
          </m:sub>
        </m:sSub>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3</m:t>
        </m:r>
        <m:r>
          <m:t> </m:t>
        </m:r>
        <m:sSub>
          <m:e>
            <m:r>
              <m:rPr>
                <m:sty m:val="p"/>
              </m:rPr>
              <m:t>H</m:t>
            </m:r>
          </m:e>
          <m:sub>
            <m:r>
              <m:rPr>
                <m:sty m:val="p"/>
              </m:rPr>
              <m:t>2</m:t>
            </m:r>
          </m:sub>
        </m:sSub>
      </m:oMath>
      <w:r>
        <w:t xml:space="preserve"> </w:t>
      </w:r>
      <w:r>
        <w:t xml:space="preserve">(or via hydroxides), is an attractive route to hydrogen on demand: it is triggered by</w:t>
      </w:r>
      <w:r>
        <w:t xml:space="preserve"> </w:t>
      </w:r>
      <w:r>
        <w:t xml:space="preserve">water alone, stores energy at high density, and needs no high-pressure H</w:t>
      </w:r>
      <m:oMath>
        <m:sSub>
          <m:e>
            <m:r>
              <m:t>​</m:t>
            </m:r>
          </m:e>
          <m:sub>
            <m:r>
              <m:t>2</m:t>
            </m:r>
          </m:sub>
        </m:sSub>
      </m:oMath>
      <w:r>
        <w:t xml:space="preserve"> </w:t>
      </w:r>
      <w:r>
        <w:t xml:space="preserve">infrastructure. Two decades of experiments have mapped how temperature, alkalinity,</w:t>
      </w:r>
      <w:r>
        <w:t xml:space="preserve"> </w:t>
      </w:r>
      <w:r>
        <w:t xml:space="preserve">particle size, alloying or activation method, and water chemistry control the yield and</w:t>
      </w:r>
      <w:r>
        <w:t xml:space="preserve"> </w:t>
      </w:r>
      <w:r>
        <w:t xml:space="preserve">rate. Yet the resulting literature is internally contradictory. Reported apparent</w:t>
      </w:r>
      <w:r>
        <w:t xml:space="preserve"> </w:t>
      </w:r>
      <w:r>
        <w:t xml:space="preserve">activation energies span</w:t>
      </w:r>
      <w:r>
        <w:t xml:space="preserve"> </w:t>
      </w:r>
      <m:oMath>
        <m:r>
          <m:t>3.5</m:t>
        </m:r>
      </m:oMath>
      <w:r>
        <w:t xml:space="preserve">–</w:t>
      </w:r>
      <m:oMath>
        <m:r>
          <m:t>102.6</m:t>
        </m:r>
      </m:oMath>
      <w:r>
        <w:t xml:space="preserve"> kJ mol</w:t>
      </w:r>
      <m:oMath>
        <m:sSup>
          <m:e>
            <m:r>
              <m:t>​</m:t>
            </m:r>
          </m:e>
          <m:sup>
            <m:r>
              <m:rPr>
                <m:sty m:val="p"/>
              </m:rPr>
              <m:t>−</m:t>
            </m:r>
            <m:r>
              <m:t>1</m:t>
            </m:r>
          </m:sup>
        </m:sSup>
      </m:oMath>
      <w:r>
        <w:t xml:space="preserve">; within the single</w:t>
      </w:r>
      <w:r>
        <w:t xml:space="preserve"> </w:t>
      </w:r>
      <w:r>
        <w:t xml:space="preserve">liquid-metal-activated regime this spread is still</w:t>
      </w:r>
      <w:r>
        <w:t xml:space="preserve"> </w:t>
      </w:r>
      <m:oMath>
        <m:r>
          <m:t>8.5</m:t>
        </m:r>
      </m:oMath>
      <w:r>
        <w:t xml:space="preserve">–</w:t>
      </w:r>
      <m:oMath>
        <m:r>
          <m:t>58.0</m:t>
        </m:r>
      </m:oMath>
      <w:r>
        <w:t xml:space="preserve"> kJ mol</w:t>
      </w:r>
      <m:oMath>
        <m:sSup>
          <m:e>
            <m:r>
              <m:t>​</m:t>
            </m:r>
          </m:e>
          <m:sup>
            <m:r>
              <m:rPr>
                <m:sty m:val="p"/>
              </m:rPr>
              <m:t>−</m:t>
            </m:r>
            <m:r>
              <m:t>1</m:t>
            </m:r>
          </m:sup>
        </m:sSup>
      </m:oMath>
      <w:r>
        <w:t xml:space="preserve"> </w:t>
      </w:r>
      <w:r>
        <w:t xml:space="preserve">[1,2]</w:t>
      </w:r>
      <w:r>
        <w:t xml:space="preserve">. This range is too large to be explained by</w:t>
      </w:r>
      <w:r>
        <w:t xml:space="preserve"> </w:t>
      </w:r>
      <w:r>
        <w:t xml:space="preserve">measurement noise alone and, if genuine, would imply fundamentally different rate-limiting</w:t>
      </w:r>
      <w:r>
        <w:t xml:space="preserve"> </w:t>
      </w:r>
      <w:r>
        <w:t xml:space="preserve">mechanisms even within nominally identical systems. The direction of the particle-size effect changes</w:t>
      </w:r>
      <w:r>
        <w:t xml:space="preserve"> </w:t>
      </w:r>
      <w:r>
        <w:t xml:space="preserve">sign when studies are compared across the literature, yet within every study that varies</w:t>
      </w:r>
      <w:r>
        <w:t xml:space="preserve"> </w:t>
      </w:r>
      <w:r>
        <w:t xml:space="preserve">particle size the effect is consistently negative</w:t>
      </w:r>
      <w:r>
        <w:t xml:space="preserve"> </w:t>
      </w:r>
      <w:r>
        <w:t xml:space="preserve">[3–6]</w:t>
      </w:r>
      <w:r>
        <w:t xml:space="preserve">. The rate–yield trade-off</w:t>
      </w:r>
      <w:r>
        <w:t xml:space="preserve"> </w:t>
      </w:r>
      <w:r>
        <w:t xml:space="preserve">is inconsistent; and studies disagree on which parameter dominates. These contradictions</w:t>
      </w:r>
      <w:r>
        <w:t xml:space="preserve"> </w:t>
      </w:r>
      <w:r>
        <w:t xml:space="preserve">are usually attributed, in passing, to</w:t>
      </w:r>
      <w:r>
        <w:t xml:space="preserve"> </w:t>
      </w:r>
      <w:r>
        <w:t xml:space="preserve">“different conditions,”</w:t>
      </w:r>
      <w:r>
        <w:t xml:space="preserve"> </w:t>
      </w:r>
      <w:r>
        <w:t xml:space="preserve">but the attribution has</w:t>
      </w:r>
      <w:r>
        <w:t xml:space="preserve"> </w:t>
      </w:r>
      <w:r>
        <w:t xml:space="preserve">never been tested quantitatively.</w:t>
      </w:r>
    </w:p>
    <w:p>
      <w:pPr>
        <w:pStyle w:val="BodyText"/>
      </w:pPr>
      <w:r>
        <w:t xml:space="preserve">This is the unresolved question we address:</w:t>
      </w:r>
      <w:r>
        <w:t xml:space="preserve"> </w:t>
      </w:r>
      <w:r>
        <w:rPr>
          <w:i/>
          <w:iCs/>
        </w:rPr>
        <w:t xml:space="preserve">are the apparent inter-study</w:t>
      </w:r>
      <w:r>
        <w:rPr>
          <w:i/>
          <w:iCs/>
        </w:rPr>
        <w:t xml:space="preserve"> </w:t>
      </w:r>
      <w:r>
        <w:rPr>
          <w:i/>
          <w:iCs/>
        </w:rPr>
        <w:t xml:space="preserve">contradictions genuine physico-chemical regime differences, or artifacts of isolated,</w:t>
      </w:r>
      <w:r>
        <w:rPr>
          <w:i/>
          <w:iCs/>
        </w:rPr>
        <w:t xml:space="preserve"> </w:t>
      </w:r>
      <w:r>
        <w:rPr>
          <w:i/>
          <w:iCs/>
        </w:rPr>
        <w:t xml:space="preserve">non-standardized experimental conditions (e.g., temperature-control method, measurement</w:t>
      </w:r>
      <w:r>
        <w:rPr>
          <w:i/>
          <w:iCs/>
        </w:rPr>
        <w:t xml:space="preserve"> </w:t>
      </w:r>
      <w:r>
        <w:rPr>
          <w:i/>
          <w:iCs/>
        </w:rPr>
        <w:t xml:space="preserve">protocol, water type)?</w:t>
      </w:r>
      <w:r>
        <w:t xml:space="preserve"> </w:t>
      </w:r>
      <w:r>
        <w:t xml:space="preserve">The distinction matters because it determines</w:t>
      </w:r>
      <w:r>
        <w:t xml:space="preserve"> </w:t>
      </w:r>
      <w:r>
        <w:t xml:space="preserve">whether the literature can be pooled to build predictive design models. Prior</w:t>
      </w:r>
      <w:r>
        <w:t xml:space="preserve"> </w:t>
      </w:r>
      <w:r>
        <w:t xml:space="preserve">machine-learning work on aluminum–water hydrolysis is, to our knowledge, limited to a</w:t>
      </w:r>
      <w:r>
        <w:t xml:space="preserve"> </w:t>
      </w:r>
      <w:r>
        <w:t xml:space="preserve">single-study, in-sample neural network reporting near-perfect prediction</w:t>
      </w:r>
      <w:r>
        <w:t xml:space="preserve"> </w:t>
      </w:r>
      <w:r>
        <w:t xml:space="preserve">[7]</w:t>
      </w:r>
      <w:r>
        <w:t xml:space="preserve">. Such a near-perfect in-sample fit is exactly the generalization</w:t>
      </w:r>
      <w:r>
        <w:t xml:space="preserve"> </w:t>
      </w:r>
      <w:r>
        <w:t xml:space="preserve">illusion that a cross-study analysis must guard against: a model that interpolates one</w:t>
      </w:r>
      <w:r>
        <w:t xml:space="preserve"> </w:t>
      </w:r>
      <w:r>
        <w:t xml:space="preserve">laboratory’s parameter grid says nothing about whether the literature agrees.</w:t>
      </w:r>
    </w:p>
    <w:p>
      <w:pPr>
        <w:pStyle w:val="BodyText"/>
      </w:pPr>
      <w:r>
        <w:t xml:space="preserve">We take the opposite stance. We unify the scattered literature into a single</w:t>
      </w:r>
      <w:r>
        <w:t xml:space="preserve"> </w:t>
      </w:r>
      <w:r>
        <w:t xml:space="preserve">provenance-tracked dataset, apply leakage-controlled evaluation to test how far one study</w:t>
      </w:r>
      <w:r>
        <w:t xml:space="preserve"> </w:t>
      </w:r>
      <w:r>
        <w:t xml:space="preserve">transfers to another, and use between-study variance decomposition to identify</w:t>
      </w:r>
      <w:r>
        <w:t xml:space="preserve"> </w:t>
      </w:r>
      <w:r>
        <w:rPr>
          <w:i/>
          <w:iCs/>
        </w:rPr>
        <w:t xml:space="preserve">what</w:t>
      </w:r>
      <w:r>
        <w:t xml:space="preserve"> </w:t>
      </w:r>
      <w:r>
        <w:t xml:space="preserve">accounts for the differences when transfer fails. We pre-registered the</w:t>
      </w:r>
      <w:r>
        <w:t xml:space="preserve"> </w:t>
      </w:r>
      <w:r>
        <w:t xml:space="preserve">analyses and their success criteria before any analysis code was executed and report nulls as</w:t>
      </w:r>
      <w:r>
        <w:t xml:space="preserve"> </w:t>
      </w:r>
      <w:r>
        <w:t xml:space="preserve">“no</w:t>
      </w:r>
      <w:r>
        <w:t xml:space="preserve"> </w:t>
      </w:r>
      <w:r>
        <w:t xml:space="preserve">detectable effect at this sample size”</w:t>
      </w:r>
      <w:r>
        <w:t xml:space="preserve"> </w:t>
      </w:r>
      <w:r>
        <w:t xml:space="preserve">rather than as evidence of absence.</w:t>
      </w:r>
    </w:p>
    <w:bookmarkStart w:id="10" w:name="contributions."/>
    <w:p>
      <w:pPr>
        <w:pStyle w:val="Heading4"/>
      </w:pPr>
      <w:r>
        <w:t xml:space="preserve">Contributions.</w:t>
      </w:r>
    </w:p>
    <w:p>
      <w:pPr>
        <w:numPr>
          <w:ilvl w:val="0"/>
          <w:numId w:val="1002"/>
        </w:numPr>
      </w:pPr>
      <w:r>
        <w:t xml:space="preserve">A curated, provenance-tracked, quality-tiered</w:t>
      </w:r>
      <w:r>
        <w:t xml:space="preserve"> </w:t>
      </w:r>
      <w:r>
        <w:rPr>
          <w:b/>
          <w:bCs/>
        </w:rPr>
        <w:t xml:space="preserve">open dataset</w:t>
      </w:r>
      <w:r>
        <w:t xml:space="preserve"> </w:t>
      </w:r>
      <w:r>
        <w:t xml:space="preserve">of 315</w:t>
      </w:r>
      <w:r>
        <w:t xml:space="preserve"> </w:t>
      </w:r>
      <w:r>
        <w:t xml:space="preserve">condition-level hydrogen-yield rows from 31 independent studies, with a separate</w:t>
      </w:r>
      <w:r>
        <w:t xml:space="preserve"> </w:t>
      </w:r>
      <w:r>
        <w:t xml:space="preserve">76-row kinetic table (activation energies and rates), to be released under CC-BY upon publication; this</w:t>
      </w:r>
      <w:r>
        <w:t xml:space="preserve"> </w:t>
      </w:r>
      <w:r>
        <w:t xml:space="preserve">dataset serves as a reproducible</w:t>
      </w:r>
      <w:r>
        <w:t xml:space="preserve"> </w:t>
      </w:r>
      <w:r>
        <w:rPr>
          <w:b/>
          <w:bCs/>
        </w:rPr>
        <w:t xml:space="preserve">ML benchmark</w:t>
      </w:r>
      <w:r>
        <w:t xml:space="preserve"> </w:t>
      </w:r>
      <w:r>
        <w:t xml:space="preserve">for cross-study generalization</w:t>
      </w:r>
      <w:r>
        <w:t xml:space="preserve"> </w:t>
      </w:r>
      <w:r>
        <w:t xml:space="preserve">in aluminum–water hydrolysis.</w:t>
      </w:r>
    </w:p>
    <w:p>
      <w:pPr>
        <w:numPr>
          <w:ilvl w:val="0"/>
          <w:numId w:val="1002"/>
        </w:numPr>
      </w:pPr>
      <w:r>
        <w:t xml:space="preserve">A</w:t>
      </w:r>
      <w:r>
        <w:t xml:space="preserve"> </w:t>
      </w:r>
      <w:r>
        <w:rPr>
          <w:b/>
          <w:bCs/>
        </w:rPr>
        <w:t xml:space="preserve">leakage-controlled evaluation</w:t>
      </w:r>
      <w:r>
        <w:t xml:space="preserve"> </w:t>
      </w:r>
      <w:r>
        <w:t xml:space="preserve">showing that random-split predictability</w:t>
      </w:r>
      <w:r>
        <w:t xml:space="preserve"> </w:t>
      </w:r>
      <w:r>
        <w:t xml:space="preserve">(</w:t>
      </w:r>
      <m:oMath>
        <m:sSup>
          <m:e>
            <m:r>
              <m:t>R</m:t>
            </m:r>
          </m:e>
          <m:sup>
            <m:r>
              <m:t>2</m:t>
            </m:r>
          </m:sup>
        </m:sSup>
        <m:r>
          <m:t>​</m:t>
        </m:r>
        <m:r>
          <m:rPr>
            <m:sty m:val="p"/>
          </m:rPr>
          <m:t>≈</m:t>
        </m:r>
        <m:r>
          <m:t>​</m:t>
        </m:r>
        <m:r>
          <m:t>0.55</m:t>
        </m:r>
      </m:oMath>
      <w:r>
        <w:t xml:space="preserve">) collapses under study-grouped cross-validation (</w:t>
      </w:r>
      <m:oMath>
        <m:sSup>
          <m:e>
            <m:r>
              <m:t>R</m:t>
            </m:r>
          </m:e>
          <m:sup>
            <m:r>
              <m:t>2</m:t>
            </m:r>
          </m:sup>
        </m:sSup>
        <m:r>
          <m:rPr>
            <m:sty m:val="p"/>
          </m:rPr>
          <m:t>&lt;</m:t>
        </m:r>
        <m:r>
          <m:t>0</m:t>
        </m:r>
      </m:oMath>
      <w:r>
        <w:t xml:space="preserve">; optimism</w:t>
      </w:r>
      <w:r>
        <w:t xml:space="preserve"> </w:t>
      </w:r>
      <w:r>
        <w:t xml:space="preserve">gap</w:t>
      </w:r>
      <w:r>
        <w:t xml:space="preserve"> </w:t>
      </w:r>
      <m:oMath>
        <m:r>
          <m:t>0.62</m:t>
        </m:r>
      </m:oMath>
      <w:r>
        <w:t xml:space="preserve">–</w:t>
      </w:r>
      <m:oMath>
        <m:r>
          <m:t>0.85</m:t>
        </m:r>
      </m:oMath>
      <w:r>
        <w:t xml:space="preserve">): the literature does not pool naively. A</w:t>
      </w:r>
      <w:r>
        <w:t xml:space="preserve"> </w:t>
      </w:r>
      <w:r>
        <w:rPr>
          <w:b/>
          <w:bCs/>
        </w:rPr>
        <w:t xml:space="preserve">negative-control</w:t>
      </w:r>
      <w:r>
        <w:rPr>
          <w:b/>
          <w:bCs/>
        </w:rPr>
        <w:t xml:space="preserve"> </w:t>
      </w:r>
      <w:r>
        <w:rPr>
          <w:b/>
          <w:bCs/>
        </w:rPr>
        <w:t xml:space="preserve">robustness check</w:t>
      </w:r>
      <w:r>
        <w:t xml:space="preserve"> </w:t>
      </w:r>
      <w:r>
        <w:t xml:space="preserve">confirms that the apparent within-class signal is porciuncula-weighted</w:t>
      </w:r>
      <w:r>
        <w:t xml:space="preserve"> </w:t>
      </w:r>
      <w:r>
        <w:t xml:space="preserve">(row-weighted LOSO</w:t>
      </w:r>
      <w:r>
        <w:t xml:space="preserve"> </w:t>
      </w:r>
      <m:oMath>
        <m:r>
          <m:rPr>
            <m:sty m:val="p"/>
          </m:rPr>
          <m:t>+</m:t>
        </m:r>
        <m:r>
          <m:t>0.83</m:t>
        </m:r>
      </m:oMath>
      <w:r>
        <w:t xml:space="preserve">) and not a genuine per-study replication signal (study-macro</w:t>
      </w:r>
      <w:r>
        <w:t xml:space="preserve"> </w:t>
      </w:r>
      <w:r>
        <w:t xml:space="preserve">LOSO</w:t>
      </w:r>
      <w:r>
        <w:t xml:space="preserve"> </w:t>
      </w:r>
      <m:oMath>
        <m:r>
          <m:rPr>
            <m:sty m:val="p"/>
          </m:rPr>
          <m:t>−</m:t>
        </m:r>
        <m:r>
          <m:t>0.31</m:t>
        </m:r>
      </m:oMath>
      <w:r>
        <w:t xml:space="preserve">).</w:t>
      </w:r>
    </w:p>
    <w:p>
      <w:pPr>
        <w:numPr>
          <w:ilvl w:val="0"/>
          <w:numId w:val="1002"/>
        </w:numPr>
      </w:pPr>
      <w:r>
        <w:t xml:space="preserve">The primary quantitative finding: a study-level variance decomposition in which</w:t>
      </w:r>
      <w:r>
        <w:t xml:space="preserve"> </w:t>
      </w:r>
      <w:r>
        <w:rPr>
          <w:b/>
          <w:bCs/>
        </w:rPr>
        <w:t xml:space="preserve">methodological covariates explain</w:t>
      </w:r>
      <w:r>
        <w:rPr>
          <w:b/>
          <w:bCs/>
        </w:rPr>
        <w:t xml:space="preserve"> </w:t>
      </w:r>
      <m:oMath>
        <m:r>
          <m:rPr>
            <m:sty m:val="p"/>
          </m:rPr>
          <m:t>≈</m:t>
        </m:r>
        <m:r>
          <m:t>​</m:t>
        </m:r>
        <m:r>
          <m:t>72</m:t>
        </m:r>
        <m:r>
          <m:rPr>
            <m:sty m:val="p"/>
          </m:rPr>
          <m:t>%</m:t>
        </m:r>
      </m:oMath>
      <w:r>
        <w:rPr>
          <w:b/>
          <w:bCs/>
        </w:rPr>
        <w:t xml:space="preserve"> </w:t>
      </w:r>
      <w:r>
        <w:rPr>
          <w:b/>
          <w:bCs/>
        </w:rPr>
        <w:t xml:space="preserve">of the between-study yield</w:t>
      </w:r>
      <w:r>
        <w:rPr>
          <w:b/>
          <w:bCs/>
        </w:rPr>
        <w:t xml:space="preserve"> </w:t>
      </w:r>
      <w:r>
        <w:rPr>
          <w:b/>
          <w:bCs/>
        </w:rPr>
        <w:t xml:space="preserve">variance versus</w:t>
      </w:r>
      <w:r>
        <w:rPr>
          <w:b/>
          <w:bCs/>
        </w:rPr>
        <w:t xml:space="preserve"> </w:t>
      </w:r>
      <m:oMath>
        <m:r>
          <m:rPr>
            <m:sty m:val="p"/>
          </m:rPr>
          <m:t>≈</m:t>
        </m:r>
        <m:r>
          <m:t>​</m:t>
        </m:r>
        <m:r>
          <m:t>2</m:t>
        </m:r>
        <m:r>
          <m:rPr>
            <m:sty m:val="p"/>
          </m:rPr>
          <m:t>%</m:t>
        </m:r>
      </m:oMath>
      <w:r>
        <w:rPr>
          <w:b/>
          <w:bCs/>
        </w:rPr>
        <w:t xml:space="preserve"> </w:t>
      </w:r>
      <w:r>
        <w:rPr>
          <w:b/>
          <w:bCs/>
        </w:rPr>
        <w:t xml:space="preserve">for the physico-chemical regime</w:t>
      </w:r>
      <w:r>
        <w:t xml:space="preserve">, with the</w:t>
      </w:r>
      <w:r>
        <w:t xml:space="preserve"> </w:t>
      </w:r>
      <w:r>
        <w:t xml:space="preserve">hydrogen measurement apparatus the largest single source (</w:t>
      </w:r>
      <m:oMath>
        <m:r>
          <m:rPr>
            <m:sty m:val="p"/>
          </m:rPr>
          <m:t>≈</m:t>
        </m:r>
        <m:r>
          <m:t>​</m:t>
        </m:r>
        <m:r>
          <m:t>43</m:t>
        </m:r>
        <m:r>
          <m:rPr>
            <m:sty m:val="p"/>
          </m:rPr>
          <m:t>%</m:t>
        </m:r>
      </m:oMath>
      <w:r>
        <w:t xml:space="preserve">) and</w:t>
      </w:r>
      <w:r>
        <w:t xml:space="preserve"> </w:t>
      </w:r>
      <w:r>
        <w:t xml:space="preserve">temperature-control method explaining</w:t>
      </w:r>
      <w:r>
        <w:t xml:space="preserve"> </w:t>
      </w:r>
      <m:oMath>
        <m:r>
          <m:rPr>
            <m:sty m:val="p"/>
          </m:rPr>
          <m:t>≈</m:t>
        </m:r>
        <m:r>
          <m:t>​</m:t>
        </m:r>
        <m:r>
          <m:t>8</m:t>
        </m:r>
        <m:r>
          <m:rPr>
            <m:sty m:val="p"/>
          </m:rPr>
          <m:t>%</m:t>
        </m:r>
      </m:oMath>
      <w:r>
        <w:t xml:space="preserve">; the effect survives controlling for</w:t>
      </w:r>
      <w:r>
        <w:t xml:space="preserve"> </w:t>
      </w:r>
      <w:r>
        <w:t xml:space="preserve">regime (incremental</w:t>
      </w:r>
      <w:r>
        <w:t xml:space="preserve"> </w:t>
      </w:r>
      <m:oMath>
        <m:sSup>
          <m:e>
            <m:r>
              <m:t>R</m:t>
            </m:r>
          </m:e>
          <m:sup>
            <m:r>
              <m:t>2</m:t>
            </m:r>
          </m:sup>
        </m:sSup>
        <m:r>
          <m:t>​</m:t>
        </m:r>
        <m:r>
          <m:rPr>
            <m:sty m:val="p"/>
          </m:rPr>
          <m:t>=</m:t>
        </m:r>
        <m:r>
          <m:t>​</m:t>
        </m:r>
        <m:r>
          <m:rPr>
            <m:sty m:val="p"/>
          </m:rPr>
          <m:t>+</m:t>
        </m:r>
        <m:r>
          <m:t>0.70</m:t>
        </m:r>
      </m:oMath>
      <w:r>
        <w:t xml:space="preserve">, bootstrap CI excludes 0).</w:t>
      </w:r>
    </w:p>
    <w:p>
      <w:pPr>
        <w:numPr>
          <w:ilvl w:val="0"/>
          <w:numId w:val="1002"/>
        </w:numPr>
      </w:pPr>
      <w:r>
        <w:t xml:space="preserve">Resolution of the</w:t>
      </w:r>
      <w:r>
        <w:t xml:space="preserve"> </w:t>
      </w:r>
      <w:r>
        <w:rPr>
          <w:b/>
          <w:bCs/>
        </w:rPr>
        <w:t xml:space="preserve">flagship particle-size contradiction</w:t>
      </w:r>
      <w:r>
        <w:t xml:space="preserve"> </w:t>
      </w:r>
      <w:r>
        <w:t xml:space="preserve">as a cross-study</w:t>
      </w:r>
      <w:r>
        <w:t xml:space="preserve"> </w:t>
      </w:r>
      <w:r>
        <w:t xml:space="preserve">integration artifact: within-study effects are consistently negative in all</w:t>
      </w:r>
      <w:r>
        <w:t xml:space="preserve"> </w:t>
      </w:r>
      <m:oMath>
        <m:r>
          <m:t>5</m:t>
        </m:r>
        <m:r>
          <m:rPr>
            <m:sty m:val="p"/>
          </m:rPr>
          <m:t>/</m:t>
        </m:r>
        <m:r>
          <m:t>5</m:t>
        </m:r>
      </m:oMath>
      <w:r>
        <w:t xml:space="preserve"> </w:t>
      </w:r>
      <w:r>
        <w:t xml:space="preserve">studies that vary particle size (</w:t>
      </w:r>
      <m:oMath>
        <m:r>
          <m:t>ρ</m:t>
        </m:r>
        <m:r>
          <m:t>​</m:t>
        </m:r>
        <m:r>
          <m:rPr>
            <m:sty m:val="p"/>
          </m:rPr>
          <m:t>=</m:t>
        </m:r>
        <m:r>
          <m:t>​</m:t>
        </m:r>
        <m:r>
          <m:rPr>
            <m:sty m:val="p"/>
          </m:rPr>
          <m:t>−</m:t>
        </m:r>
        <m:r>
          <m:t>0.29</m:t>
        </m:r>
      </m:oMath>
      <w:r>
        <w:t xml:space="preserve"> </w:t>
      </w:r>
      <w:r>
        <w:t xml:space="preserve">to</w:t>
      </w:r>
      <w:r>
        <w:t xml:space="preserve"> </w:t>
      </w:r>
      <m:oMath>
        <m:r>
          <m:rPr>
            <m:sty m:val="p"/>
          </m:rPr>
          <m:t>−</m:t>
        </m:r>
        <m:r>
          <m:t>0.87</m:t>
        </m:r>
      </m:oMath>
      <w:r>
        <w:t xml:space="preserve">).</w:t>
      </w:r>
    </w:p>
    <w:p>
      <w:pPr>
        <w:numPr>
          <w:ilvl w:val="0"/>
          <w:numId w:val="1002"/>
        </w:numPr>
      </w:pPr>
      <w:r>
        <w:t xml:space="preserve">Transparent reporting of</w:t>
      </w:r>
      <w:r>
        <w:t xml:space="preserve"> </w:t>
      </w:r>
      <w:r>
        <w:rPr>
          <w:b/>
          <w:bCs/>
        </w:rPr>
        <w:t xml:space="preserve">null results</w:t>
      </w:r>
      <w:r>
        <w:t xml:space="preserve">: mixed-effects regime moderation</w:t>
      </w:r>
      <w:r>
        <w:t xml:space="preserve"> </w:t>
      </w:r>
      <w:r>
        <w:t xml:space="preserve">(H2,</w:t>
      </w:r>
      <w:r>
        <w:t xml:space="preserve"> </w:t>
      </w:r>
      <m:oMath>
        <m:r>
          <m:t>p</m:t>
        </m:r>
        <m:r>
          <m:t>​</m:t>
        </m:r>
        <m:r>
          <m:rPr>
            <m:sty m:val="p"/>
          </m:rPr>
          <m:t>=</m:t>
        </m:r>
        <m:r>
          <m:t>​</m:t>
        </m:r>
        <m:r>
          <m:t>0.32</m:t>
        </m:r>
      </m:oMath>
      <w:r>
        <w:t xml:space="preserve">–</w:t>
      </w:r>
      <m:oMath>
        <m:r>
          <m:t>0.45</m:t>
        </m:r>
      </m:oMath>
      <w:r>
        <w:t xml:space="preserve">) and Arrhenius activation-energy regime structure (H3,</w:t>
      </w:r>
      <w:r>
        <w:t xml:space="preserve"> </w:t>
      </w:r>
      <m:oMath>
        <m:sSup>
          <m:e>
            <m:r>
              <m:t>η</m:t>
            </m:r>
          </m:e>
          <m:sup>
            <m:r>
              <m:t>2</m:t>
            </m:r>
          </m:sup>
        </m:sSup>
        <m:r>
          <m:t>​</m:t>
        </m:r>
        <m:r>
          <m:rPr>
            <m:sty m:val="p"/>
          </m:rPr>
          <m:t>=</m:t>
        </m:r>
        <m:r>
          <m:t>​</m:t>
        </m:r>
        <m:r>
          <m:t>0.36</m:t>
        </m:r>
      </m:oMath>
      <w:r>
        <w:t xml:space="preserve">,</w:t>
      </w:r>
      <w:r>
        <w:t xml:space="preserve"> </w:t>
      </w:r>
      <m:oMath>
        <m:r>
          <m:t>p</m:t>
        </m:r>
        <m:r>
          <m:t>​</m:t>
        </m:r>
        <m:r>
          <m:rPr>
            <m:sty m:val="p"/>
          </m:rPr>
          <m:t>=</m:t>
        </m:r>
        <m:r>
          <m:t>​</m:t>
        </m:r>
        <m:r>
          <m:t>0.13</m:t>
        </m:r>
      </m:oMath>
      <w:r>
        <w:t xml:space="preserve">) are both not supported at the pre-registered bar;</w:t>
      </w:r>
      <w:r>
        <w:t xml:space="preserve"> </w:t>
      </w:r>
      <w:r>
        <w:t xml:space="preserve">we frame these as power-limited findings at</w:t>
      </w:r>
      <w:r>
        <w:t xml:space="preserve"> </w:t>
      </w:r>
      <m:oMath>
        <m:r>
          <m:t>n</m:t>
        </m:r>
        <m:r>
          <m:t>​</m:t>
        </m:r>
        <m:r>
          <m:rPr>
            <m:sty m:val="p"/>
          </m:rPr>
          <m:t>≈</m:t>
        </m:r>
        <m:r>
          <m:t>​</m:t>
        </m:r>
        <m:r>
          <m:t>31</m:t>
        </m:r>
      </m:oMath>
      <w:r>
        <w:t xml:space="preserve"> </w:t>
      </w:r>
      <w:r>
        <w:t xml:space="preserve">studies.</w:t>
      </w:r>
    </w:p>
    <w:p>
      <w:pPr>
        <w:numPr>
          <w:ilvl w:val="0"/>
          <w:numId w:val="1002"/>
        </w:numPr>
      </w:pPr>
      <w:r>
        <w:t xml:space="preserve">A proposed</w:t>
      </w:r>
      <w:r>
        <w:t xml:space="preserve"> </w:t>
      </w:r>
      <w:r>
        <w:rPr>
          <w:b/>
          <w:bCs/>
        </w:rPr>
        <w:t xml:space="preserve">minimum-information reporting standard</w:t>
      </w:r>
      <w:r>
        <w:t xml:space="preserve"> </w:t>
      </w:r>
      <w:r>
        <w:t xml:space="preserve">for aluminum-hydrolysis</w:t>
      </w:r>
      <w:r>
        <w:t xml:space="preserve"> </w:t>
      </w:r>
      <w:r>
        <w:t xml:space="preserve">studies to make future data poolable across laboratories (not yet prospectively</w:t>
      </w:r>
      <w:r>
        <w:t xml:space="preserve"> </w:t>
      </w:r>
      <w:r>
        <w:t xml:space="preserve">validated; see Section </w:t>
      </w:r>
      <w:hyperlink w:anchor="sec:limitations">
        <w:r>
          <w:rPr>
            <w:rStyle w:val="Hyperlink"/>
          </w:rPr>
          <w:t xml:space="preserve">5.5</w:t>
        </w:r>
      </w:hyperlink>
      <w:r>
        <w:t xml:space="preserve">).</w:t>
      </w:r>
    </w:p>
    <w:bookmarkEnd w:id="10"/>
    <w:bookmarkEnd w:id="11"/>
    <w:bookmarkStart w:id="20" w:name="sec:related"/>
    <w:p>
      <w:pPr>
        <w:pStyle w:val="Heading1"/>
      </w:pPr>
      <w:r>
        <w:t xml:space="preserve">Related work</w:t>
      </w:r>
    </w:p>
    <w:bookmarkStart w:id="12" w:name="pure-alkali-and-early-rate-studies."/>
    <w:p>
      <w:pPr>
        <w:pStyle w:val="Heading4"/>
      </w:pPr>
      <w:r>
        <w:t xml:space="preserve">Pure alkali and early rate studies.</w:t>
      </w:r>
    </w:p>
    <w:p>
      <w:pPr>
        <w:pStyle w:val="FirstParagraph"/>
      </w:pPr>
      <w:r>
        <w:t xml:space="preserve">The majority of the literature covers aluminum activated by dissolved NaOH or KOH in</w:t>
      </w:r>
      <w:r>
        <w:t xml:space="preserve"> </w:t>
      </w:r>
      <w:r>
        <w:t xml:space="preserve">aqueous solution, the simplest and most studied regime. Early kinetic work by</w:t>
      </w:r>
      <w:r>
        <w:t xml:space="preserve"> </w:t>
      </w:r>
      <w:r>
        <w:t xml:space="preserve">[6]</w:t>
      </w:r>
      <w:r>
        <w:t xml:space="preserve"> </w:t>
      </w:r>
      <w:r>
        <w:t xml:space="preserve">[6]</w:t>
      </w:r>
      <w:r>
        <w:t xml:space="preserve"> </w:t>
      </w:r>
      <w:r>
        <w:t xml:space="preserve">established systematic temperature and</w:t>
      </w:r>
      <w:r>
        <w:t xml:space="preserve"> </w:t>
      </w:r>
      <w:r>
        <w:t xml:space="preserve">concentration factorial data for NaOH–foil experiments that remain the largest single-study</w:t>
      </w:r>
      <w:r>
        <w:t xml:space="preserve"> </w:t>
      </w:r>
      <w:r>
        <w:t xml:space="preserve">block in the open literature. Subsequent studies report yields and rates under broadly</w:t>
      </w:r>
      <w:r>
        <w:t xml:space="preserve"> </w:t>
      </w:r>
      <w:r>
        <w:t xml:space="preserve">similar conditions but incompatible protocols</w:t>
      </w:r>
      <w:r>
        <w:t xml:space="preserve"> </w:t>
      </w:r>
      <w:r>
        <w:t xml:space="preserve">[3–5,8–12]</w:t>
      </w:r>
      <w:r>
        <w:t xml:space="preserve">.</w:t>
      </w:r>
      <w:r>
        <w:t xml:space="preserve"> </w:t>
      </w:r>
      <w:r>
        <w:t xml:space="preserve">Activation energies for this regime cluster around</w:t>
      </w:r>
      <w:r>
        <w:t xml:space="preserve"> </w:t>
      </w:r>
      <m:oMath>
        <m:r>
          <m:t>50</m:t>
        </m:r>
      </m:oMath>
      <w:r>
        <w:t xml:space="preserve"> kJ mol</w:t>
      </w:r>
      <m:oMath>
        <m:sSup>
          <m:e>
            <m:r>
              <m:t>​</m:t>
            </m:r>
          </m:e>
          <m:sup>
            <m:r>
              <m:rPr>
                <m:sty m:val="p"/>
              </m:rPr>
              <m:t>−</m:t>
            </m:r>
            <m:r>
              <m:t>1</m:t>
            </m:r>
          </m:sup>
        </m:sSup>
      </m:oMath>
      <w:r>
        <w:t xml:space="preserve"> </w:t>
      </w:r>
      <w:r>
        <w:t xml:space="preserve">in well-designed</w:t>
      </w:r>
      <w:r>
        <w:t xml:space="preserve"> </w:t>
      </w:r>
      <w:r>
        <w:t xml:space="preserve">studies but span</w:t>
      </w:r>
      <w:r>
        <w:t xml:space="preserve"> </w:t>
      </w:r>
      <m:oMath>
        <m:r>
          <m:t>37</m:t>
        </m:r>
      </m:oMath>
      <w:r>
        <w:t xml:space="preserve">–</w:t>
      </w:r>
      <m:oMath>
        <m:r>
          <m:t>65</m:t>
        </m:r>
      </m:oMath>
      <w:r>
        <w:t xml:space="preserve"> kJ mol</w:t>
      </w:r>
      <m:oMath>
        <m:sSup>
          <m:e>
            <m:r>
              <m:t>​</m:t>
            </m:r>
          </m:e>
          <m:sup>
            <m:r>
              <m:rPr>
                <m:sty m:val="p"/>
              </m:rPr>
              <m:t>−</m:t>
            </m:r>
            <m:r>
              <m:t>1</m:t>
            </m:r>
          </m:sup>
        </m:sSup>
      </m:oMath>
      <w:r>
        <w:t xml:space="preserve"> </w:t>
      </w:r>
      <w:r>
        <w:t xml:space="preserve">across the literature.</w:t>
      </w:r>
    </w:p>
    <w:bookmarkEnd w:id="12"/>
    <w:bookmarkStart w:id="13" w:name="X47c9ecff8cc1fb8102a1def617c82f780d5707f"/>
    <w:p>
      <w:pPr>
        <w:pStyle w:val="Heading4"/>
      </w:pPr>
      <w:r>
        <w:t xml:space="preserve">Mechanically activated and alloy systems.</w:t>
      </w:r>
    </w:p>
    <w:p>
      <w:pPr>
        <w:pStyle w:val="FirstParagraph"/>
      </w:pPr>
      <w:r>
        <w:t xml:space="preserve">Ball milling with low-melting additives (Sn, Bi, In) lowers the activation barrier by</w:t>
      </w:r>
      <w:r>
        <w:t xml:space="preserve"> </w:t>
      </w:r>
      <w:r>
        <w:t xml:space="preserve">disrupting the native oxide layer and is the subject of a growing sub-literature</w:t>
      </w:r>
      <w:r>
        <w:t xml:space="preserve"> </w:t>
      </w:r>
      <w:r>
        <w:t xml:space="preserve">[13–18]</w:t>
      </w:r>
      <w:r>
        <w:t xml:space="preserve">. Al-alloy systems</w:t>
      </w:r>
      <w:r>
        <w:t xml:space="preserve"> </w:t>
      </w:r>
      <w:r>
        <w:t xml:space="preserve">(pre-alloyed Sn, Ga, In) operate through a related but distinct dissolution mechanism</w:t>
      </w:r>
      <w:r>
        <w:t xml:space="preserve"> </w:t>
      </w:r>
      <w:r>
        <w:t xml:space="preserve">[19–21]</w:t>
      </w:r>
      <w:r>
        <w:t xml:space="preserve">. Both groups exhibit higher reported yields at</w:t>
      </w:r>
      <w:r>
        <w:t xml:space="preserve"> </w:t>
      </w:r>
      <w:r>
        <w:t xml:space="preserve">moderate temperatures than the pure-alkali regime, but direct comparisons are complicated</w:t>
      </w:r>
      <w:r>
        <w:t xml:space="preserve"> </w:t>
      </w:r>
      <w:r>
        <w:t xml:space="preserve">by incompatible particle-size and additive specifications.</w:t>
      </w:r>
    </w:p>
    <w:bookmarkEnd w:id="13"/>
    <w:bookmarkStart w:id="14" w:name="liquid-metal-activated-systems."/>
    <w:p>
      <w:pPr>
        <w:pStyle w:val="Heading4"/>
      </w:pPr>
      <w:r>
        <w:t xml:space="preserve">Liquid-metal activated systems.</w:t>
      </w:r>
    </w:p>
    <w:p>
      <w:pPr>
        <w:pStyle w:val="FirstParagraph"/>
      </w:pPr>
      <w:r>
        <w:t xml:space="preserve">Gallium-based eutectic infiltration produces a highly active surface with dramatically</w:t>
      </w:r>
      <w:r>
        <w:t xml:space="preserve"> </w:t>
      </w:r>
      <w:r>
        <w:t xml:space="preserve">reduced apparent activation energies:</w:t>
      </w:r>
      <w:r>
        <w:t xml:space="preserve"> </w:t>
      </w:r>
      <w:r>
        <w:t xml:space="preserve">[1]</w:t>
      </w:r>
      <w:r>
        <w:t xml:space="preserve"> </w:t>
      </w:r>
      <w:r>
        <w:t xml:space="preserve">[1]</w:t>
      </w:r>
      <w:r>
        <w:t xml:space="preserve"> </w:t>
      </w:r>
      <w:r>
        <w:t xml:space="preserve">report</w:t>
      </w:r>
      <w:r>
        <w:t xml:space="preserve"> </w:t>
      </w:r>
      <m:oMath>
        <m:sSub>
          <m:e>
            <m:r>
              <m:t>E</m:t>
            </m:r>
          </m:e>
          <m:sub>
            <m:r>
              <m:rPr>
                <m:sty m:val="p"/>
              </m:rPr>
              <m:t>a</m:t>
            </m:r>
          </m:sub>
        </m:sSub>
        <m:r>
          <m:t>​</m:t>
        </m:r>
        <m:r>
          <m:rPr>
            <m:sty m:val="p"/>
          </m:rPr>
          <m:t>=</m:t>
        </m:r>
        <m:r>
          <m:t>​</m:t>
        </m:r>
        <m:r>
          <m:t>8.5</m:t>
        </m:r>
      </m:oMath>
      <w:r>
        <w:t xml:space="preserve"> kJ mol</w:t>
      </w:r>
      <m:oMath>
        <m:sSup>
          <m:e>
            <m:r>
              <m:t>​</m:t>
            </m:r>
          </m:e>
          <m:sup>
            <m:r>
              <m:rPr>
                <m:sty m:val="p"/>
              </m:rPr>
              <m:t>−</m:t>
            </m:r>
            <m:r>
              <m:t>1</m:t>
            </m:r>
          </m:sup>
        </m:sSup>
      </m:oMath>
      <w:r>
        <w:t xml:space="preserve"> </w:t>
      </w:r>
      <w:r>
        <w:t xml:space="preserve">for a Ga–In eutectic system, while</w:t>
      </w:r>
      <w:r>
        <w:t xml:space="preserve"> </w:t>
      </w:r>
      <w:r>
        <w:t xml:space="preserve">[2]</w:t>
      </w:r>
      <w:r>
        <w:t xml:space="preserve"> </w:t>
      </w:r>
      <w:r>
        <w:t xml:space="preserve">[2]</w:t>
      </w:r>
      <w:r>
        <w:t xml:space="preserve"> </w:t>
      </w:r>
      <w:r>
        <w:t xml:space="preserve">report</w:t>
      </w:r>
      <w:r>
        <w:t xml:space="preserve"> </w:t>
      </w:r>
      <m:oMath>
        <m:sSub>
          <m:e>
            <m:r>
              <m:t>E</m:t>
            </m:r>
          </m:e>
          <m:sub>
            <m:r>
              <m:rPr>
                <m:sty m:val="p"/>
              </m:rPr>
              <m:t>a</m:t>
            </m:r>
          </m:sub>
        </m:sSub>
        <m:r>
          <m:t>​</m:t>
        </m:r>
        <m:r>
          <m:rPr>
            <m:sty m:val="p"/>
          </m:rPr>
          <m:t>=</m:t>
        </m:r>
        <m:r>
          <m:t>​</m:t>
        </m:r>
        <m:r>
          <m:t>58.0</m:t>
        </m:r>
      </m:oMath>
      <w:r>
        <w:t xml:space="preserve"> kJ mol</w:t>
      </w:r>
      <m:oMath>
        <m:sSup>
          <m:e>
            <m:r>
              <m:t>​</m:t>
            </m:r>
          </m:e>
          <m:sup>
            <m:r>
              <m:rPr>
                <m:sty m:val="p"/>
              </m:rPr>
              <m:t>−</m:t>
            </m:r>
            <m:r>
              <m:t>1</m:t>
            </m:r>
          </m:sup>
        </m:sSup>
      </m:oMath>
      <w:r>
        <w:t xml:space="preserve"> </w:t>
      </w:r>
      <w:r>
        <w:t xml:space="preserve">for a different composition, and</w:t>
      </w:r>
      <w:r>
        <w:t xml:space="preserve"> </w:t>
      </w:r>
      <w:r>
        <w:t xml:space="preserve">[22]</w:t>
      </w:r>
      <w:r>
        <w:t xml:space="preserve"> </w:t>
      </w:r>
      <w:r>
        <w:t xml:space="preserve">[22]</w:t>
      </w:r>
      <w:r>
        <w:t xml:space="preserve"> </w:t>
      </w:r>
      <w:r>
        <w:t xml:space="preserve">and</w:t>
      </w:r>
      <w:r>
        <w:t xml:space="preserve"> </w:t>
      </w:r>
      <w:r>
        <w:t xml:space="preserve">[23]</w:t>
      </w:r>
      <w:r>
        <w:t xml:space="preserve"> </w:t>
      </w:r>
      <w:r>
        <w:t xml:space="preserve">[23]</w:t>
      </w:r>
      <w:r>
        <w:t xml:space="preserve"> </w:t>
      </w:r>
      <w:r>
        <w:t xml:space="preserve">report intermediate values. The</w:t>
      </w:r>
      <w:r>
        <w:t xml:space="preserve"> </w:t>
      </w:r>
      <m:oMath>
        <m:r>
          <m:t>8.5</m:t>
        </m:r>
      </m:oMath>
      <w:r>
        <w:t xml:space="preserve">–</w:t>
      </w:r>
      <m:oMath>
        <m:r>
          <m:t>58.0</m:t>
        </m:r>
      </m:oMath>
      <w:r>
        <w:t xml:space="preserve"> kJ mol</w:t>
      </w:r>
      <m:oMath>
        <m:sSup>
          <m:e>
            <m:r>
              <m:t>​</m:t>
            </m:r>
          </m:e>
          <m:sup>
            <m:r>
              <m:rPr>
                <m:sty m:val="p"/>
              </m:rPr>
              <m:t>−</m:t>
            </m:r>
            <m:r>
              <m:t>1</m:t>
            </m:r>
          </m:sup>
        </m:sSup>
      </m:oMath>
      <w:r>
        <w:t xml:space="preserve"> </w:t>
      </w:r>
      <w:r>
        <w:t xml:space="preserve">within-regime spread is the headline apparent contradiction for this class and reflects</w:t>
      </w:r>
      <w:r>
        <w:t xml:space="preserve"> </w:t>
      </w:r>
      <w:r>
        <w:t xml:space="preserve">varying Ga loading, alloy purity, and activation pre-treatment</w:t>
      </w:r>
      <w:r>
        <w:t xml:space="preserve"> </w:t>
      </w:r>
      <w:r>
        <w:t xml:space="preserve">[24]</w:t>
      </w:r>
      <w:r>
        <w:t xml:space="preserve">. Minimum-reporting-standard violations mean that many results are</w:t>
      </w:r>
      <w:r>
        <w:t xml:space="preserve"> </w:t>
      </w:r>
      <w:r>
        <w:t xml:space="preserve">not directly comparable even within this regime.</w:t>
      </w:r>
    </w:p>
    <w:bookmarkEnd w:id="14"/>
    <w:bookmarkStart w:id="15" w:name="waste-and-recycled-aluminum."/>
    <w:p>
      <w:pPr>
        <w:pStyle w:val="Heading4"/>
      </w:pPr>
      <w:r>
        <w:t xml:space="preserve">Waste and recycled aluminum.</w:t>
      </w:r>
    </w:p>
    <w:p>
      <w:pPr>
        <w:pStyle w:val="FirstParagraph"/>
      </w:pPr>
      <w:r>
        <w:t xml:space="preserve">Studies using waste or scrap aluminum have grown in number, motivated by the</w:t>
      </w:r>
      <w:r>
        <w:t xml:space="preserve"> </w:t>
      </w:r>
      <w:r>
        <w:t xml:space="preserve">simultaneous valorization of waste streams and hydrogen generation</w:t>
      </w:r>
      <w:r>
        <w:t xml:space="preserve"> </w:t>
      </w:r>
      <w:r>
        <w:t xml:space="preserve">[25–32]</w:t>
      </w:r>
      <w:r>
        <w:t xml:space="preserve">.</w:t>
      </w:r>
      <w:r>
        <w:t xml:space="preserve"> </w:t>
      </w:r>
      <w:r>
        <w:t xml:space="preserve">Reported yields vary widely, partly because the composition of waste aluminum is</w:t>
      </w:r>
      <w:r>
        <w:t xml:space="preserve"> </w:t>
      </w:r>
      <w:r>
        <w:t xml:space="preserve">heterogeneous and poorly characterized, and partly because activation pre-treatments</w:t>
      </w:r>
      <w:r>
        <w:t xml:space="preserve"> </w:t>
      </w:r>
      <w:r>
        <w:t xml:space="preserve">(sorting, cleaning, mechanical grinding) differ across laboratories. This regime has the</w:t>
      </w:r>
      <w:r>
        <w:t xml:space="preserve"> </w:t>
      </w:r>
      <w:r>
        <w:t xml:space="preserve">highest fraction of unreported experimental parameters in our corpus.</w:t>
      </w:r>
    </w:p>
    <w:bookmarkEnd w:id="15"/>
    <w:bookmarkStart w:id="16" w:name="reviews-cataloguing-without-resolving."/>
    <w:p>
      <w:pPr>
        <w:pStyle w:val="Heading4"/>
      </w:pPr>
      <w:r>
        <w:t xml:space="preserve">Reviews: cataloguing without resolving.</w:t>
      </w:r>
    </w:p>
    <w:p>
      <w:pPr>
        <w:pStyle w:val="FirstParagraph"/>
      </w:pPr>
      <w:r>
        <w:t xml:space="preserve">Narrative reviews of the field</w:t>
      </w:r>
      <w:r>
        <w:t xml:space="preserve"> </w:t>
      </w:r>
      <w:r>
        <w:t xml:space="preserve">[33,34]</w:t>
      </w:r>
      <w:r>
        <w:t xml:space="preserve"> </w:t>
      </w:r>
      <w:r>
        <w:t xml:space="preserve">catalogue the apparent contradictions and</w:t>
      </w:r>
      <w:r>
        <w:t xml:space="preserve"> </w:t>
      </w:r>
      <w:r>
        <w:t xml:space="preserve">emphasize the breadth of strategies, but do not pool the data, do not control for</w:t>
      </w:r>
      <w:r>
        <w:t xml:space="preserve"> </w:t>
      </w:r>
      <w:r>
        <w:t xml:space="preserve">methodological heterogeneity, and do not test whether the contradictions are regime-driven</w:t>
      </w:r>
      <w:r>
        <w:t xml:space="preserve"> </w:t>
      </w:r>
      <w:r>
        <w:t xml:space="preserve">or protocol-driven. The gap between the experimental volume and the absence of a pooled,</w:t>
      </w:r>
      <w:r>
        <w:t xml:space="preserve"> </w:t>
      </w:r>
      <w:r>
        <w:t xml:space="preserve">quantitative resolution is the direct motivation for the present work.</w:t>
      </w:r>
    </w:p>
    <w:bookmarkEnd w:id="16"/>
    <w:bookmarkStart w:id="17" w:name="X5a4923f431902bcd342fb1e68e8befb4d50bcc1"/>
    <w:p>
      <w:pPr>
        <w:pStyle w:val="Heading4"/>
      </w:pPr>
      <w:r>
        <w:t xml:space="preserve">The generalization illusion in single-study ML models.</w:t>
      </w:r>
    </w:p>
    <w:p>
      <w:pPr>
        <w:pStyle w:val="FirstParagraph"/>
      </w:pPr>
      <w:r>
        <w:t xml:space="preserve">Data-driven modeling of this reaction is nascent. The closest prior work is a single-study</w:t>
      </w:r>
      <w:r>
        <w:t xml:space="preserve"> </w:t>
      </w:r>
      <w:r>
        <w:t xml:space="preserve">artificial neural network reporting a near-perfect in-sample fit within one laboratory’s</w:t>
      </w:r>
      <w:r>
        <w:t xml:space="preserve"> </w:t>
      </w:r>
      <w:r>
        <w:t xml:space="preserve">data</w:t>
      </w:r>
      <w:r>
        <w:t xml:space="preserve"> </w:t>
      </w:r>
      <w:r>
        <w:t xml:space="preserve">[7]</w:t>
      </w:r>
      <w:r>
        <w:t xml:space="preserve">. In-sample performance on one study’s parameter grid is</w:t>
      </w:r>
      <w:r>
        <w:t xml:space="preserve"> </w:t>
      </w:r>
      <w:r>
        <w:t xml:space="preserve">uninformative about cross-study transfer; our leakage analysis makes this gap explicit.</w:t>
      </w:r>
      <w:r>
        <w:t xml:space="preserve"> </w:t>
      </w:r>
      <w:r>
        <w:t xml:space="preserve">This failure mode is not unique to aluminum hydrolysis: it has been documented in materials</w:t>
      </w:r>
      <w:r>
        <w:t xml:space="preserve"> </w:t>
      </w:r>
      <w:r>
        <w:t xml:space="preserve">screening</w:t>
      </w:r>
      <w:r>
        <w:t xml:space="preserve"> </w:t>
      </w:r>
      <w:r>
        <w:t xml:space="preserve">[35,36]</w:t>
      </w:r>
      <w:r>
        <w:t xml:space="preserve">, chemometrics</w:t>
      </w:r>
      <w:r>
        <w:t xml:space="preserve"> </w:t>
      </w:r>
      <w:r>
        <w:t xml:space="preserve">[37]</w:t>
      </w:r>
      <w:r>
        <w:t xml:space="preserve">, and catalysis</w:t>
      </w:r>
      <w:r>
        <w:t xml:space="preserve"> </w:t>
      </w:r>
      <w:r>
        <w:t xml:space="preserve">data science</w:t>
      </w:r>
      <w:r>
        <w:t xml:space="preserve"> </w:t>
      </w:r>
      <w:r>
        <w:t xml:space="preserve">[38]</w:t>
      </w:r>
      <w:r>
        <w:t xml:space="preserve">, and is increasingly recognized as a reproducibility risk</w:t>
      </w:r>
      <w:r>
        <w:t xml:space="preserve"> </w:t>
      </w:r>
      <w:r>
        <w:t xml:space="preserve">in AI-driven materials and energy research</w:t>
      </w:r>
      <w:r>
        <w:t xml:space="preserve"> </w:t>
      </w:r>
      <w:r>
        <w:t xml:space="preserve">[39–42]</w:t>
      </w:r>
      <w:r>
        <w:t xml:space="preserve">.</w:t>
      </w:r>
    </w:p>
    <w:bookmarkEnd w:id="17"/>
    <w:bookmarkStart w:id="18" w:name="Xb463cde7a45395253b5e0ab599c8a2bd31bb118"/>
    <w:p>
      <w:pPr>
        <w:pStyle w:val="Heading4"/>
      </w:pPr>
      <w:r>
        <w:t xml:space="preserve">Leakage-controlled evaluation in materials science.</w:t>
      </w:r>
    </w:p>
    <w:p>
      <w:pPr>
        <w:pStyle w:val="FirstParagraph"/>
      </w:pPr>
      <w:r>
        <w:t xml:space="preserve">Grouped or blocked cross-validation (where all records from one group are withheld</w:t>
      </w:r>
      <w:r>
        <w:t xml:space="preserve"> </w:t>
      </w:r>
      <w:r>
        <w:t xml:space="preserve">together) is the established defense against optimistic within-group estimates</w:t>
      </w:r>
      <w:r>
        <w:t xml:space="preserve"> </w:t>
      </w:r>
      <w:r>
        <w:t xml:space="preserve">[35,36]</w:t>
      </w:r>
      <w:r>
        <w:t xml:space="preserve">. The approach closely parallels leave-one-group-out designs</w:t>
      </w:r>
      <w:r>
        <w:t xml:space="preserve"> </w:t>
      </w:r>
      <w:r>
        <w:t xml:space="preserve">in meta-analysis and the block-bootstrap for correlated data. We apply it here to</w:t>
      </w:r>
      <w:r>
        <w:t xml:space="preserve"> </w:t>
      </w:r>
      <w:r>
        <w:t xml:space="preserve">aluminum hydrolysis for the first time; beyond demonstrating leakage, we use the</w:t>
      </w:r>
      <w:r>
        <w:t xml:space="preserve"> </w:t>
      </w:r>
      <w:r>
        <w:t xml:space="preserve">between-study variance structure to</w:t>
      </w:r>
      <w:r>
        <w:t xml:space="preserve"> </w:t>
      </w:r>
      <w:r>
        <w:rPr>
          <w:i/>
          <w:iCs/>
        </w:rPr>
        <w:t xml:space="preserve">attribute</w:t>
      </w:r>
      <w:r>
        <w:t xml:space="preserve"> </w:t>
      </w:r>
      <w:r>
        <w:t xml:space="preserve">the disagreement quantitatively.</w:t>
      </w:r>
    </w:p>
    <w:bookmarkEnd w:id="18"/>
    <w:bookmarkStart w:id="19" w:name="Xb5c2b3cabc0215d207f096e816652c805309335"/>
    <w:p>
      <w:pPr>
        <w:pStyle w:val="Heading4"/>
      </w:pPr>
      <w:r>
        <w:t xml:space="preserve">Methodology as a confound, and reporting standards.</w:t>
      </w:r>
    </w:p>
    <w:p>
      <w:pPr>
        <w:pStyle w:val="FirstParagraph"/>
      </w:pPr>
      <w:r>
        <w:t xml:space="preserve">Individual studies already note that protocol choices shift measured values substantially:</w:t>
      </w:r>
      <w:r>
        <w:t xml:space="preserve"> </w:t>
      </w:r>
      <w:r>
        <w:t xml:space="preserve">vessel insulation and temperature control</w:t>
      </w:r>
      <w:r>
        <w:t xml:space="preserve"> </w:t>
      </w:r>
      <w:r>
        <w:t xml:space="preserve">[43]</w:t>
      </w:r>
      <w:r>
        <w:t xml:space="preserve">, water type, and</w:t>
      </w:r>
      <w:r>
        <w:t xml:space="preserve"> </w:t>
      </w:r>
      <w:r>
        <w:t xml:space="preserve">surface pre-treatment</w:t>
      </w:r>
      <w:r>
        <w:t xml:space="preserve"> </w:t>
      </w:r>
      <w:r>
        <w:t xml:space="preserve">[5]</w:t>
      </w:r>
      <w:r>
        <w:t xml:space="preserve"> </w:t>
      </w:r>
      <w:r>
        <w:t xml:space="preserve">all appear as study-specific idiosyncrasies that</w:t>
      </w:r>
      <w:r>
        <w:t xml:space="preserve"> </w:t>
      </w:r>
      <w:r>
        <w:t xml:space="preserve">prevent pooling. Minimum-information reporting standards have improved poolability in</w:t>
      </w:r>
      <w:r>
        <w:t xml:space="preserve"> </w:t>
      </w:r>
      <w:r>
        <w:t xml:space="preserve">related fields: round-robin interlaboratory comparisons for MgH</w:t>
      </w:r>
      <m:oMath>
        <m:sSub>
          <m:e>
            <m:r>
              <m:t>​</m:t>
            </m:r>
          </m:e>
          <m:sub>
            <m:r>
              <m:t>2</m:t>
            </m:r>
          </m:sub>
        </m:sSub>
      </m:oMath>
      <w:r>
        <w:t xml:space="preserve"> </w:t>
      </w:r>
      <w:r>
        <w:t xml:space="preserve">[44]</w:t>
      </w:r>
      <w:r>
        <w:t xml:space="preserve"> </w:t>
      </w:r>
      <w:r>
        <w:t xml:space="preserve">and biohydrogen</w:t>
      </w:r>
      <w:r>
        <w:t xml:space="preserve"> </w:t>
      </w:r>
      <w:r>
        <w:t xml:space="preserve">[45]</w:t>
      </w:r>
      <w:r>
        <w:t xml:space="preserve"> </w:t>
      </w:r>
      <w:r>
        <w:t xml:space="preserve">demonstrate that standardized</w:t>
      </w:r>
      <w:r>
        <w:t xml:space="preserve"> </w:t>
      </w:r>
      <w:r>
        <w:t xml:space="preserve">protocols can turn an apparently contradictory literature into a comparable one. We adapt</w:t>
      </w:r>
      <w:r>
        <w:t xml:space="preserve"> </w:t>
      </w:r>
      <w:r>
        <w:t xml:space="preserve">and propose such a template for aluminum hydrolysis.</w:t>
      </w:r>
    </w:p>
    <w:bookmarkEnd w:id="19"/>
    <w:bookmarkEnd w:id="20"/>
    <w:bookmarkStart w:id="33" w:name="data-and-methods"/>
    <w:p>
      <w:pPr>
        <w:pStyle w:val="Heading1"/>
      </w:pPr>
      <w:r>
        <w:t xml:space="preserve">Data and methods</w:t>
      </w:r>
    </w:p>
    <w:bookmarkStart w:id="26" w:name="Xd4ab298b50328ba3e0c8e916a14a50174fcc05a"/>
    <w:p>
      <w:pPr>
        <w:pStyle w:val="Heading2"/>
      </w:pPr>
      <w:r>
        <w:t xml:space="preserve">Literature screening and dataset construction</w:t>
      </w:r>
    </w:p>
    <w:p>
      <w:pPr>
        <w:pStyle w:val="FirstParagraph"/>
      </w:pPr>
      <w:r>
        <w:t xml:space="preserve">We identified candidate studies by keyword search, forward and backward citation</w:t>
      </w:r>
      <w:r>
        <w:t xml:space="preserve"> </w:t>
      </w:r>
      <w:r>
        <w:t xml:space="preserve">chaining from established reviews, and systematic inspection of relevant journal indices</w:t>
      </w:r>
      <w:r>
        <w:t xml:space="preserve"> </w:t>
      </w:r>
      <w:r>
        <w:t xml:space="preserve">through early 2026. Full texts were obtained for all candidate articles; 59 papers were</w:t>
      </w:r>
      <w:r>
        <w:t xml:space="preserve"> </w:t>
      </w:r>
      <w:r>
        <w:t xml:space="preserve">screened against the inclusion criterion: at least one numeric hydrogen outcome (yield or</w:t>
      </w:r>
      <w:r>
        <w:t xml:space="preserve"> </w:t>
      </w:r>
      <w:r>
        <w:t xml:space="preserve">reaction rate) reported with the experimental conditions explicitly stated. Thirty-one</w:t>
      </w:r>
      <w:r>
        <w:t xml:space="preserve"> </w:t>
      </w:r>
      <w:r>
        <w:t xml:space="preserve">studies met that criterion and constitute the data corpus</w:t>
      </w:r>
      <w:r>
        <w:t xml:space="preserve"> </w:t>
      </w:r>
      <w:r>
        <w:t xml:space="preserve">[1–6,8–32]</w:t>
      </w:r>
      <w:r>
        <w:t xml:space="preserve">;</w:t>
      </w:r>
      <w:r>
        <w:t xml:space="preserve"> </w:t>
      </w:r>
      <w:r>
        <w:t xml:space="preserve">the remaining screened papers (comparative reviews and system-specific studies that do</w:t>
      </w:r>
      <w:r>
        <w:t xml:space="preserve"> </w:t>
      </w:r>
      <w:r>
        <w:t xml:space="preserve">not report extractable condition-level yield or rate data) are cited in Related Work by</w:t>
      </w:r>
      <w:r>
        <w:t xml:space="preserve"> </w:t>
      </w:r>
      <w:r>
        <w:t xml:space="preserve">regime (Section </w:t>
      </w:r>
      <w:hyperlink w:anchor="sec:related">
        <w:r>
          <w:rPr>
            <w:rStyle w:val="Hyperlink"/>
          </w:rPr>
          <w:t xml:space="preserve">2</w:t>
        </w:r>
      </w:hyperlink>
      <w:r>
        <w:t xml:space="preserve">)</w:t>
      </w:r>
      <w:r>
        <w:t xml:space="preserve"> </w:t>
      </w:r>
      <w:r>
        <w:t xml:space="preserve">[46–57]</w:t>
      </w:r>
      <w:r>
        <w:t xml:space="preserve">.</w:t>
      </w:r>
    </w:p>
    <w:p>
      <w:pPr>
        <w:pStyle w:val="BodyText"/>
      </w:pPr>
      <w:r>
        <w:t xml:space="preserve">From these 31 studies we extracted every distinct experimental condition, yielding a</w:t>
      </w:r>
      <w:r>
        <w:t xml:space="preserve"> </w:t>
      </w:r>
      <w:r>
        <w:t xml:space="preserve">flat-format dataset with 30 columns per row. Physical parameters include temperature (K),</w:t>
      </w:r>
      <w:r>
        <w:t xml:space="preserve"> </w:t>
      </w:r>
      <w:r>
        <w:t xml:space="preserve">alkali-solution concentration (mol L</w:t>
      </w:r>
      <m:oMath>
        <m:sSup>
          <m:e>
            <m:r>
              <m:t>​</m:t>
            </m:r>
          </m:e>
          <m:sup>
            <m:r>
              <m:rPr>
                <m:sty m:val="p"/>
              </m:rPr>
              <m:t>−</m:t>
            </m:r>
            <m:r>
              <m:t>1</m:t>
            </m:r>
          </m:sup>
        </m:sSup>
      </m:oMath>
      <w:r>
        <w:t xml:space="preserve">), particle size (median</w:t>
      </w:r>
      <w:r>
        <w:t xml:space="preserve"> </w:t>
      </w:r>
      <m:oMath>
        <m:sSub>
          <m:e>
            <m:r>
              <m:t>d</m:t>
            </m:r>
          </m:e>
          <m:sub>
            <m:r>
              <m:t>50</m:t>
            </m:r>
          </m:sub>
        </m:sSub>
      </m:oMath>
      <w:r>
        <w:t xml:space="preserve">,</w:t>
      </w:r>
      <w:r>
        <w:t xml:space="preserve"> </w:t>
      </w:r>
      <m:oMath>
        <m:r>
          <m:t>μ</m:t>
        </m:r>
      </m:oMath>
      <w:r>
        <w:t xml:space="preserve">m),</w:t>
      </w:r>
      <w:r>
        <w:t xml:space="preserve"> </w:t>
      </w:r>
      <w:r>
        <w:t xml:space="preserve">aluminium purity or alloy composition, activator type and loading, and</w:t>
      </w:r>
      <w:r>
        <w:t xml:space="preserve"> </w:t>
      </w:r>
      <w:r>
        <w:t xml:space="preserve">water-to-aluminium mass ratio. Methodological metadata encode temperature-control method</w:t>
      </w:r>
      <w:r>
        <w:t xml:space="preserve"> </w:t>
      </w:r>
      <w:r>
        <w:t xml:space="preserve">(</w:t>
      </w:r>
      <w:r>
        <w:rPr>
          <w:rStyle w:val="VerbatimChar"/>
        </w:rPr>
        <w:t xml:space="preserve">isothermal_bath</w:t>
      </w:r>
      <w:r>
        <w:t xml:space="preserve">,</w:t>
      </w:r>
      <w:r>
        <w:t xml:space="preserve"> </w:t>
      </w:r>
      <w:r>
        <w:rPr>
          <w:rStyle w:val="VerbatimChar"/>
        </w:rPr>
        <w:t xml:space="preserve">self_heating</w:t>
      </w:r>
      <w:r>
        <w:t xml:space="preserve">; see Section </w:t>
      </w:r>
      <w:hyperlink w:anchor="sec:qc">
        <w:r>
          <w:rPr>
            <w:rStyle w:val="Hyperlink"/>
          </w:rPr>
          <w:t xml:space="preserve">3.2</w:t>
        </w:r>
      </w:hyperlink>
      <w:r>
        <w:t xml:space="preserve"> </w:t>
      </w:r>
      <w:r>
        <w:t xml:space="preserve">for</w:t>
      </w:r>
      <w:r>
        <w:t xml:space="preserve"> </w:t>
      </w:r>
      <w:r>
        <w:t xml:space="preserve">corrections applied during inter-rater adjudication), measurement</w:t>
      </w:r>
      <w:r>
        <w:t xml:space="preserve"> </w:t>
      </w:r>
      <w:r>
        <w:t xml:space="preserve">method (</w:t>
      </w:r>
      <w:r>
        <w:rPr>
          <w:rStyle w:val="VerbatimChar"/>
        </w:rPr>
        <w:t xml:space="preserve">water_displacement</w:t>
      </w:r>
      <w:r>
        <w:t xml:space="preserve">,</w:t>
      </w:r>
      <w:r>
        <w:t xml:space="preserve"> </w:t>
      </w:r>
      <w:r>
        <w:rPr>
          <w:rStyle w:val="VerbatimChar"/>
        </w:rPr>
        <w:t xml:space="preserve">pressure</w:t>
      </w:r>
      <w:r>
        <w:t xml:space="preserve">,</w:t>
      </w:r>
      <w:r>
        <w:t xml:space="preserve"> </w:t>
      </w:r>
      <w:r>
        <w:rPr>
          <w:rStyle w:val="VerbatimChar"/>
        </w:rPr>
        <w:t xml:space="preserve">gc</w:t>
      </w:r>
      <w:r>
        <w:t xml:space="preserve">,</w:t>
      </w:r>
      <w:r>
        <w:t xml:space="preserve"> </w:t>
      </w:r>
      <w:r>
        <w:rPr>
          <w:rStyle w:val="VerbatimChar"/>
        </w:rPr>
        <w:t xml:space="preserve">mass_flow</w:t>
      </w:r>
      <w:r>
        <w:t xml:space="preserve">,</w:t>
      </w:r>
      <w:r>
        <w:t xml:space="preserve"> </w:t>
      </w:r>
      <w:r>
        <w:rPr>
          <w:rStyle w:val="VerbatimChar"/>
        </w:rPr>
        <w:t xml:space="preserve">other</w:t>
      </w:r>
      <w:r>
        <w:t xml:space="preserve">), vessel geometry</w:t>
      </w:r>
      <w:r>
        <w:t xml:space="preserve"> </w:t>
      </w:r>
      <w:r>
        <w:t xml:space="preserve">class, water type, and quality tier (A/B/C). Full provenance is stored per row: study</w:t>
      </w:r>
      <w:r>
        <w:t xml:space="preserve"> </w:t>
      </w:r>
      <w:r>
        <w:t xml:space="preserve">DOI, the table or figure from which each value was read, extraction method (direct or</w:t>
      </w:r>
      <w:r>
        <w:t xml:space="preserve"> </w:t>
      </w:r>
      <w:r>
        <w:t xml:space="preserve">digitized), and extractor identity. The grouping key for all cross-study analyses is the</w:t>
      </w:r>
      <w:r>
        <w:t xml:space="preserve"> </w:t>
      </w:r>
      <w:r>
        <w:t xml:space="preserve">study DOI. Absent quantities (conditions where</w:t>
      </w:r>
      <w:r>
        <w:t xml:space="preserve"> </w:t>
      </w:r>
      <m:oMath>
        <m:r>
          <m:t>η</m:t>
        </m:r>
        <m:r>
          <m:t>​</m:t>
        </m:r>
        <m:r>
          <m:rPr>
            <m:sty m:val="p"/>
          </m:rPr>
          <m:t>=</m:t>
        </m:r>
        <m:r>
          <m:t>​</m:t>
        </m:r>
        <m:r>
          <m:t>0</m:t>
        </m:r>
      </m:oMath>
      <w:r>
        <w:t xml:space="preserve"> </w:t>
      </w:r>
      <w:r>
        <w:t xml:space="preserve">is physically meaningful) are</w:t>
      </w:r>
      <w:r>
        <w:t xml:space="preserve"> </w:t>
      </w:r>
      <w:r>
        <w:t xml:space="preserve">encoded as</w:t>
      </w:r>
      <w:r>
        <w:t xml:space="preserve"> </w:t>
      </w:r>
      <m:oMath>
        <m:r>
          <m:t>0</m:t>
        </m:r>
      </m:oMath>
      <w:r>
        <w:t xml:space="preserve">; unreported quantities are stored as</w:t>
      </w:r>
      <w:r>
        <w:t xml:space="preserve"> </w:t>
      </w:r>
      <w:r>
        <w:rPr>
          <w:rStyle w:val="VerbatimChar"/>
        </w:rPr>
        <w:t xml:space="preserve">NaN</w:t>
      </w:r>
      <w:r>
        <w:t xml:space="preserve"> </w:t>
      </w:r>
      <w:r>
        <w:t xml:space="preserve">and never conflated</w:t>
      </w:r>
      <w:r>
        <w:t xml:space="preserve"> </w:t>
      </w:r>
      <w:r>
        <w:t xml:space="preserve">with absent ones.</w:t>
      </w:r>
    </w:p>
    <w:p>
      <w:pPr>
        <w:pStyle w:val="BodyText"/>
      </w:pPr>
      <w:r>
        <w:t xml:space="preserve">Each study is assigned exactly one physico-chemical regime label</w:t>
      </w:r>
      <w:r>
        <w:t xml:space="preserve"> </w:t>
      </w:r>
      <m:oMath>
        <m:r>
          <m:rPr>
            <m:nor/>
            <m:scr m:val="monospace"/>
            <m:sty m:val="p"/>
          </m:rPr>
          <m:t>system_class</m:t>
        </m:r>
        <m:r>
          <m:rPr>
            <m:sty m:val="p"/>
          </m:rPr>
          <m:t>∈</m:t>
        </m:r>
        <m:r>
          <m:rPr>
            <m:sty m:val="p"/>
          </m:rPr>
          <m:t>{</m:t>
        </m:r>
        <m:r>
          <m:rPr>
            <m:nor/>
            <m:scr m:val="monospace"/>
            <m:sty m:val="p"/>
          </m:rPr>
          <m:t>pure_al_alkali</m:t>
        </m:r>
        <m:r>
          <m:rPr>
            <m:sty m:val="p"/>
          </m:rPr>
          <m:t>,</m:t>
        </m:r>
        <m:r>
          <m:t> </m:t>
        </m:r>
        <m:r>
          <m:rPr>
            <m:nor/>
            <m:scr m:val="monospace"/>
            <m:sty m:val="p"/>
          </m:rPr>
          <m:t>al_alloy</m:t>
        </m:r>
        <m:r>
          <m:rPr>
            <m:sty m:val="p"/>
          </m:rPr>
          <m:t>,</m:t>
        </m:r>
        <m:r>
          <m:t> </m:t>
        </m:r>
        <m:r>
          <m:rPr>
            <m:nor/>
            <m:scr m:val="monospace"/>
            <m:sty m:val="p"/>
          </m:rPr>
          <m:t>mechanically_activated</m:t>
        </m:r>
        <m:r>
          <m:rPr>
            <m:sty m:val="p"/>
          </m:rPr>
          <m:t>,</m:t>
        </m:r>
        <m:r>
          <m:t> </m:t>
        </m:r>
        <m:r>
          <m:rPr>
            <m:nor/>
            <m:scr m:val="monospace"/>
            <m:sty m:val="p"/>
          </m:rPr>
          <m:t>liquid_metal_activated</m:t>
        </m:r>
        <m:r>
          <m:rPr>
            <m:sty m:val="p"/>
          </m:rPr>
          <m:t>,</m:t>
        </m:r>
        <m:r>
          <m:t> </m:t>
        </m:r>
        <m:r>
          <m:rPr>
            <m:nor/>
            <m:scr m:val="monospace"/>
            <m:sty m:val="p"/>
          </m:rPr>
          <m:t>waste_al</m:t>
        </m:r>
        <m:r>
          <m:rPr>
            <m:sty m:val="p"/>
          </m:rPr>
          <m:t>}</m:t>
        </m:r>
      </m:oMath>
      <w:r>
        <w:t xml:space="preserve">,</w:t>
      </w:r>
      <w:r>
        <w:t xml:space="preserve"> </w:t>
      </w:r>
      <w:r>
        <w:t xml:space="preserve">derived from the source materials-and-methods section and verified during the</w:t>
      </w:r>
      <w:r>
        <w:t xml:space="preserve"> </w:t>
      </w:r>
      <w:r>
        <w:t xml:space="preserve">classification audit described below. The final yield dataset has 315 condition-level</w:t>
      </w:r>
      <w:r>
        <w:t xml:space="preserve"> </w:t>
      </w:r>
      <w:r>
        <w:t xml:space="preserve">rows from 31 studies (Fig. </w:t>
      </w:r>
      <w:hyperlink w:anchor="fig:dataset">
        <w:r>
          <w:rPr>
            <w:rStyle w:val="Hyperlink"/>
          </w:rPr>
          <w:t xml:space="preserve">1</w:t>
        </w:r>
      </w:hyperlink>
      <w:r>
        <w:t xml:space="preserve">); a separate 76-row kinetic table</w:t>
      </w:r>
      <w:r>
        <w:t xml:space="preserve"> </w:t>
      </w:r>
      <w:r>
        <w:t xml:space="preserve">holds Arrhenius activation energies and reaction rates, with their own provenance and</w:t>
      </w:r>
      <w:r>
        <w:t xml:space="preserve"> </w:t>
      </w:r>
      <w:r>
        <w:t xml:space="preserve">fit-quality columns, and is never merged into the yield table.</w:t>
      </w:r>
      <w:r>
        <w:t xml:space="preserve"> </w:t>
      </w:r>
      <w:r>
        <w:t xml:space="preserve">The tables remain separate because yield (</w:t>
      </w:r>
      <m:oMath>
        <m:r>
          <m:t>η</m:t>
        </m:r>
      </m:oMath>
      <w:r>
        <w:t xml:space="preserve">, a cumulative fraction at a fixed endpoint)</w:t>
      </w:r>
      <w:r>
        <w:t xml:space="preserve"> </w:t>
      </w:r>
      <w:r>
        <w:t xml:space="preserve">and kinetic parameters (</w:t>
      </w:r>
      <m:oMath>
        <m:sSub>
          <m:e>
            <m:r>
              <m:t>E</m:t>
            </m:r>
          </m:e>
          <m:sub>
            <m:r>
              <m:rPr>
                <m:sty m:val="p"/>
              </m:rPr>
              <m:t>a</m:t>
            </m:r>
          </m:sub>
        </m:sSub>
      </m:oMath>
      <w:r>
        <w:t xml:space="preserve">, peak rate, half-time) are distinct outcome types</w:t>
      </w:r>
      <w:r>
        <w:t xml:space="preserve"> </w:t>
      </w:r>
      <w:r>
        <w:t xml:space="preserve">with incompatible units and different quality gates; merging would require normalization</w:t>
      </w:r>
      <w:r>
        <w:t xml:space="preserve"> </w:t>
      </w:r>
      <w:r>
        <w:t xml:space="preserve">assumptions not justified in a meta-analytic context.</w:t>
      </w:r>
      <w:r>
        <w:t xml:space="preserve"> </w:t>
      </w:r>
      <w:r>
        <w:t xml:space="preserve">Table </w:t>
      </w:r>
      <w:hyperlink w:anchor="tab:dataset_composition">
        <w:r>
          <w:rPr>
            <w:rStyle w:val="Hyperlink"/>
          </w:rPr>
          <w:t xml:space="preserve">1</w:t>
        </w:r>
      </w:hyperlink>
      <w:r>
        <w:t xml:space="preserve"> </w:t>
      </w:r>
      <w:r>
        <w:t xml:space="preserve">summarises the per-regime composition; the complete 31-study source list with</w:t>
      </w:r>
      <w:r>
        <w:t xml:space="preserve"> </w:t>
      </w:r>
      <w:r>
        <w:t xml:space="preserve">temperature, concentration, and particle-size ranges appears in Table SI-1.</w:t>
      </w:r>
    </w:p>
    <w:bookmarkStart w:id="24" w:name="fig:dataset"/>
    <w:p>
      <w:pPr>
        <w:pStyle w:val="CaptionedFigure"/>
      </w:pPr>
      <w:r>
        <w:drawing>
          <wp:inline>
            <wp:extent cx="4907280" cy="2169229"/>
            <wp:effectExtent b="0" l="0" r="0" t="0"/>
            <wp:docPr descr="" title="" id="22" name="Picture"/>
            <a:graphic>
              <a:graphicData uri="http://schemas.openxmlformats.org/drawingml/2006/picture">
                <pic:pic>
                  <pic:nvPicPr>
                    <pic:cNvPr descr="fig5_dataset_composition.pdf" id="23" name="Picture"/>
                    <pic:cNvPicPr>
                      <a:picLocks noChangeArrowheads="1" noChangeAspect="1"/>
                    </pic:cNvPicPr>
                  </pic:nvPicPr>
                  <pic:blipFill>
                    <a:blip r:embed="rId21"/>
                    <a:stretch>
                      <a:fillRect/>
                    </a:stretch>
                  </pic:blipFill>
                  <pic:spPr bwMode="auto">
                    <a:xfrm>
                      <a:off x="0" y="0"/>
                      <a:ext cx="4907280" cy="2169229"/>
                    </a:xfrm>
                    <a:prstGeom prst="rect">
                      <a:avLst/>
                    </a:prstGeom>
                    <a:noFill/>
                    <a:ln w="9525">
                      <a:noFill/>
                      <a:headEnd/>
                      <a:tailEnd/>
                    </a:ln>
                  </pic:spPr>
                </pic:pic>
              </a:graphicData>
            </a:graphic>
          </wp:inline>
        </w:drawing>
      </w:r>
    </w:p>
    <w:p>
      <w:pPr>
        <w:pStyle w:val="ImageCaption"/>
      </w:pPr>
      <w:r>
        <w:rPr>
          <w:b/>
          <w:bCs/>
        </w:rPr>
        <w:t xml:space="preserve">The curated open dataset.</w:t>
      </w:r>
      <w:r>
        <w:t xml:space="preserve"> </w:t>
      </w:r>
      <w:r>
        <w:t xml:space="preserve">Per-</w:t>
      </w:r>
      <w:r>
        <w:rPr>
          <w:rStyle w:val="VerbatimChar"/>
        </w:rPr>
        <w:t xml:space="preserve">system_class</w:t>
      </w:r>
      <w:r>
        <w:t xml:space="preserve"> </w:t>
      </w:r>
      <w:r>
        <w:t xml:space="preserve">yield-row counts with study</w:t>
      </w:r>
      <w:r>
        <w:t xml:space="preserve"> </w:t>
      </w:r>
      <w:r>
        <w:t xml:space="preserve">counts (left) and the A/B/C quality-tier composition (right); the separate 76-row kinetic table is</w:t>
      </w:r>
      <w:r>
        <w:t xml:space="preserve"> </w:t>
      </w:r>
      <w:r>
        <w:t xml:space="preserve">noted. 315 yield rows from 31 studies, released under CC-BY.</w:t>
      </w:r>
    </w:p>
    <w:bookmarkEnd w:id="24"/>
    <w:bookmarkStart w:id="25" w:name="tab:dataset_composition"/>
    <w:p>
      <w:pPr>
        <w:pStyle w:val="TableCaption"/>
      </w:pPr>
      <w:r>
        <w:rPr>
          <w:b/>
          <w:bCs/>
        </w:rPr>
        <w:t xml:space="preserve">Dataset composition by physico-chemical regime.</w:t>
      </w:r>
      <w:r>
        <w:t xml:space="preserve"> </w:t>
      </w:r>
      <w:r>
        <w:t xml:space="preserve">Each study appears in</w:t>
      </w:r>
      <w:r>
        <w:t xml:space="preserve"> </w:t>
      </w:r>
      <w:r>
        <w:t xml:space="preserve">exactly one regime. Yield rows are condition-level records reporting H</w:t>
      </w:r>
      <m:oMath>
        <m:sSub>
          <m:e>
            <m:r>
              <m:t>​</m:t>
            </m:r>
          </m:e>
          <m:sub>
            <m:r>
              <m:t>2</m:t>
            </m:r>
          </m:sub>
        </m:sSub>
      </m:oMath>
      <w:r>
        <w:t xml:space="preserve"> </w:t>
      </w:r>
      <w:r>
        <w:t xml:space="preserve">yield</w:t>
      </w:r>
      <w:r>
        <w:t xml:space="preserve"> </w:t>
      </w:r>
      <w:r>
        <w:t xml:space="preserve">(</w:t>
      </w:r>
      <m:oMath>
        <m:r>
          <m:t>η</m:t>
        </m:r>
      </m:oMath>
      <w:r>
        <w:t xml:space="preserve">, % of the 1244 mL g</w:t>
      </w:r>
      <m:oMath>
        <m:sSup>
          <m:e>
            <m:r>
              <m:t>​</m:t>
            </m:r>
          </m:e>
          <m:sup>
            <m:r>
              <m:rPr>
                <m:sty m:val="p"/>
              </m:rPr>
              <m:t>−</m:t>
            </m:r>
            <m:r>
              <m:t>1</m:t>
            </m:r>
          </m:sup>
        </m:sSup>
      </m:oMath>
      <w:r>
        <w:t xml:space="preserve"> </w:t>
      </w:r>
      <w:r>
        <w:t xml:space="preserve">pure-Al theoretical); kinetic rows hold</w:t>
      </w:r>
      <w:r>
        <w:t xml:space="preserve"> </w:t>
      </w:r>
      <w:r>
        <w:t xml:space="preserve">Arrhenius activation energies or rate measurements. The complete study-level source</w:t>
      </w:r>
      <w:r>
        <w:t xml:space="preserve"> </w:t>
      </w:r>
      <w:r>
        <w:t xml:space="preserve">list with experimental condition ranges is given in Table SI-1.</w:t>
      </w:r>
    </w:p>
    <w:tbl>
      <w:tblPr>
        <w:tblStyle w:val="Table"/>
        <w:tblW w:type="auto" w:w="0"/>
        <w:tblLook w:firstRow="1" w:lastRow="0" w:firstColumn="0" w:lastColumn="0" w:noHBand="0" w:noVBand="0" w:val="0020"/>
        <w:tblCaption w:val="Dataset composition by physico-chemical regime. Each study appears in exactly one regime. Yield rows are condition-level records reporting H_2 yield (\eta, % of the 1244 mL g^{-1} pure-Al theoretical); kinetic rows hold Arrhenius activation energies or rate measurements. The complete study-level source list with experimental condition ranges is given in Table SI-1."/>
      </w:tblPr>
      <w:tblGrid>
        <w:gridCol w:w="1980"/>
        <w:gridCol w:w="1980"/>
        <w:gridCol w:w="1980"/>
        <w:gridCol w:w="1980"/>
      </w:tblGrid>
      <w:tr>
        <w:trPr>
          <w:tblHeader w:val="on"/>
        </w:trPr>
        <w:tc>
          <w:tcPr/>
          <w:p>
            <w:pPr>
              <w:pStyle w:val="Compact"/>
              <w:jc w:val="left"/>
            </w:pPr>
            <w:r>
              <w:t xml:space="preserve">Regime (</w:t>
            </w:r>
            <w:r>
              <w:rPr>
                <w:rStyle w:val="VerbatimChar"/>
              </w:rPr>
              <w:t xml:space="preserve">system_class</w:t>
            </w:r>
            <w:r>
              <w:t xml:space="preserve">)</w:t>
            </w:r>
          </w:p>
        </w:tc>
        <w:tc>
          <w:tcPr/>
          <w:p>
            <w:pPr>
              <w:pStyle w:val="Compact"/>
              <w:jc w:val="center"/>
            </w:pPr>
            <w:r>
              <w:t xml:space="preserve">Studies</w:t>
            </w:r>
          </w:p>
        </w:tc>
        <w:tc>
          <w:tcPr/>
          <w:p>
            <w:pPr>
              <w:pStyle w:val="Compact"/>
              <w:jc w:val="center"/>
            </w:pPr>
            <w:r>
              <w:t xml:space="preserve">Yield rows</w:t>
            </w:r>
          </w:p>
        </w:tc>
        <w:tc>
          <w:tcPr/>
          <w:p>
            <w:pPr>
              <w:pStyle w:val="Compact"/>
              <w:jc w:val="center"/>
            </w:pPr>
            <w:r>
              <w:t xml:space="preserve">Kinetic rows</w:t>
            </w:r>
          </w:p>
        </w:tc>
      </w:tr>
      <w:tr>
        <w:tc>
          <w:tcPr/>
          <w:p>
            <w:pPr>
              <w:pStyle w:val="Compact"/>
              <w:jc w:val="left"/>
            </w:pPr>
            <w:r>
              <w:rPr>
                <w:rStyle w:val="VerbatimChar"/>
              </w:rPr>
              <w:t xml:space="preserve">pure_al_alkali</w:t>
            </w:r>
          </w:p>
        </w:tc>
        <w:tc>
          <w:tcPr/>
          <w:p>
            <w:pPr>
              <w:pStyle w:val="Compact"/>
              <w:jc w:val="center"/>
            </w:pPr>
            <w:r>
              <w:t xml:space="preserve">9</w:t>
            </w:r>
          </w:p>
        </w:tc>
        <w:tc>
          <w:tcPr/>
          <w:p>
            <w:pPr>
              <w:pStyle w:val="Compact"/>
              <w:jc w:val="center"/>
            </w:pPr>
            <w:r>
              <w:t xml:space="preserve">162</w:t>
            </w:r>
          </w:p>
        </w:tc>
        <w:tc>
          <w:tcPr/>
          <w:p>
            <w:pPr>
              <w:pStyle w:val="Compact"/>
              <w:jc w:val="center"/>
            </w:pPr>
            <w:r>
              <w:t xml:space="preserve">26</w:t>
            </w:r>
          </w:p>
        </w:tc>
      </w:tr>
      <w:tr>
        <w:tc>
          <w:tcPr/>
          <w:p>
            <w:pPr>
              <w:pStyle w:val="Compact"/>
              <w:jc w:val="left"/>
            </w:pPr>
            <w:r>
              <w:rPr>
                <w:rStyle w:val="VerbatimChar"/>
              </w:rPr>
              <w:t xml:space="preserve">al_alloy</w:t>
            </w:r>
          </w:p>
        </w:tc>
        <w:tc>
          <w:tcPr/>
          <w:p>
            <w:pPr>
              <w:pStyle w:val="Compact"/>
              <w:jc w:val="center"/>
            </w:pPr>
            <w:r>
              <w:t xml:space="preserve">3</w:t>
            </w:r>
          </w:p>
        </w:tc>
        <w:tc>
          <w:tcPr/>
          <w:p>
            <w:pPr>
              <w:pStyle w:val="Compact"/>
              <w:jc w:val="center"/>
            </w:pPr>
            <w:r>
              <w:t xml:space="preserve">45</w:t>
            </w:r>
          </w:p>
        </w:tc>
        <w:tc>
          <w:tcPr/>
          <w:p>
            <w:pPr>
              <w:pStyle w:val="Compact"/>
              <w:jc w:val="center"/>
            </w:pPr>
            <w:r>
              <w:t xml:space="preserve">3</w:t>
            </w:r>
          </w:p>
        </w:tc>
      </w:tr>
      <w:tr>
        <w:tc>
          <w:tcPr/>
          <w:p>
            <w:pPr>
              <w:pStyle w:val="Compact"/>
              <w:jc w:val="left"/>
            </w:pPr>
            <w:r>
              <w:rPr>
                <w:rStyle w:val="VerbatimChar"/>
              </w:rPr>
              <w:t xml:space="preserve">mechanically_activated</w:t>
            </w:r>
          </w:p>
        </w:tc>
        <w:tc>
          <w:tcPr/>
          <w:p>
            <w:pPr>
              <w:pStyle w:val="Compact"/>
              <w:jc w:val="center"/>
            </w:pPr>
            <w:r>
              <w:t xml:space="preserve">6</w:t>
            </w:r>
          </w:p>
        </w:tc>
        <w:tc>
          <w:tcPr/>
          <w:p>
            <w:pPr>
              <w:pStyle w:val="Compact"/>
              <w:jc w:val="center"/>
            </w:pPr>
            <w:r>
              <w:t xml:space="preserve">69</w:t>
            </w:r>
          </w:p>
        </w:tc>
        <w:tc>
          <w:tcPr/>
          <w:p>
            <w:pPr>
              <w:pStyle w:val="Compact"/>
              <w:jc w:val="center"/>
            </w:pPr>
            <w:r>
              <w:t xml:space="preserve">16</w:t>
            </w:r>
          </w:p>
        </w:tc>
      </w:tr>
      <w:tr>
        <w:tc>
          <w:tcPr/>
          <w:p>
            <w:pPr>
              <w:pStyle w:val="Compact"/>
              <w:jc w:val="left"/>
            </w:pPr>
            <w:r>
              <w:rPr>
                <w:rStyle w:val="VerbatimChar"/>
              </w:rPr>
              <w:t xml:space="preserve">liquid_metal_activated</w:t>
            </w:r>
          </w:p>
        </w:tc>
        <w:tc>
          <w:tcPr/>
          <w:p>
            <w:pPr>
              <w:pStyle w:val="Compact"/>
              <w:jc w:val="center"/>
            </w:pPr>
            <w:r>
              <w:t xml:space="preserve">5</w:t>
            </w:r>
          </w:p>
        </w:tc>
        <w:tc>
          <w:tcPr/>
          <w:p>
            <w:pPr>
              <w:pStyle w:val="Compact"/>
              <w:jc w:val="center"/>
            </w:pPr>
            <w:r>
              <w:t xml:space="preserve">19</w:t>
            </w:r>
          </w:p>
        </w:tc>
        <w:tc>
          <w:tcPr/>
          <w:p>
            <w:pPr>
              <w:pStyle w:val="Compact"/>
              <w:jc w:val="center"/>
            </w:pPr>
            <w:r>
              <w:t xml:space="preserve">10</w:t>
            </w:r>
          </w:p>
        </w:tc>
      </w:tr>
      <w:tr>
        <w:tc>
          <w:tcPr/>
          <w:p>
            <w:pPr>
              <w:pStyle w:val="Compact"/>
              <w:jc w:val="left"/>
            </w:pPr>
            <w:r>
              <w:rPr>
                <w:rStyle w:val="VerbatimChar"/>
              </w:rPr>
              <w:t xml:space="preserve">waste_al</w:t>
            </w:r>
          </w:p>
        </w:tc>
        <w:tc>
          <w:tcPr/>
          <w:p>
            <w:pPr>
              <w:pStyle w:val="Compact"/>
              <w:jc w:val="center"/>
            </w:pPr>
            <w:r>
              <w:t xml:space="preserve">8</w:t>
            </w:r>
          </w:p>
        </w:tc>
        <w:tc>
          <w:tcPr/>
          <w:p>
            <w:pPr>
              <w:pStyle w:val="Compact"/>
              <w:jc w:val="center"/>
            </w:pPr>
            <w:r>
              <w:t xml:space="preserve">20</w:t>
            </w:r>
          </w:p>
        </w:tc>
        <w:tc>
          <w:tcPr/>
          <w:p>
            <w:pPr>
              <w:pStyle w:val="Compact"/>
              <w:jc w:val="center"/>
            </w:pPr>
            <w:r>
              <w:t xml:space="preserve">21</w:t>
            </w:r>
          </w:p>
        </w:tc>
      </w:tr>
      <w:tr>
        <w:tc>
          <w:tcPr/>
          <w:p>
            <w:pPr>
              <w:pStyle w:val="Compact"/>
              <w:jc w:val="left"/>
            </w:pPr>
            <w:r>
              <w:rPr>
                <w:b/>
                <w:bCs/>
              </w:rPr>
              <w:t xml:space="preserve">Total</w:t>
            </w:r>
          </w:p>
        </w:tc>
        <w:tc>
          <w:tcPr/>
          <w:p>
            <w:pPr>
              <w:pStyle w:val="Compact"/>
              <w:jc w:val="center"/>
            </w:pPr>
            <w:r>
              <w:rPr>
                <w:b/>
                <w:bCs/>
              </w:rPr>
              <w:t xml:space="preserve">31</w:t>
            </w:r>
          </w:p>
        </w:tc>
        <w:tc>
          <w:tcPr/>
          <w:p>
            <w:pPr>
              <w:pStyle w:val="Compact"/>
              <w:jc w:val="center"/>
            </w:pPr>
            <w:r>
              <w:rPr>
                <w:b/>
                <w:bCs/>
              </w:rPr>
              <w:t xml:space="preserve">315</w:t>
            </w:r>
          </w:p>
        </w:tc>
        <w:tc>
          <w:tcPr/>
          <w:p>
            <w:pPr>
              <w:pStyle w:val="Compact"/>
              <w:jc w:val="center"/>
            </w:pPr>
            <w:r>
              <w:rPr>
                <w:b/>
                <w:bCs/>
              </w:rPr>
              <w:t xml:space="preserve">76</w:t>
            </w:r>
          </w:p>
        </w:tc>
      </w:tr>
    </w:tbl>
    <w:bookmarkEnd w:id="25"/>
    <w:bookmarkEnd w:id="26"/>
    <w:bookmarkStart w:id="28" w:name="sec:qc"/>
    <w:p>
      <w:pPr>
        <w:pStyle w:val="Heading2"/>
      </w:pPr>
      <w:r>
        <w:t xml:space="preserve">Quality control</w:t>
      </w:r>
    </w:p>
    <w:p>
      <w:pPr>
        <w:pStyle w:val="FirstParagraph"/>
      </w:pPr>
      <w:r>
        <w:t xml:space="preserve">Quality control followed five procedures, summarised in Table </w:t>
      </w:r>
      <w:hyperlink w:anchor="tab:qc_summary">
        <w:r>
          <w:rPr>
            <w:rStyle w:val="Hyperlink"/>
          </w:rPr>
          <w:t xml:space="preserve">2</w:t>
        </w:r>
      </w:hyperlink>
      <w:r>
        <w:t xml:space="preserve">.</w:t>
      </w:r>
      <w:r>
        <w:t xml:space="preserve"> </w:t>
      </w:r>
      <w:r>
        <w:t xml:space="preserve">First, approximately 16 % of yield rows (52 rows from 5 studies) were re-extracted</w:t>
      </w:r>
      <w:r>
        <w:t xml:space="preserve"> </w:t>
      </w:r>
      <w:r>
        <w:t xml:space="preserve">independently using different source annotations; 52/52 rows reached exact numeric</w:t>
      </w:r>
      <w:r>
        <w:t xml:space="preserve"> </w:t>
      </w:r>
      <w:r>
        <w:t xml:space="preserve">agreement, confirming extraction fidelity. Second, a classification audit</w:t>
      </w:r>
      <w:r>
        <w:t xml:space="preserve"> </w:t>
      </w:r>
      <w:r>
        <w:t xml:space="preserve">re-derived</w:t>
      </w:r>
      <w:r>
        <w:t xml:space="preserve"> </w:t>
      </w:r>
      <w:r>
        <w:rPr>
          <w:rStyle w:val="VerbatimChar"/>
        </w:rPr>
        <w:t xml:space="preserve">system_class</w:t>
      </w:r>
      <w:r>
        <w:t xml:space="preserve"> </w:t>
      </w:r>
      <w:r>
        <w:t xml:space="preserve">for all 31 studies directly from source materials and</w:t>
      </w:r>
      <w:r>
        <w:t xml:space="preserve"> </w:t>
      </w:r>
      <w:r>
        <w:t xml:space="preserve">methods: one error was found and corrected.</w:t>
      </w:r>
      <w:r>
        <w:t xml:space="preserve"> </w:t>
      </w:r>
      <w:r>
        <w:t xml:space="preserve">[2]</w:t>
      </w:r>
      <w:r>
        <w:t xml:space="preserve"> </w:t>
      </w:r>
      <w:r>
        <w:t xml:space="preserve">[2]</w:t>
      </w:r>
      <w:r>
        <w:t xml:space="preserve"> </w:t>
      </w:r>
      <w:r>
        <w:t xml:space="preserve">had been provisionally labelled</w:t>
      </w:r>
      <w:r>
        <w:t xml:space="preserve"> </w:t>
      </w:r>
      <w:r>
        <w:rPr>
          <w:rStyle w:val="VerbatimChar"/>
        </w:rPr>
        <w:t xml:space="preserve">mechanically_activated</w:t>
      </w:r>
      <w:r>
        <w:t xml:space="preserve"> </w:t>
      </w:r>
      <w:r>
        <w:t xml:space="preserve">but its activation mechanism is gallium–indium eutectic infiltration, placing it</w:t>
      </w:r>
      <w:r>
        <w:t xml:space="preserve"> </w:t>
      </w:r>
      <w:r>
        <w:t xml:space="preserve">unambiguously in</w:t>
      </w:r>
      <w:r>
        <w:t xml:space="preserve"> </w:t>
      </w:r>
      <w:r>
        <w:rPr>
          <w:rStyle w:val="VerbatimChar"/>
        </w:rPr>
        <w:t xml:space="preserve">liquid_metal_activated</w:t>
      </w:r>
      <w:r>
        <w:t xml:space="preserve">. No further label changes were</w:t>
      </w:r>
      <w:r>
        <w:t xml:space="preserve"> </w:t>
      </w:r>
      <w:r>
        <w:t xml:space="preserve">required. Third, five digitized kinetic curves were re-read by an independent pass</w:t>
      </w:r>
      <w:r>
        <w:t xml:space="preserve"> </w:t>
      </w:r>
      <w:r>
        <w:t xml:space="preserve">using a different screen resolution; mean point deviation was</w:t>
      </w:r>
      <w:r>
        <w:t xml:space="preserve"> </w:t>
      </w:r>
      <m:oMath>
        <m:r>
          <m:rPr>
            <m:sty m:val="p"/>
          </m:rPr>
          <m:t>≈</m:t>
        </m:r>
        <m:r>
          <m:t>​</m:t>
        </m:r>
        <m:r>
          <m:t>1.5</m:t>
        </m:r>
        <m:r>
          <m:rPr>
            <m:sty m:val="p"/>
          </m:rPr>
          <m:t>%</m:t>
        </m:r>
      </m:oMath>
      <w:r>
        <w:t xml:space="preserve">, within</w:t>
      </w:r>
      <w:r>
        <w:t xml:space="preserve"> </w:t>
      </w:r>
      <w:r>
        <w:t xml:space="preserve">accepted digitization tolerance (</w:t>
      </w:r>
      <m:oMath>
        <m:r>
          <m:rPr>
            <m:sty m:val="p"/>
          </m:rPr>
          <m:t>&lt;</m:t>
        </m:r>
        <m:r>
          <m:t>​</m:t>
        </m:r>
        <m:r>
          <m:t>3</m:t>
        </m:r>
        <m:r>
          <m:rPr>
            <m:sty m:val="p"/>
          </m:rPr>
          <m:t>%</m:t>
        </m:r>
      </m:oMath>
      <w:r>
        <w:t xml:space="preserve">). Fourth, studies contributing to the kinetic</w:t>
      </w:r>
      <w:r>
        <w:t xml:space="preserve"> </w:t>
      </w:r>
      <w:r>
        <w:t xml:space="preserve">table were subjected to an Arrhenius quality gate: a linear fit of</w:t>
      </w:r>
      <w:r>
        <w:t xml:space="preserve"> </w:t>
      </w:r>
      <m:oMath>
        <m:r>
          <m:rPr>
            <m:sty m:val="p"/>
          </m:rPr>
          <m:t>ln</m:t>
        </m:r>
        <m:r>
          <m:rPr>
            <m:sty m:val="p"/>
          </m:rPr>
          <m:t>(</m:t>
        </m:r>
        <m:r>
          <m:rPr>
            <m:nor/>
            <m:sty m:val="p"/>
          </m:rPr>
          <m:t>rate</m:t>
        </m:r>
        <m:r>
          <m:rPr>
            <m:sty m:val="p"/>
          </m:rPr>
          <m:t>)</m:t>
        </m:r>
      </m:oMath>
      <w:r>
        <w:t xml:space="preserve"> </w:t>
      </w:r>
      <w:r>
        <w:t xml:space="preserve">vs. </w:t>
      </w:r>
      <m:oMath>
        <m:sSup>
          <m:e>
            <m:r>
              <m:t>T</m:t>
            </m:r>
          </m:e>
          <m:sup>
            <m:r>
              <m:rPr>
                <m:sty m:val="p"/>
              </m:rPr>
              <m:t>−</m:t>
            </m:r>
            <m:r>
              <m:t>1</m:t>
            </m:r>
          </m:sup>
        </m:sSup>
      </m:oMath>
      <w:r>
        <w:t xml:space="preserve"> </w:t>
      </w:r>
      <w:r>
        <w:t xml:space="preserve">was required to achieve</w:t>
      </w:r>
      <w:r>
        <w:t xml:space="preserve"> </w:t>
      </w:r>
      <m:oMath>
        <m:sSup>
          <m:e>
            <m:r>
              <m:t>R</m:t>
            </m:r>
          </m:e>
          <m:sup>
            <m:r>
              <m:t>2</m:t>
            </m:r>
          </m:sup>
        </m:sSup>
        <m:r>
          <m:t>​</m:t>
        </m:r>
        <m:r>
          <m:rPr>
            <m:sty m:val="p"/>
          </m:rPr>
          <m:t>≥</m:t>
        </m:r>
        <m:r>
          <m:t>​</m:t>
        </m:r>
        <m:r>
          <m:t>0.90</m:t>
        </m:r>
      </m:oMath>
      <w:r>
        <w:t xml:space="preserve"> </w:t>
      </w:r>
      <w:r>
        <w:t xml:space="preserve">on at least three distinct</w:t>
      </w:r>
      <w:r>
        <w:t xml:space="preserve"> </w:t>
      </w:r>
      <w:r>
        <w:t xml:space="preserve">temperature points. Seventeen studies passed; two were dropped.</w:t>
      </w:r>
      <w:r>
        <w:t xml:space="preserve"> </w:t>
      </w:r>
      <w:r>
        <w:t xml:space="preserve">[12]</w:t>
      </w:r>
      <w:r>
        <w:t xml:space="preserve"> </w:t>
      </w:r>
      <w:r>
        <w:t xml:space="preserve">[12]</w:t>
      </w:r>
      <w:r>
        <w:t xml:space="preserve"> </w:t>
      </w:r>
      <w:r>
        <w:t xml:space="preserve">gave</w:t>
      </w:r>
      <w:r>
        <w:t xml:space="preserve"> </w:t>
      </w:r>
      <m:oMath>
        <m:sSup>
          <m:e>
            <m:r>
              <m:t>R</m:t>
            </m:r>
          </m:e>
          <m:sup>
            <m:r>
              <m:t>2</m:t>
            </m:r>
          </m:sup>
        </m:sSup>
        <m:r>
          <m:t>​</m:t>
        </m:r>
        <m:r>
          <m:rPr>
            <m:sty m:val="p"/>
          </m:rPr>
          <m:t>=</m:t>
        </m:r>
        <m:r>
          <m:t>​</m:t>
        </m:r>
        <m:r>
          <m:t>0.846</m:t>
        </m:r>
      </m:oMath>
      <w:r>
        <w:t xml:space="preserve"> </w:t>
      </w:r>
      <w:r>
        <w:t xml:space="preserve">(one outlier point destabilised</w:t>
      </w:r>
      <w:r>
        <w:t xml:space="preserve"> </w:t>
      </w:r>
      <w:r>
        <w:t xml:space="preserve">the fit);</w:t>
      </w:r>
      <w:r>
        <w:t xml:space="preserve"> </w:t>
      </w:r>
      <w:r>
        <w:t xml:space="preserve">[26]</w:t>
      </w:r>
      <w:r>
        <w:t xml:space="preserve"> </w:t>
      </w:r>
      <w:r>
        <w:t xml:space="preserve">[26]</w:t>
      </w:r>
      <w:r>
        <w:t xml:space="preserve"> </w:t>
      </w:r>
      <w:r>
        <w:t xml:space="preserve">could not be fit reliably because the</w:t>
      </w:r>
      <w:r>
        <w:t xml:space="preserve"> </w:t>
      </w:r>
      <w:r>
        <w:t xml:space="preserve">lowest-temperature reaction was already</w:t>
      </w:r>
      <w:r>
        <w:t xml:space="preserve"> </w:t>
      </w:r>
      <m:oMath>
        <m:r>
          <m:rPr>
            <m:sty m:val="p"/>
          </m:rPr>
          <m:t>≈</m:t>
        </m:r>
        <m:r>
          <m:t>​</m:t>
        </m:r>
        <m:r>
          <m:t>80</m:t>
        </m:r>
        <m:r>
          <m:rPr>
            <m:sty m:val="p"/>
          </m:rPr>
          <m:t>%</m:t>
        </m:r>
      </m:oMath>
      <w:r>
        <w:t xml:space="preserve"> </w:t>
      </w:r>
      <w:r>
        <w:t xml:space="preserve">complete within ten seconds and</w:t>
      </w:r>
      <w:r>
        <w:t xml:space="preserve"> </w:t>
      </w:r>
      <w:r>
        <w:t xml:space="preserve">the additive loading was confounded with temperature across curves. Both retain their</w:t>
      </w:r>
      <w:r>
        <w:t xml:space="preserve"> </w:t>
      </w:r>
      <w:r>
        <w:t xml:space="preserve">yield rows in the primary dataset but contribute no</w:t>
      </w:r>
      <w:r>
        <w:t xml:space="preserve"> </w:t>
      </w:r>
      <m:oMath>
        <m:sSub>
          <m:e>
            <m:r>
              <m:t>E</m:t>
            </m:r>
          </m:e>
          <m:sub>
            <m:r>
              <m:rPr>
                <m:sty m:val="p"/>
              </m:rPr>
              <m:t>a</m:t>
            </m:r>
          </m:sub>
        </m:sSub>
      </m:oMath>
      <w:r>
        <w:t xml:space="preserve"> </w:t>
      </w:r>
      <w:r>
        <w:t xml:space="preserve">estimate.</w:t>
      </w:r>
      <w:r>
        <w:t xml:space="preserve"> </w:t>
      </w:r>
      <w:r>
        <w:t xml:space="preserve">Fifth, a post-hoc independent-agent inter-rater reliability (IRR) pass</w:t>
      </w:r>
      <w:r>
        <w:t xml:space="preserve"> </w:t>
      </w:r>
      <w:r>
        <w:t xml:space="preserve">re-extracted the three high-variance categorical labels</w:t>
      </w:r>
      <w:r>
        <w:t xml:space="preserve"> </w:t>
      </w:r>
      <w:r>
        <w:t xml:space="preserve">(</w:t>
      </w:r>
      <w:r>
        <w:rPr>
          <w:rStyle w:val="VerbatimChar"/>
        </w:rPr>
        <w:t xml:space="preserve">system_class</w:t>
      </w:r>
      <w:r>
        <w:t xml:space="preserve">,</w:t>
      </w:r>
      <w:r>
        <w:t xml:space="preserve"> </w:t>
      </w:r>
      <w:r>
        <w:rPr>
          <w:rStyle w:val="VerbatimChar"/>
        </w:rPr>
        <w:t xml:space="preserve">temperature_control</w:t>
      </w:r>
      <w:r>
        <w:t xml:space="preserve">,</w:t>
      </w:r>
      <w:r>
        <w:t xml:space="preserve"> </w:t>
      </w:r>
      <w:r>
        <w:rPr>
          <w:rStyle w:val="VerbatimChar"/>
        </w:rPr>
        <w:t xml:space="preserve">measurement_method</w:t>
      </w:r>
      <w:r>
        <w:t xml:space="preserve">)</w:t>
      </w:r>
      <w:r>
        <w:t xml:space="preserve"> </w:t>
      </w:r>
      <w:r>
        <w:t xml:space="preserve">from a stratified random sample of 19 of the 31 studies</w:t>
      </w:r>
      <w:r>
        <w:t xml:space="preserve"> </w:t>
      </w:r>
      <w:r>
        <w:t xml:space="preserve">(77 yield rows, spanning all five</w:t>
      </w:r>
      <w:r>
        <w:t xml:space="preserve"> </w:t>
      </w:r>
      <w:r>
        <w:rPr>
          <w:rStyle w:val="VerbatimChar"/>
        </w:rPr>
        <w:t xml:space="preserve">system_class</w:t>
      </w:r>
      <w:r>
        <w:t xml:space="preserve"> </w:t>
      </w:r>
      <w:r>
        <w:t xml:space="preserve">levels and all quality tiers)</w:t>
      </w:r>
      <w:r>
        <w:t xml:space="preserve"> </w:t>
      </w:r>
      <w:r>
        <w:t xml:space="preserve">using fresh agents with no access to the committed codings.</w:t>
      </w:r>
      <w:r>
        <w:t xml:space="preserve"> </w:t>
      </w:r>
      <w:r>
        <w:t xml:space="preserve">Eight studies were openly accessible; ten were paywalled (Table </w:t>
      </w:r>
      <w:hyperlink w:anchor="tab:qc_summary">
        <w:r>
          <w:rPr>
            <w:rStyle w:val="Hyperlink"/>
          </w:rPr>
          <w:t xml:space="preserve">2</w:t>
        </w:r>
      </w:hyperlink>
      <w:r>
        <w:t xml:space="preserve">).</w:t>
      </w:r>
      <w:r>
        <w:t xml:space="preserve"> </w:t>
      </w:r>
      <w:r>
        <w:t xml:space="preserve">Raw inter-rater agreement on the accessible subset was:</w:t>
      </w:r>
      <w:r>
        <w:t xml:space="preserve"> </w:t>
      </w:r>
      <w:r>
        <w:t xml:space="preserve">Cohen’s</w:t>
      </w:r>
      <w:r>
        <w:t xml:space="preserve"> </w:t>
      </w:r>
      <m:oMath>
        <m:r>
          <m:t>κ</m:t>
        </m:r>
        <m:r>
          <m:t>​</m:t>
        </m:r>
        <m:r>
          <m:rPr>
            <m:sty m:val="p"/>
          </m:rPr>
          <m:t>=</m:t>
        </m:r>
        <m:r>
          <m:t>​</m:t>
        </m:r>
        <m:r>
          <m:t>0.826</m:t>
        </m:r>
      </m:oMath>
      <w:r>
        <w:t xml:space="preserve"> </w:t>
      </w:r>
      <w:r>
        <w:t xml:space="preserve">(</w:t>
      </w:r>
      <w:r>
        <w:rPr>
          <w:rStyle w:val="VerbatimChar"/>
        </w:rPr>
        <w:t xml:space="preserve">system_class</w:t>
      </w:r>
      <w:r>
        <w:t xml:space="preserve">),</w:t>
      </w:r>
      <w:r>
        <w:t xml:space="preserve"> </w:t>
      </w:r>
      <m:oMath>
        <m:r>
          <m:t>κ</m:t>
        </m:r>
        <m:r>
          <m:t>​</m:t>
        </m:r>
        <m:r>
          <m:rPr>
            <m:sty m:val="p"/>
          </m:rPr>
          <m:t>=</m:t>
        </m:r>
        <m:r>
          <m:t>​</m:t>
        </m:r>
        <m:r>
          <m:t>0.429</m:t>
        </m:r>
      </m:oMath>
      <w:r>
        <w:t xml:space="preserve"> </w:t>
      </w:r>
      <w:r>
        <w:t xml:space="preserve">(</w:t>
      </w:r>
      <w:r>
        <w:rPr>
          <w:rStyle w:val="VerbatimChar"/>
        </w:rPr>
        <w:t xml:space="preserve">temperature_control</w:t>
      </w:r>
      <w:r>
        <w:t xml:space="preserve">; pre-adjudication),</w:t>
      </w:r>
      <w:r>
        <w:t xml:space="preserve"> </w:t>
      </w:r>
      <m:oMath>
        <m:r>
          <m:t>κ</m:t>
        </m:r>
        <m:r>
          <m:t>​</m:t>
        </m:r>
        <m:r>
          <m:rPr>
            <m:sty m:val="p"/>
          </m:rPr>
          <m:t>=</m:t>
        </m:r>
        <m:r>
          <m:t>​</m:t>
        </m:r>
        <m:r>
          <m:t>0.700</m:t>
        </m:r>
      </m:oMath>
      <w:r>
        <w:t xml:space="preserve"> </w:t>
      </w:r>
      <w:r>
        <w:t xml:space="preserve">(</w:t>
      </w:r>
      <w:r>
        <w:rPr>
          <w:rStyle w:val="VerbatimChar"/>
        </w:rPr>
        <w:t xml:space="preserve">measurement_method</w:t>
      </w:r>
      <w:r>
        <w:t xml:space="preserve">; pre-adjudication).</w:t>
      </w:r>
      <w:r>
        <w:t xml:space="preserve"> </w:t>
      </w:r>
      <w:r>
        <w:t xml:space="preserve">Adjudication against full texts identified three coding corrections:</w:t>
      </w:r>
      <w:r>
        <w:t xml:space="preserve"> </w:t>
      </w:r>
      <w:r>
        <w:t xml:space="preserve">(1–2) two studies (</w:t>
      </w:r>
      <w:r>
        <w:t xml:space="preserve">[10]</w:t>
      </w:r>
      <w:r>
        <w:t xml:space="preserve"> </w:t>
      </w:r>
      <w:r>
        <w:t xml:space="preserve">[10]</w:t>
      </w:r>
      <w:r>
        <w:t xml:space="preserve">;</w:t>
      </w:r>
      <w:r>
        <w:t xml:space="preserve"> </w:t>
      </w:r>
      <w:r>
        <w:t xml:space="preserve">[29]</w:t>
      </w:r>
      <w:r>
        <w:t xml:space="preserve"> </w:t>
      </w:r>
      <w:r>
        <w:t xml:space="preserve">[29]</w:t>
      </w:r>
      <w:r>
        <w:t xml:space="preserve">) re-coded from</w:t>
      </w:r>
      <w:r>
        <w:t xml:space="preserve"> </w:t>
      </w:r>
      <w:r>
        <w:rPr>
          <w:rStyle w:val="VerbatimChar"/>
        </w:rPr>
        <w:t xml:space="preserve">temperature_control=uncontrolled</w:t>
      </w:r>
      <w:r>
        <w:t xml:space="preserve"> </w:t>
      </w:r>
      <w:r>
        <w:t xml:space="preserve">to</w:t>
      </w:r>
      <w:r>
        <w:t xml:space="preserve"> </w:t>
      </w:r>
      <w:r>
        <w:rPr>
          <w:rStyle w:val="VerbatimChar"/>
        </w:rPr>
        <w:t xml:space="preserve">isothermal_bath</w:t>
      </w:r>
      <w:r>
        <w:t xml:space="preserve">: both papers use an explicit external temperature-control</w:t>
      </w:r>
      <w:r>
        <w:t xml:space="preserve"> </w:t>
      </w:r>
      <w:r>
        <w:t xml:space="preserve">device (ceramic-fiber heater and PID-controlled heating plate, respectively);</w:t>
      </w:r>
      <w:r>
        <w:t xml:space="preserve"> </w:t>
      </w:r>
      <w:r>
        <w:t xml:space="preserve">(3)</w:t>
      </w:r>
      <w:r>
        <w:t xml:space="preserve"> </w:t>
      </w:r>
      <w:r>
        <w:t xml:space="preserve">[6]</w:t>
      </w:r>
      <w:r>
        <w:t xml:space="preserve"> </w:t>
      </w:r>
      <w:r>
        <w:t xml:space="preserve">[6]</w:t>
      </w:r>
      <w:r>
        <w:t xml:space="preserve"> </w:t>
      </w:r>
      <w:r>
        <w:t xml:space="preserve">re-coded from</w:t>
      </w:r>
      <w:r>
        <w:t xml:space="preserve"> </w:t>
      </w:r>
      <w:r>
        <w:rPr>
          <w:rStyle w:val="VerbatimChar"/>
        </w:rPr>
        <w:t xml:space="preserve">measurement_method=water_displacement</w:t>
      </w:r>
      <w:r>
        <w:t xml:space="preserve"> </w:t>
      </w:r>
      <w:r>
        <w:t xml:space="preserve">to</w:t>
      </w:r>
      <w:r>
        <w:t xml:space="preserve"> </w:t>
      </w:r>
      <w:r>
        <w:rPr>
          <w:rStyle w:val="VerbatimChar"/>
        </w:rPr>
        <w:t xml:space="preserve">other</w:t>
      </w:r>
      <w:r>
        <w:t xml:space="preserve">: hydrogen is measured</w:t>
      </w:r>
      <w:r>
        <w:t xml:space="preserve"> </w:t>
      </w:r>
      <w:r>
        <w:t xml:space="preserve">by syringe-piston displacement, not a classic inverted-vessel water-displacement apparatus.</w:t>
      </w:r>
      <w:r>
        <w:t xml:space="preserve"> </w:t>
      </w:r>
      <w:r>
        <w:t xml:space="preserve">Post-adjudication agreement:</w:t>
      </w:r>
      <w:r>
        <w:t xml:space="preserve"> </w:t>
      </w:r>
      <m:oMath>
        <m:r>
          <m:t>κ</m:t>
        </m:r>
        <m:r>
          <m:t>​</m:t>
        </m:r>
        <m:r>
          <m:rPr>
            <m:sty m:val="p"/>
          </m:rPr>
          <m:t>=</m:t>
        </m:r>
        <m:r>
          <m:t>​</m:t>
        </m:r>
        <m:r>
          <m:t>0.826</m:t>
        </m:r>
      </m:oMath>
      <w:r>
        <w:t xml:space="preserve"> </w:t>
      </w:r>
      <w:r>
        <w:t xml:space="preserve">(</w:t>
      </w:r>
      <w:r>
        <w:rPr>
          <w:rStyle w:val="VerbatimChar"/>
        </w:rPr>
        <w:t xml:space="preserve">system_class</w:t>
      </w:r>
      <w:r>
        <w:t xml:space="preserve">),</w:t>
      </w:r>
      <w:r>
        <w:t xml:space="preserve"> </w:t>
      </w:r>
      <m:oMath>
        <m:r>
          <m:t>κ</m:t>
        </m:r>
        <m:r>
          <m:t>​</m:t>
        </m:r>
        <m:r>
          <m:rPr>
            <m:sty m:val="p"/>
          </m:rPr>
          <m:t>=</m:t>
        </m:r>
        <m:r>
          <m:t>​</m:t>
        </m:r>
        <m:r>
          <m:t>1.00</m:t>
        </m:r>
      </m:oMath>
      <w:r>
        <w:t xml:space="preserve"> </w:t>
      </w:r>
      <w:r>
        <w:t xml:space="preserve">(</w:t>
      </w:r>
      <w:r>
        <w:rPr>
          <w:rStyle w:val="VerbatimChar"/>
        </w:rPr>
        <w:t xml:space="preserve">temperature_control</w:t>
      </w:r>
      <w:r>
        <w:t xml:space="preserve">),</w:t>
      </w:r>
      <w:r>
        <w:t xml:space="preserve"> </w:t>
      </w:r>
      <m:oMath>
        <m:r>
          <m:t>κ</m:t>
        </m:r>
        <m:r>
          <m:t>​</m:t>
        </m:r>
        <m:r>
          <m:rPr>
            <m:sty m:val="p"/>
          </m:rPr>
          <m:t>=</m:t>
        </m:r>
        <m:r>
          <m:t>​</m:t>
        </m:r>
        <m:r>
          <m:t>1.00</m:t>
        </m:r>
      </m:oMath>
      <w:r>
        <w:t xml:space="preserve"> </w:t>
      </w:r>
      <w:r>
        <w:t xml:space="preserve">(</w:t>
      </w:r>
      <w:r>
        <w:rPr>
          <w:rStyle w:val="VerbatimChar"/>
        </w:rPr>
        <w:t xml:space="preserve">measurement_method</w:t>
      </w:r>
      <w:r>
        <w:t xml:space="preserve">).</w:t>
      </w:r>
      <w:r>
        <w:t xml:space="preserve"> </w:t>
      </w:r>
      <w:r>
        <w:t xml:space="preserve">These corrections meaningfully changed the</w:t>
      </w:r>
      <w:r>
        <w:t xml:space="preserve"> </w:t>
      </w:r>
      <w:r>
        <w:rPr>
          <w:rStyle w:val="VerbatimChar"/>
        </w:rPr>
        <w:t xml:space="preserve">temperature_control</w:t>
      </w:r>
      <w:r>
        <w:t xml:space="preserve"> </w:t>
      </w:r>
      <m:oMath>
        <m:sSubSup>
          <m:e>
            <m:r>
              <m:t>R</m:t>
            </m:r>
          </m:e>
          <m:sub>
            <m:r>
              <m:t>C</m:t>
            </m:r>
          </m:sub>
          <m:sup>
            <m:r>
              <m:t>2</m:t>
            </m:r>
          </m:sup>
        </m:sSubSup>
      </m:oMath>
      <w:r>
        <w:t xml:space="preserve"> </w:t>
      </w:r>
      <w:r>
        <w:t xml:space="preserve">from</w:t>
      </w:r>
      <w:r>
        <w:t xml:space="preserve"> </w:t>
      </w:r>
      <m:oMath>
        <m:r>
          <m:t>0.332</m:t>
        </m:r>
      </m:oMath>
      <w:r>
        <w:t xml:space="preserve"> </w:t>
      </w:r>
      <w:r>
        <w:t xml:space="preserve">to</w:t>
      </w:r>
      <w:r>
        <w:t xml:space="preserve"> </w:t>
      </w:r>
      <m:oMath>
        <m:r>
          <m:t>0.081</m:t>
        </m:r>
      </m:oMath>
      <w:r>
        <w:t xml:space="preserve">;</w:t>
      </w:r>
      <w:r>
        <w:t xml:space="preserve"> </w:t>
      </w:r>
      <w:r>
        <w:rPr>
          <w:rStyle w:val="VerbatimChar"/>
        </w:rPr>
        <w:t xml:space="preserve">measurement_method</w:t>
      </w:r>
      <w:r>
        <w:t xml:space="preserve"> </w:t>
      </w:r>
      <w:r>
        <w:t xml:space="preserve">became the</w:t>
      </w:r>
      <w:r>
        <w:t xml:space="preserve"> </w:t>
      </w:r>
      <w:r>
        <w:t xml:space="preserve">largest individual predictor (</w:t>
      </w:r>
      <m:oMath>
        <m:sSubSup>
          <m:e>
            <m:r>
              <m:t>R</m:t>
            </m:r>
          </m:e>
          <m:sub>
            <m:r>
              <m:t>C</m:t>
            </m:r>
          </m:sub>
          <m:sup>
            <m:r>
              <m:t>2</m:t>
            </m:r>
          </m:sup>
        </m:sSubSup>
        <m:r>
          <m:t>​</m:t>
        </m:r>
        <m:r>
          <m:rPr>
            <m:sty m:val="p"/>
          </m:rPr>
          <m:t>=</m:t>
        </m:r>
        <m:r>
          <m:t>​</m:t>
        </m:r>
        <m:r>
          <m:t>0.425</m:t>
        </m:r>
      </m:oMath>
      <w:r>
        <w:t xml:space="preserve">). The headline finding</w:t>
      </w:r>
      <w:r>
        <w:t xml:space="preserve"> </w:t>
      </w:r>
      <w:r>
        <w:t xml:space="preserve">(methodological covariates explain</w:t>
      </w:r>
      <w:r>
        <w:t xml:space="preserve"> </w:t>
      </w:r>
      <m:oMath>
        <m:r>
          <m:rPr>
            <m:sty m:val="p"/>
          </m:rPr>
          <m:t>≫</m:t>
        </m:r>
      </m:oMath>
      <w:r>
        <w:t xml:space="preserve"> </w:t>
      </w:r>
      <w:r>
        <w:t xml:space="preserve">regime) is unchanged and strengthened</w:t>
      </w:r>
      <w:r>
        <w:t xml:space="preserve"> </w:t>
      </w:r>
      <w:r>
        <w:t xml:space="preserve">(</w:t>
      </w:r>
      <m:oMath>
        <m:r>
          <m:t>72</m:t>
        </m:r>
        <m:r>
          <m:rPr>
            <m:sty m:val="p"/>
          </m:rPr>
          <m:t>%</m:t>
        </m:r>
      </m:oMath>
      <w:r>
        <w:t xml:space="preserve"> </w:t>
      </w:r>
      <w:r>
        <w:t xml:space="preserve">vs. </w:t>
      </w:r>
      <m:oMath>
        <m:r>
          <m:t>2</m:t>
        </m:r>
        <m:r>
          <m:rPr>
            <m:sty m:val="p"/>
          </m:rPr>
          <m:t>%</m:t>
        </m:r>
      </m:oMath>
      <w:r>
        <w:t xml:space="preserve">; was</w:t>
      </w:r>
      <w:r>
        <w:t xml:space="preserve"> </w:t>
      </w:r>
      <m:oMath>
        <m:r>
          <m:t>55</m:t>
        </m:r>
        <m:r>
          <m:rPr>
            <m:sty m:val="p"/>
          </m:rPr>
          <m:t>%</m:t>
        </m:r>
      </m:oMath>
      <w:r>
        <w:t xml:space="preserve"> </w:t>
      </w:r>
      <w:r>
        <w:t xml:space="preserve">vs. </w:t>
      </w:r>
      <m:oMath>
        <m:r>
          <m:t>2</m:t>
        </m:r>
        <m:r>
          <m:rPr>
            <m:sty m:val="p"/>
          </m:rPr>
          <m:t>%</m:t>
        </m:r>
      </m:oMath>
      <w:r>
        <w:t xml:space="preserve">). The IRR pass is agent-based</w:t>
      </w:r>
      <w:r>
        <w:t xml:space="preserve"> </w:t>
      </w:r>
      <w:r>
        <w:t xml:space="preserve">(independent agents, same base model), so shared model-level systematic errors</w:t>
      </w:r>
      <w:r>
        <w:t xml:space="preserve"> </w:t>
      </w:r>
      <w:r>
        <w:t xml:space="preserve">are not fully excluded; this is not equivalent to human dual-coding.</w:t>
      </w:r>
    </w:p>
    <w:bookmarkStart w:id="27" w:name="tab:qc_summary"/>
    <w:p>
      <w:pPr>
        <w:pStyle w:val="TableCaption"/>
      </w:pPr>
      <w:r>
        <w:rPr>
          <w:b/>
          <w:bCs/>
        </w:rPr>
        <w:t xml:space="preserve">Quality-control procedures and outcomes.</w:t>
      </w:r>
    </w:p>
    <w:tbl>
      <w:tblPr>
        <w:tblStyle w:val="Table"/>
        <w:tblW w:type="auto" w:w="0"/>
        <w:tblLook w:firstRow="1" w:lastRow="0" w:firstColumn="0" w:lastColumn="0" w:noHBand="0" w:noVBand="0" w:val="0020"/>
        <w:tblCaption w:val="Quality-control procedures and outcomes."/>
      </w:tblPr>
      <w:tblGrid>
        <w:gridCol w:w="1980"/>
        <w:gridCol w:w="1980"/>
        <w:gridCol w:w="1980"/>
        <w:gridCol w:w="1980"/>
      </w:tblGrid>
      <w:tr>
        <w:trPr>
          <w:tblHeader w:val="on"/>
        </w:trPr>
        <w:tc>
          <w:tcPr/>
          <w:p>
            <w:pPr>
              <w:pStyle w:val="Compact"/>
              <w:jc w:val="left"/>
            </w:pPr>
            <w:r>
              <w:t xml:space="preserve">Procedure</w:t>
            </w:r>
          </w:p>
        </w:tc>
        <w:tc>
          <w:tcPr/>
          <w:p>
            <w:pPr>
              <w:pStyle w:val="Compact"/>
              <w:jc w:val="left"/>
            </w:pPr>
            <w:r>
              <w:t xml:space="preserve">Scope</w:t>
            </w:r>
          </w:p>
        </w:tc>
        <w:tc>
          <w:tcPr/>
          <w:p>
            <w:pPr>
              <w:pStyle w:val="Compact"/>
              <w:jc w:val="left"/>
            </w:pPr>
            <w:r>
              <w:t xml:space="preserve">Result</w:t>
            </w:r>
          </w:p>
        </w:tc>
        <w:tc>
          <w:tcPr/>
          <w:p>
            <w:pPr>
              <w:pStyle w:val="Compact"/>
              <w:jc w:val="left"/>
            </w:pPr>
            <w:r>
              <w:t xml:space="preserve">Action</w:t>
            </w:r>
          </w:p>
        </w:tc>
      </w:tr>
      <w:tr>
        <w:tc>
          <w:tcPr/>
          <w:p>
            <w:pPr>
              <w:pStyle w:val="Compact"/>
              <w:jc w:val="left"/>
            </w:pPr>
            <w:r>
              <w:t xml:space="preserve">Double extraction</w:t>
            </w:r>
          </w:p>
        </w:tc>
        <w:tc>
          <w:tcPr/>
          <w:p>
            <w:pPr>
              <w:pStyle w:val="Compact"/>
              <w:jc w:val="left"/>
            </w:pPr>
            <w:r>
              <w:t xml:space="preserve">52 rows, 5 studies</w:t>
            </w:r>
          </w:p>
        </w:tc>
        <w:tc>
          <w:tcPr/>
          <w:p>
            <w:pPr>
              <w:pStyle w:val="Compact"/>
              <w:jc w:val="left"/>
            </w:pPr>
            <w:r>
              <w:t xml:space="preserve">52/52 exact</w:t>
            </w:r>
          </w:p>
        </w:tc>
        <w:tc>
          <w:tcPr/>
          <w:p>
            <w:pPr>
              <w:pStyle w:val="Compact"/>
              <w:jc w:val="left"/>
            </w:pPr>
            <w:r>
              <w:t xml:space="preserve">None</w:t>
            </w:r>
          </w:p>
        </w:tc>
      </w:tr>
      <w:tr>
        <w:tc>
          <w:tcPr/>
          <w:p>
            <w:pPr>
              <w:pStyle w:val="Compact"/>
              <w:jc w:val="left"/>
            </w:pPr>
            <w:r>
              <w:t xml:space="preserve">Classification audit</w:t>
            </w:r>
          </w:p>
        </w:tc>
        <w:tc>
          <w:tcPr/>
          <w:p>
            <w:pPr>
              <w:pStyle w:val="Compact"/>
              <w:jc w:val="left"/>
            </w:pPr>
            <w:r>
              <w:t xml:space="preserve">All 31 studies</w:t>
            </w:r>
          </w:p>
        </w:tc>
        <w:tc>
          <w:tcPr/>
          <w:p>
            <w:pPr>
              <w:pStyle w:val="Compact"/>
              <w:jc w:val="left"/>
            </w:pPr>
            <w:r>
              <w:t xml:space="preserve">1 error found</w:t>
            </w:r>
          </w:p>
        </w:tc>
        <w:tc>
          <w:tcPr/>
          <w:p>
            <w:pPr>
              <w:pStyle w:val="Compact"/>
              <w:jc w:val="left"/>
            </w:pPr>
            <w:r>
              <w:t xml:space="preserve">[2]</w:t>
            </w:r>
            <w:r>
              <w:t xml:space="preserve"> </w:t>
            </w:r>
            <w:r>
              <w:t xml:space="preserve">reclassified</w:t>
            </w:r>
          </w:p>
        </w:tc>
      </w:tr>
      <w:tr>
        <w:tc>
          <w:tcPr/>
          <w:p>
            <w:pPr>
              <w:pStyle w:val="Compact"/>
              <w:jc w:val="left"/>
            </w:pPr>
            <w:r>
              <w:t xml:space="preserve">Digitization QC</w:t>
            </w:r>
          </w:p>
        </w:tc>
        <w:tc>
          <w:tcPr/>
          <w:p>
            <w:pPr>
              <w:pStyle w:val="Compact"/>
              <w:jc w:val="left"/>
            </w:pPr>
            <w:r>
              <w:t xml:space="preserve">5 kinetic curves re-read</w:t>
            </w:r>
          </w:p>
        </w:tc>
        <w:tc>
          <w:tcPr/>
          <w:p>
            <w:pPr>
              <w:pStyle w:val="Compact"/>
              <w:jc w:val="left"/>
            </w:pPr>
            <m:oMath>
              <m:r>
                <m:rPr>
                  <m:sty m:val="p"/>
                </m:rPr>
                <m:t>≈</m:t>
              </m:r>
            </m:oMath>
            <w:r>
              <w:t xml:space="preserve">1.5% point error</w:t>
            </w:r>
          </w:p>
        </w:tc>
        <w:tc>
          <w:tcPr/>
          <w:p>
            <w:pPr>
              <w:pStyle w:val="Compact"/>
              <w:jc w:val="left"/>
            </w:pPr>
            <w:r>
              <w:t xml:space="preserve">Accepted</w:t>
            </w:r>
          </w:p>
        </w:tc>
      </w:tr>
      <w:tr>
        <w:tc>
          <w:tcPr/>
          <w:p>
            <w:pPr>
              <w:pStyle w:val="Compact"/>
              <w:jc w:val="left"/>
            </w:pPr>
            <w:r>
              <w:t xml:space="preserve">Arrhenius quality gate</w:t>
            </w:r>
          </w:p>
        </w:tc>
        <w:tc>
          <w:tcPr/>
          <w:p>
            <w:pPr>
              <w:pStyle w:val="Compact"/>
              <w:jc w:val="left"/>
            </w:pPr>
            <w:r>
              <w:t xml:space="preserve">Studies with</w:t>
            </w:r>
            <w:r>
              <w:t xml:space="preserve"> </w:t>
            </w:r>
            <m:oMath>
              <m:r>
                <m:rPr>
                  <m:sty m:val="p"/>
                </m:rPr>
                <m:t>≥</m:t>
              </m:r>
              <m:r>
                <m:t>​</m:t>
              </m:r>
              <m:r>
                <m:t>3</m:t>
              </m:r>
            </m:oMath>
            <w:r>
              <w:t xml:space="preserve"> </w:t>
            </w:r>
            <w:r>
              <w:t xml:space="preserve">T-point rate data</w:t>
            </w:r>
          </w:p>
        </w:tc>
        <w:tc>
          <w:tcPr/>
          <w:p>
            <w:pPr>
              <w:pStyle w:val="Compact"/>
              <w:jc w:val="left"/>
            </w:pPr>
            <w:r>
              <w:t xml:space="preserve">17 passed (</w:t>
            </w:r>
            <m:oMath>
              <m:sSup>
                <m:e>
                  <m:r>
                    <m:t>R</m:t>
                  </m:r>
                </m:e>
                <m:sup>
                  <m:r>
                    <m:t>2</m:t>
                  </m:r>
                </m:sup>
              </m:sSup>
              <m:r>
                <m:t>​</m:t>
              </m:r>
              <m:r>
                <m:rPr>
                  <m:sty m:val="p"/>
                </m:rPr>
                <m:t>≥</m:t>
              </m:r>
              <m:r>
                <m:t>​</m:t>
              </m:r>
              <m:r>
                <m:t>0.90</m:t>
              </m:r>
            </m:oMath>
            <w:r>
              <w:t xml:space="preserve">)</w:t>
            </w:r>
          </w:p>
        </w:tc>
        <w:tc>
          <w:tcPr/>
          <w:p>
            <w:pPr>
              <w:pStyle w:val="Compact"/>
              <w:jc w:val="left"/>
            </w:pPr>
            <w:r>
              <w:t xml:space="preserve">[12]</w:t>
            </w:r>
            <w:r>
              <w:t xml:space="preserve">,</w:t>
            </w:r>
            <w:r>
              <w:t xml:space="preserve"> </w:t>
            </w:r>
            <w:r>
              <w:t xml:space="preserve">[26]</w:t>
            </w:r>
            <w:r>
              <w:t xml:space="preserve"> </w:t>
            </w:r>
            <w:r>
              <w:t xml:space="preserve">dropped</w:t>
            </w:r>
          </w:p>
        </w:tc>
      </w:tr>
      <w:tr>
        <w:tc>
          <w:tcPr/>
          <w:p>
            <w:pPr>
              <w:pStyle w:val="Compact"/>
              <w:jc w:val="left"/>
            </w:pPr>
            <w:r>
              <w:t xml:space="preserve">Independent-agent IRR</w:t>
            </w:r>
          </w:p>
        </w:tc>
        <w:tc>
          <w:tcPr/>
          <w:p>
            <w:pPr>
              <w:pStyle w:val="Compact"/>
              <w:jc w:val="left"/>
            </w:pPr>
            <w:r>
              <w:t xml:space="preserve">19-study stratified sample (8 accessible)</w:t>
            </w:r>
          </w:p>
        </w:tc>
        <w:tc>
          <w:tcPr/>
          <w:p>
            <w:pPr>
              <w:pStyle w:val="Compact"/>
              <w:jc w:val="left"/>
            </w:pPr>
            <m:oMath>
              <m:r>
                <m:t>κ</m:t>
              </m:r>
              <m:r>
                <m:t>​</m:t>
              </m:r>
              <m:r>
                <m:rPr>
                  <m:sty m:val="p"/>
                </m:rPr>
                <m:t>=</m:t>
              </m:r>
              <m:r>
                <m:t>​</m:t>
              </m:r>
              <m:r>
                <m:t>0.83</m:t>
              </m:r>
            </m:oMath>
            <w:r>
              <w:t xml:space="preserve"> / </w:t>
            </w:r>
            <m:oMath>
              <m:r>
                <m:t>1.00</m:t>
              </m:r>
            </m:oMath>
            <w:r>
              <w:t xml:space="preserve"> / </w:t>
            </w:r>
            <m:oMath>
              <m:r>
                <m:t>1.00</m:t>
              </m:r>
            </m:oMath>
            <w:r>
              <w:t xml:space="preserve"> </w:t>
            </w:r>
            <w:r>
              <w:t xml:space="preserve">post-adj. (sc/tc/mm)</w:t>
            </w:r>
          </w:p>
        </w:tc>
        <w:tc>
          <w:tcPr/>
          <w:p>
            <w:pPr>
              <w:pStyle w:val="Compact"/>
              <w:jc w:val="left"/>
            </w:pPr>
            <w:r>
              <w:t xml:space="preserve">3 codings corrected; tc </w:t>
            </w:r>
            <m:oMath>
              <m:sSup>
                <m:e>
                  <m:r>
                    <m:t>R</m:t>
                  </m:r>
                </m:e>
                <m:sup>
                  <m:r>
                    <m:t>2</m:t>
                  </m:r>
                </m:sup>
              </m:sSup>
            </m:oMath>
            <w:r>
              <w:t xml:space="preserve"> </w:t>
            </w:r>
            <w:r>
              <w:t xml:space="preserve">revised</w:t>
            </w:r>
          </w:p>
        </w:tc>
      </w:tr>
    </w:tbl>
    <w:bookmarkEnd w:id="27"/>
    <w:bookmarkEnd w:id="28"/>
    <w:bookmarkStart w:id="29" w:name="leakage-controlled-evaluation"/>
    <w:p>
      <w:pPr>
        <w:pStyle w:val="Heading2"/>
      </w:pPr>
      <w:r>
        <w:t xml:space="preserve">Leakage-controlled evaluation</w:t>
      </w:r>
    </w:p>
    <w:p>
      <w:pPr>
        <w:pStyle w:val="FirstParagraph"/>
      </w:pPr>
      <w:r>
        <w:t xml:space="preserve">For each of six comparative regressors (ElasticNet,</w:t>
      </w:r>
      <w:r>
        <w:t xml:space="preserve"> </w:t>
      </w:r>
      <m:oMath>
        <m:r>
          <m:t>k</m:t>
        </m:r>
      </m:oMath>
      <w:r>
        <w:t xml:space="preserve">-nearest neighbours (</w:t>
      </w:r>
      <m:oMath>
        <m:r>
          <m:t>k</m:t>
        </m:r>
      </m:oMath>
      <w:r>
        <w:t xml:space="preserve">NN),</w:t>
      </w:r>
      <w:r>
        <w:t xml:space="preserve"> </w:t>
      </w:r>
      <w:r>
        <w:t xml:space="preserve">random forest (RF), XGBoost (XGB), LightGBM (LGBM), and Gaussian process (GP)) we</w:t>
      </w:r>
      <w:r>
        <w:t xml:space="preserve"> </w:t>
      </w:r>
      <w:r>
        <w:t xml:space="preserve">estimated the held-out coefficient of determination</w:t>
      </w:r>
      <w:r>
        <w:t xml:space="preserve"> </w:t>
      </w:r>
      <m:oMath>
        <m:sSup>
          <m:e>
            <m:r>
              <m:t>R</m:t>
            </m:r>
          </m:e>
          <m:sup>
            <m:r>
              <m:t>2</m:t>
            </m:r>
          </m:sup>
        </m:sSup>
      </m:oMath>
      <w:r>
        <w:t xml:space="preserve"> </w:t>
      </w:r>
      <w:r>
        <w:t xml:space="preserve">under two cross-validation</w:t>
      </w:r>
      <w:r>
        <w:t xml:space="preserve"> </w:t>
      </w:r>
      <w:r>
        <w:t xml:space="preserve">protocols. These six regressors span linear (ElasticNet), kernel (GP), instance-based</w:t>
      </w:r>
      <w:r>
        <w:t xml:space="preserve"> </w:t>
      </w:r>
      <w:r>
        <w:t xml:space="preserve">(</w:t>
      </w:r>
      <m:oMath>
        <m:r>
          <m:t>k</m:t>
        </m:r>
      </m:oMath>
      <w:r>
        <w:t xml:space="preserve">NN), bagging (RF), and gradient-boosting (XGB, LGBM) inductive paradigms.</w:t>
      </w:r>
      <w:r>
        <w:t xml:space="preserve"> </w:t>
      </w:r>
      <w:r>
        <w:t xml:space="preserve">In the</w:t>
      </w:r>
      <w:r>
        <w:t xml:space="preserve"> </w:t>
      </w:r>
      <w:r>
        <w:rPr>
          <w:i/>
          <w:iCs/>
        </w:rPr>
        <w:t xml:space="preserve">random-split</w:t>
      </w:r>
      <w:r>
        <w:t xml:space="preserve"> </w:t>
      </w:r>
      <w:r>
        <w:t xml:space="preserve">protocol, records are assigned to folds</w:t>
      </w:r>
      <w:r>
        <w:t xml:space="preserve"> </w:t>
      </w:r>
      <w:r>
        <w:t xml:space="preserve">independently of their study origin, the standard approach in prior ML literature on</w:t>
      </w:r>
      <w:r>
        <w:t xml:space="preserve"> </w:t>
      </w:r>
      <w:r>
        <w:t xml:space="preserve">this domain. In the</w:t>
      </w:r>
      <w:r>
        <w:t xml:space="preserve"> </w:t>
      </w:r>
      <w:r>
        <w:rPr>
          <w:i/>
          <w:iCs/>
        </w:rPr>
        <w:t xml:space="preserve">study-grouped</w:t>
      </w:r>
      <w:r>
        <w:t xml:space="preserve"> </w:t>
      </w:r>
      <w:r>
        <w:t xml:space="preserve">protocol, all records from a given study are</w:t>
      </w:r>
      <w:r>
        <w:t xml:space="preserve"> </w:t>
      </w:r>
      <w:r>
        <w:t xml:space="preserve">withheld together, ensuring no study contributes to both training and test partitions.</w:t>
      </w:r>
      <w:r>
        <w:t xml:space="preserve"> </w:t>
      </w:r>
      <w:r>
        <w:t xml:space="preserve">The</w:t>
      </w:r>
      <w:r>
        <w:t xml:space="preserve"> </w:t>
      </w:r>
      <w:r>
        <w:rPr>
          <w:i/>
          <w:iCs/>
        </w:rPr>
        <w:t xml:space="preserve">optimism gap</w:t>
      </w:r>
      <w:r>
        <w:t xml:space="preserve">,</w:t>
      </w:r>
      <w:r>
        <w:t xml:space="preserve"> </w:t>
      </w:r>
      <m:oMath>
        <m:sSubSup>
          <m:e>
            <m:r>
              <m:t>R</m:t>
            </m:r>
          </m:e>
          <m:sub>
            <m:r>
              <m:rPr>
                <m:nor/>
                <m:sty m:val="p"/>
              </m:rPr>
              <m:t>random</m:t>
            </m:r>
          </m:sub>
          <m:sup>
            <m:r>
              <m:t>2</m:t>
            </m:r>
          </m:sup>
        </m:sSubSup>
        <m:r>
          <m:rPr>
            <m:sty m:val="p"/>
          </m:rPr>
          <m:t>−</m:t>
        </m:r>
        <m:sSubSup>
          <m:e>
            <m:r>
              <m:t>R</m:t>
            </m:r>
          </m:e>
          <m:sub>
            <m:r>
              <m:rPr>
                <m:nor/>
                <m:sty m:val="p"/>
              </m:rPr>
              <m:t>grouped</m:t>
            </m:r>
          </m:sub>
          <m:sup>
            <m:r>
              <m:t>2</m:t>
            </m:r>
          </m:sup>
        </m:sSubSup>
      </m:oMath>
      <w:r>
        <w:t xml:space="preserve">, measures how</w:t>
      </w:r>
      <w:r>
        <w:t xml:space="preserve"> </w:t>
      </w:r>
      <w:r>
        <w:t xml:space="preserve">much random splitting overstates cross-study generalization.</w:t>
      </w:r>
    </w:p>
    <w:p>
      <w:pPr>
        <w:pStyle w:val="BodyText"/>
      </w:pPr>
      <w:r>
        <w:t xml:space="preserve">Missing values are handled per model family. Tree-based models (RF, XGB, LGBM) exploit</w:t>
      </w:r>
      <w:r>
        <w:t xml:space="preserve"> </w:t>
      </w:r>
      <w:r>
        <w:t xml:space="preserve">their native missing-value pathways and require no imputation. Linear and kernel models</w:t>
      </w:r>
      <w:r>
        <w:t xml:space="preserve"> </w:t>
      </w:r>
      <w:r>
        <w:t xml:space="preserve">(ElasticNet, GP) receive median imputation and one-hot encoding for categorical</w:t>
      </w:r>
      <w:r>
        <w:t xml:space="preserve"> </w:t>
      </w:r>
      <w:r>
        <w:t xml:space="preserve">variables; imputation statistics are computed on the training fold only and applied to</w:t>
      </w:r>
      <w:r>
        <w:t xml:space="preserve"> </w:t>
      </w:r>
      <w:r>
        <w:t xml:space="preserve">the held-out fold to prevent leakage through imputation. Permutation importance and</w:t>
      </w:r>
      <w:r>
        <w:t xml:space="preserve"> </w:t>
      </w:r>
      <w:r>
        <w:t xml:space="preserve">SHAP values are estimated from in-sample RF fits and used descriptively.</w:t>
      </w:r>
    </w:p>
    <w:p>
      <w:pPr>
        <w:pStyle w:val="BodyText"/>
      </w:pPr>
      <w:r>
        <w:t xml:space="preserve">A negative-control robustness check (TEST 1) substitutes the study-grouped</w:t>
      </w:r>
      <w:r>
        <w:t xml:space="preserve"> </w:t>
      </w:r>
      <w:r>
        <w:t xml:space="preserve">macro-average</w:t>
      </w:r>
      <w:r>
        <w:t xml:space="preserve"> </w:t>
      </w:r>
      <m:oMath>
        <m:sSup>
          <m:e>
            <m:r>
              <m:t>R</m:t>
            </m:r>
          </m:e>
          <m:sup>
            <m:r>
              <m:t>2</m:t>
            </m:r>
          </m:sup>
        </m:sSup>
      </m:oMath>
      <w:r>
        <w:t xml:space="preserve"> </w:t>
      </w:r>
      <w:r>
        <w:t xml:space="preserve">with a row-weighted LOSO (leave-one-study-out)</w:t>
      </w:r>
      <w:r>
        <w:t xml:space="preserve"> </w:t>
      </w:r>
      <m:oMath>
        <m:sSup>
          <m:e>
            <m:r>
              <m:t>R</m:t>
            </m:r>
          </m:e>
          <m:sup>
            <m:r>
              <m:t>2</m:t>
            </m:r>
          </m:sup>
        </m:sSup>
      </m:oMath>
      <w:r>
        <w:t xml:space="preserve"> </w:t>
      </w:r>
      <w:r>
        <w:t xml:space="preserve">to confirm</w:t>
      </w:r>
      <w:r>
        <w:t xml:space="preserve"> </w:t>
      </w:r>
      <w:r>
        <w:t xml:space="preserve">that the performance collapse is not an artifact of the aggregation rule.</w:t>
      </w:r>
    </w:p>
    <w:bookmarkEnd w:id="29"/>
    <w:bookmarkStart w:id="30" w:name="sec:variance_decomp"/>
    <w:p>
      <w:pPr>
        <w:pStyle w:val="Heading2"/>
      </w:pPr>
      <w:r>
        <w:t xml:space="preserve">Between-study variance decomposition and mixed-effects regression</w:t>
      </w:r>
    </w:p>
    <w:p>
      <w:pPr>
        <w:pStyle w:val="FirstParagraph"/>
      </w:pPr>
      <w:r>
        <w:t xml:space="preserve">To identify</w:t>
      </w:r>
      <w:r>
        <w:t xml:space="preserve"> </w:t>
      </w:r>
      <w:r>
        <w:rPr>
          <w:i/>
          <w:iCs/>
        </w:rPr>
        <w:t xml:space="preserve">what accounts for</w:t>
      </w:r>
      <w:r>
        <w:t xml:space="preserve"> </w:t>
      </w:r>
      <w:r>
        <w:t xml:space="preserve">between-study disagreement, we aggregate to the study</w:t>
      </w:r>
      <w:r>
        <w:t xml:space="preserve"> </w:t>
      </w:r>
      <w:r>
        <w:t xml:space="preserve">level (one row per study: mean yield and modal covariate values for that study) and</w:t>
      </w:r>
      <w:r>
        <w:t xml:space="preserve"> </w:t>
      </w:r>
      <w:r>
        <w:t xml:space="preserve">decompose the total between-study variance of mean yield. For a categorical predictor</w:t>
      </w:r>
      <w:r>
        <w:t xml:space="preserve"> </w:t>
      </w:r>
      <m:oMath>
        <m:r>
          <m:t>C</m:t>
        </m:r>
      </m:oMath>
      <w:r>
        <w:t xml:space="preserve"> </w:t>
      </w:r>
      <w:r>
        <w:t xml:space="preserve">the variance share is</w:t>
      </w:r>
    </w:p>
    <w:p>
      <w:pPr>
        <w:pStyle w:val="BodyText"/>
      </w:pPr>
      <m:oMathPara>
        <m:oMathParaPr>
          <m:jc m:val="center"/>
        </m:oMathParaPr>
        <m:oMath>
          <m:sSubSup>
            <m:e>
              <m:r>
                <m:t>R</m:t>
              </m:r>
            </m:e>
            <m:sub>
              <m:r>
                <m:t>C</m:t>
              </m:r>
            </m:sub>
            <m:sup>
              <m:r>
                <m:t>2</m:t>
              </m:r>
            </m:sup>
          </m:sSubSup>
          <m:r>
            <m:t> </m:t>
          </m:r>
          <m:r>
            <m:rPr>
              <m:sty m:val="p"/>
            </m:rPr>
            <m:t>=</m:t>
          </m:r>
          <m:r>
            <m:t> </m:t>
          </m:r>
          <m:r>
            <m:t>1</m:t>
          </m:r>
          <m:r>
            <m:rPr>
              <m:sty m:val="p"/>
            </m:rPr>
            <m:t>−</m:t>
          </m:r>
          <m:f>
            <m:fPr>
              <m:type m:val="bar"/>
            </m:fPr>
            <m:num>
              <m:sSub>
                <m:e>
                  <m:r>
                    <m:rPr>
                      <m:sty m:val="p"/>
                    </m:rPr>
                    <m:t>S</m:t>
                  </m:r>
                  <m:r>
                    <m:rPr>
                      <m:sty m:val="p"/>
                    </m:rPr>
                    <m:t>S</m:t>
                  </m:r>
                </m:e>
                <m:sub>
                  <m:r>
                    <m:rPr>
                      <m:nor/>
                      <m:sty m:val="p"/>
                    </m:rPr>
                    <m:t>within</m:t>
                  </m:r>
                </m:sub>
              </m:sSub>
              <m:r>
                <m:rPr>
                  <m:sty m:val="p"/>
                </m:rPr>
                <m:t>(</m:t>
              </m:r>
              <m:r>
                <m:t>C</m:t>
              </m:r>
              <m:r>
                <m:rPr>
                  <m:sty m:val="p"/>
                </m:rPr>
                <m:t>)</m:t>
              </m:r>
            </m:num>
            <m:den>
              <m:sSub>
                <m:e>
                  <m:r>
                    <m:rPr>
                      <m:sty m:val="p"/>
                    </m:rPr>
                    <m:t>S</m:t>
                  </m:r>
                  <m:r>
                    <m:rPr>
                      <m:sty m:val="p"/>
                    </m:rPr>
                    <m:t>S</m:t>
                  </m:r>
                </m:e>
                <m:sub>
                  <m:r>
                    <m:rPr>
                      <m:nor/>
                      <m:sty m:val="p"/>
                    </m:rPr>
                    <m:t>total</m:t>
                  </m:r>
                </m:sub>
              </m:sSub>
            </m:den>
          </m:f>
          <m:r>
            <m:rPr>
              <m:sty m:val="p"/>
            </m:rPr>
            <m:t>,</m:t>
          </m:r>
        </m:oMath>
      </m:oMathPara>
    </w:p>
    <w:p>
      <w:pPr>
        <w:pStyle w:val="FirstParagraph"/>
      </w:pPr>
      <w:r>
        <w:t xml:space="preserve">where</w:t>
      </w:r>
      <w:r>
        <w:t xml:space="preserve"> </w:t>
      </w:r>
      <m:oMath>
        <m:sSub>
          <m:e>
            <m:r>
              <m:rPr>
                <m:sty m:val="p"/>
              </m:rPr>
              <m:t>S</m:t>
            </m:r>
            <m:r>
              <m:rPr>
                <m:sty m:val="p"/>
              </m:rPr>
              <m:t>S</m:t>
            </m:r>
          </m:e>
          <m:sub>
            <m:r>
              <m:rPr>
                <m:nor/>
                <m:sty m:val="p"/>
              </m:rPr>
              <m:t>within</m:t>
            </m:r>
          </m:sub>
        </m:sSub>
        <m:r>
          <m:rPr>
            <m:sty m:val="p"/>
          </m:rPr>
          <m:t>(</m:t>
        </m:r>
        <m:r>
          <m:t>C</m:t>
        </m:r>
        <m:r>
          <m:rPr>
            <m:sty m:val="p"/>
          </m:rPr>
          <m:t>)</m:t>
        </m:r>
      </m:oMath>
      <w:r>
        <w:t xml:space="preserve"> </w:t>
      </w:r>
      <w:r>
        <w:t xml:space="preserve">is the residual sum of squares after fitting</w:t>
      </w:r>
      <w:r>
        <w:t xml:space="preserve"> </w:t>
      </w:r>
      <w:r>
        <w:t xml:space="preserve">group means of</w:t>
      </w:r>
      <w:r>
        <w:t xml:space="preserve"> </w:t>
      </w:r>
      <m:oMath>
        <m:r>
          <m:t>C</m:t>
        </m:r>
      </m:oMath>
      <w:r>
        <w:t xml:space="preserve">, and</w:t>
      </w:r>
      <w:r>
        <w:t xml:space="preserve"> </w:t>
      </w:r>
      <m:oMath>
        <m:sSub>
          <m:e>
            <m:r>
              <m:rPr>
                <m:sty m:val="p"/>
              </m:rPr>
              <m:t>S</m:t>
            </m:r>
            <m:r>
              <m:rPr>
                <m:sty m:val="p"/>
              </m:rPr>
              <m:t>S</m:t>
            </m:r>
          </m:e>
          <m:sub>
            <m:r>
              <m:rPr>
                <m:nor/>
                <m:sty m:val="p"/>
              </m:rPr>
              <m:t>total</m:t>
            </m:r>
          </m:sub>
        </m:sSub>
      </m:oMath>
      <w:r>
        <w:t xml:space="preserve"> </w:t>
      </w:r>
      <w:r>
        <w:t xml:space="preserve">is the total sum of squares of</w:t>
      </w:r>
      <w:r>
        <w:t xml:space="preserve"> </w:t>
      </w:r>
      <w:r>
        <w:t xml:space="preserve">between-study mean yield (</w:t>
      </w:r>
      <m:oMath>
        <m:r>
          <m:t>n</m:t>
        </m:r>
        <m:r>
          <m:t>​</m:t>
        </m:r>
        <m:r>
          <m:rPr>
            <m:sty m:val="p"/>
          </m:rPr>
          <m:t>=</m:t>
        </m:r>
        <m:r>
          <m:t>​</m:t>
        </m:r>
        <m:r>
          <m:t>31</m:t>
        </m:r>
      </m:oMath>
      <w:r>
        <w:t xml:space="preserve"> </w:t>
      </w:r>
      <w:r>
        <w:t xml:space="preserve">studies). We compare the physical-regime label</w:t>
      </w:r>
      <w:r>
        <w:t xml:space="preserve"> </w:t>
      </w:r>
      <w:r>
        <w:t xml:space="preserve">(</w:t>
      </w:r>
      <w:r>
        <w:rPr>
          <w:rStyle w:val="VerbatimChar"/>
        </w:rPr>
        <w:t xml:space="preserve">system_class</w:t>
      </w:r>
      <w:r>
        <w:t xml:space="preserve">) against five methodological covariates</w:t>
      </w:r>
      <w:r>
        <w:t xml:space="preserve"> </w:t>
      </w:r>
      <w:r>
        <w:t xml:space="preserve">(</w:t>
      </w:r>
      <w:r>
        <w:rPr>
          <w:rStyle w:val="VerbatimChar"/>
        </w:rPr>
        <w:t xml:space="preserve">temperature_control</w:t>
      </w:r>
      <w:r>
        <w:t xml:space="preserve">,</w:t>
      </w:r>
      <w:r>
        <w:t xml:space="preserve"> </w:t>
      </w:r>
      <w:r>
        <w:rPr>
          <w:rStyle w:val="VerbatimChar"/>
        </w:rPr>
        <w:t xml:space="preserve">measurement_method</w:t>
      </w:r>
      <w:r>
        <w:t xml:space="preserve">,</w:t>
      </w:r>
      <w:r>
        <w:t xml:space="preserve"> </w:t>
      </w:r>
      <w:r>
        <w:rPr>
          <w:rStyle w:val="VerbatimChar"/>
        </w:rPr>
        <w:t xml:space="preserve">water_type</w:t>
      </w:r>
      <w:r>
        <w:t xml:space="preserve">,</w:t>
      </w:r>
      <w:r>
        <w:t xml:space="preserve"> </w:t>
      </w:r>
      <w:r>
        <w:rPr>
          <w:rStyle w:val="VerbatimChar"/>
        </w:rPr>
        <w:t xml:space="preserve">quality_tier</w:t>
      </w:r>
      <w:r>
        <w:t xml:space="preserve">,</w:t>
      </w:r>
      <w:r>
        <w:t xml:space="preserve"> </w:t>
      </w:r>
      <w:r>
        <w:rPr>
          <w:rStyle w:val="VerbatimChar"/>
        </w:rPr>
        <w:t xml:space="preserve">vessel_type</w:t>
      </w:r>
      <w:r>
        <w:t xml:space="preserve">), individually and jointly.</w:t>
      </w:r>
      <w:r>
        <w:t xml:space="preserve"> </w:t>
      </w:r>
      <w:r>
        <w:t xml:space="preserve">All headline</w:t>
      </w:r>
      <w:r>
        <w:t xml:space="preserve"> </w:t>
      </w:r>
      <m:oMath>
        <m:sSubSup>
          <m:e>
            <m:r>
              <m:t>R</m:t>
            </m:r>
          </m:e>
          <m:sub>
            <m:r>
              <m:t>C</m:t>
            </m:r>
          </m:sub>
          <m:sup>
            <m:r>
              <m:t>2</m:t>
            </m:r>
          </m:sup>
        </m:sSubSup>
      </m:oMath>
      <w:r>
        <w:t xml:space="preserve"> </w:t>
      </w:r>
      <w:r>
        <w:t xml:space="preserve">values carry cluster-bootstrap confidence intervals (</w:t>
      </w:r>
      <m:oMath>
        <m:r>
          <m:t>B</m:t>
        </m:r>
        <m:r>
          <m:t>​</m:t>
        </m:r>
        <m:r>
          <m:rPr>
            <m:sty m:val="p"/>
          </m:rPr>
          <m:t>=</m:t>
        </m:r>
        <m:r>
          <m:t>​</m:t>
        </m:r>
        <m:r>
          <m:t>1000</m:t>
        </m:r>
      </m:oMath>
      <w:r>
        <w:t xml:space="preserve">,</w:t>
      </w:r>
      <w:r>
        <w:t xml:space="preserve"> </w:t>
      </w:r>
      <w:r>
        <w:t xml:space="preserve">resampling complete studies with replacement, unstratified across regimes). With</w:t>
      </w:r>
      <w:r>
        <w:t xml:space="preserve"> </w:t>
      </w:r>
      <m:oMath>
        <m:r>
          <m:t>n</m:t>
        </m:r>
        <m:r>
          <m:t>​</m:t>
        </m:r>
        <m:r>
          <m:rPr>
            <m:sty m:val="p"/>
          </m:rPr>
          <m:t>=</m:t>
        </m:r>
        <m:r>
          <m:t>​</m:t>
        </m:r>
        <m:r>
          <m:t>31</m:t>
        </m:r>
      </m:oMath>
      <w:r>
        <w:t xml:space="preserve"> </w:t>
      </w:r>
      <w:r>
        <w:t xml:space="preserve">study-level observations and five individual predictors, the effective degrees-of-freedom</w:t>
      </w:r>
      <w:r>
        <w:t xml:space="preserve"> </w:t>
      </w:r>
      <w:r>
        <w:t xml:space="preserve">ratio is approximately 6:1; the cluster-bootstrap CIs, which resample complete studies,</w:t>
      </w:r>
      <w:r>
        <w:t xml:space="preserve"> </w:t>
      </w:r>
      <w:r>
        <w:t xml:space="preserve">reflect this limited precision directly. Incremental comparisons and cross-tabulations</w:t>
      </w:r>
      <w:r>
        <w:t xml:space="preserve"> </w:t>
      </w:r>
      <w:r>
        <w:t xml:space="preserve">use Holm correction throughout.</w:t>
      </w:r>
    </w:p>
    <w:p>
      <w:pPr>
        <w:pStyle w:val="BodyText"/>
      </w:pPr>
      <w:r>
        <w:t xml:space="preserve">Complementing the variance decomposition, we fit a mixed-effects meta-regression</w:t>
      </w:r>
      <w:r>
        <w:t xml:space="preserve"> </w:t>
      </w:r>
      <w:r>
        <w:t xml:space="preserve">(statsmodels</w:t>
      </w:r>
      <w:r>
        <w:t xml:space="preserve"> </w:t>
      </w:r>
      <w:r>
        <w:rPr>
          <w:rStyle w:val="VerbatimChar"/>
        </w:rPr>
        <w:t xml:space="preserve">MixedLM</w:t>
      </w:r>
      <w:r>
        <w:t xml:space="preserve">, REML) with</w:t>
      </w:r>
      <w:r>
        <w:t xml:space="preserve"> </w:t>
      </w:r>
      <w:r>
        <w:rPr>
          <w:rStyle w:val="VerbatimChar"/>
        </w:rPr>
        <w:t xml:space="preserve">system_class</w:t>
      </w:r>
      <w:r>
        <w:t xml:space="preserve"> </w:t>
      </w:r>
      <w:r>
        <w:t xml:space="preserve">and standardised</w:t>
      </w:r>
      <w:r>
        <w:t xml:space="preserve"> </w:t>
      </w:r>
      <w:r>
        <w:t xml:space="preserve">physical covariates as fixed effects, and a random intercept per</w:t>
      </w:r>
      <w:r>
        <w:t xml:space="preserve"> </w:t>
      </w:r>
      <w:r>
        <w:rPr>
          <w:rStyle w:val="VerbatimChar"/>
        </w:rPr>
        <w:t xml:space="preserve">study_id</w:t>
      </w:r>
      <w:r>
        <w:t xml:space="preserve">.</w:t>
      </w:r>
      <w:r>
        <w:t xml:space="preserve"> </w:t>
      </w:r>
      <w:r>
        <w:t xml:space="preserve">The mixed-effects model operates on row-level yield data (</w:t>
      </w:r>
      <m:oMath>
        <m:r>
          <m:t>n</m:t>
        </m:r>
        <m:r>
          <m:t>​</m:t>
        </m:r>
        <m:r>
          <m:rPr>
            <m:sty m:val="p"/>
          </m:rPr>
          <m:t>=</m:t>
        </m:r>
        <m:r>
          <m:t>​</m:t>
        </m:r>
        <m:r>
          <m:t>299</m:t>
        </m:r>
      </m:oMath>
      <w:r>
        <w:t xml:space="preserve"> </w:t>
      </w:r>
      <w:r>
        <w:t xml:space="preserve">rows from</w:t>
      </w:r>
      <w:r>
        <w:t xml:space="preserve"> </w:t>
      </w:r>
      <m:oMath>
        <m:r>
          <m:t>27</m:t>
        </m:r>
      </m:oMath>
      <w:r>
        <w:t xml:space="preserve"> studies; rows with missing temperature excluded). This directly tests hypothesis</w:t>
      </w:r>
      <w:r>
        <w:t xml:space="preserve"> </w:t>
      </w:r>
      <w:r>
        <w:t xml:space="preserve">H2: that the physico-chemical regime label moderates hydrogen yield after accounting</w:t>
      </w:r>
      <w:r>
        <w:t xml:space="preserve"> </w:t>
      </w:r>
      <w:r>
        <w:t xml:space="preserve">for unobserved between-study heterogeneity. Fixed-effect significance uses Wald tests;</w:t>
      </w:r>
      <w:r>
        <w:t xml:space="preserve"> </w:t>
      </w:r>
      <w:r>
        <w:t xml:space="preserve">all parameter</w:t>
      </w:r>
      <m:oMath>
        <m:r>
          <m:rPr>
            <m:sty m:val="p"/>
          </m:rPr>
          <m:t>×</m:t>
        </m:r>
      </m:oMath>
      <w:r>
        <w:rPr>
          <w:rStyle w:val="VerbatimChar"/>
        </w:rPr>
        <w:t xml:space="preserve">system_class</w:t>
      </w:r>
      <w:r>
        <w:t xml:space="preserve"> </w:t>
      </w:r>
      <w:r>
        <w:t xml:space="preserve">interactions use Holm correction. Formally,</w:t>
      </w:r>
      <w:r>
        <w:t xml:space="preserve"> </w:t>
      </w:r>
      <w:r>
        <w:t xml:space="preserve">the model is</w:t>
      </w:r>
    </w:p>
    <w:p>
      <w:pPr>
        <w:pStyle w:val="BodyText"/>
      </w:pPr>
      <m:oMathPara>
        <m:oMathParaPr>
          <m:jc m:val="center"/>
        </m:oMathParaPr>
        <m:oMath>
          <m:sSub>
            <m:e>
              <m:r>
                <m:t>y</m:t>
              </m:r>
            </m:e>
            <m:sub>
              <m:r>
                <m:t>i</m:t>
              </m:r>
              <m:r>
                <m:t>j</m:t>
              </m:r>
            </m:sub>
          </m:sSub>
          <m:r>
            <m:rPr>
              <m:sty m:val="p"/>
            </m:rPr>
            <m:t>=</m:t>
          </m:r>
          <m:r>
            <m:t>μ</m:t>
          </m:r>
          <m:r>
            <m:rPr>
              <m:sty m:val="p"/>
            </m:rPr>
            <m:t>+</m:t>
          </m:r>
          <m:nary>
            <m:naryPr>
              <m:chr m:val="∑"/>
              <m:limLoc m:val="undOvr"/>
              <m:subHide m:val="off"/>
              <m:supHide m:val="on"/>
            </m:naryPr>
            <m:sub>
              <m:r>
                <m:t>k</m:t>
              </m:r>
            </m:sub>
            <m:sup>
              <m:r>
                <m:t>​</m:t>
              </m:r>
            </m:sup>
            <m:e>
              <m:sSub>
                <m:e>
                  <m:r>
                    <m:t>β</m:t>
                  </m:r>
                </m:e>
                <m:sub>
                  <m:r>
                    <m:t>k</m:t>
                  </m:r>
                </m:sub>
              </m:sSub>
            </m:e>
          </m:nary>
          <m:r>
            <m:rPr>
              <m:sty m:val="b"/>
            </m:rPr>
            <m:t>1</m:t>
          </m:r>
          <m:r>
            <m:rPr>
              <m:sty m:val="p"/>
            </m:rPr>
            <m:t>[</m:t>
          </m:r>
          <m:sSub>
            <m:e>
              <m:r>
                <m:rPr>
                  <m:nor/>
                  <m:sty m:val="p"/>
                </m:rPr>
                <m:t>class</m:t>
              </m:r>
            </m:e>
            <m:sub>
              <m:r>
                <m:t>j</m:t>
              </m:r>
            </m:sub>
          </m:sSub>
          <m:r>
            <m:rPr>
              <m:sty m:val="p"/>
            </m:rPr>
            <m:t>=</m:t>
          </m:r>
          <m:r>
            <m:t>k</m:t>
          </m:r>
          <m:r>
            <m:rPr>
              <m:sty m:val="p"/>
            </m:rPr>
            <m:t>]</m:t>
          </m:r>
          <m:r>
            <m:rPr>
              <m:sty m:val="p"/>
            </m:rPr>
            <m:t>+</m:t>
          </m:r>
          <m:sSup>
            <m:e>
              <m:r>
                <m:rPr>
                  <m:sty m:val="bi"/>
                </m:rPr>
                <m:t>γ</m:t>
              </m:r>
            </m:e>
            <m:sup>
              <m:r>
                <m:t>​</m:t>
              </m:r>
              <m:r>
                <m:rPr>
                  <m:sty m:val="p"/>
                </m:rPr>
                <m:t>⊤</m:t>
              </m:r>
            </m:sup>
          </m:sSup>
          <m:sSub>
            <m:e>
              <m:r>
                <m:rPr>
                  <m:sty m:val="bi"/>
                </m:rPr>
                <m:t>x</m:t>
              </m:r>
            </m:e>
            <m:sub>
              <m:r>
                <m:t>i</m:t>
              </m:r>
              <m:r>
                <m:t>j</m:t>
              </m:r>
            </m:sub>
          </m:sSub>
          <m:r>
            <m:rPr>
              <m:sty m:val="p"/>
            </m:rPr>
            <m:t>+</m:t>
          </m:r>
          <m:sSub>
            <m:e>
              <m:r>
                <m:t>u</m:t>
              </m:r>
            </m:e>
            <m:sub>
              <m:r>
                <m:t>j</m:t>
              </m:r>
            </m:sub>
          </m:sSub>
          <m:r>
            <m:rPr>
              <m:sty m:val="p"/>
            </m:rPr>
            <m:t>+</m:t>
          </m:r>
          <m:sSub>
            <m:e>
              <m:r>
                <m:t>ε</m:t>
              </m:r>
            </m:e>
            <m:sub>
              <m:r>
                <m:t>i</m:t>
              </m:r>
              <m:r>
                <m:t>j</m:t>
              </m:r>
            </m:sub>
          </m:sSub>
          <m:r>
            <m:rPr>
              <m:sty m:val="p"/>
            </m:rPr>
            <m:t>,</m:t>
          </m:r>
          <m:r>
            <m:t> </m:t>
          </m:r>
          <m:sSub>
            <m:e>
              <m:r>
                <m:t>u</m:t>
              </m:r>
            </m:e>
            <m:sub>
              <m:r>
                <m:t>j</m:t>
              </m:r>
            </m:sub>
          </m:sSub>
          <m:r>
            <m:rPr>
              <m:sty m:val="p"/>
            </m:rPr>
            <m:t>∼</m:t>
          </m:r>
          <m:r>
            <m:rPr>
              <m:scr m:val="script"/>
              <m:sty m:val="p"/>
            </m:rPr>
            <m:t>N</m:t>
          </m:r>
          <m:r>
            <m:rPr>
              <m:sty m:val="p"/>
            </m:rPr>
            <m:t>(</m:t>
          </m:r>
          <m:r>
            <m:t>0</m:t>
          </m:r>
          <m:r>
            <m:rPr>
              <m:sty m:val="p"/>
            </m:rPr>
            <m:t>,</m:t>
          </m:r>
          <m:r>
            <m:t> </m:t>
          </m:r>
          <m:sSubSup>
            <m:e>
              <m:r>
                <m:t>σ</m:t>
              </m:r>
            </m:e>
            <m:sub>
              <m:r>
                <m:t>u</m:t>
              </m:r>
            </m:sub>
            <m:sup>
              <m:r>
                <m:t>2</m:t>
              </m:r>
            </m:sup>
          </m:sSubSup>
          <m:r>
            <m:rPr>
              <m:sty m:val="p"/>
            </m:rPr>
            <m:t>)</m:t>
          </m:r>
          <m:r>
            <m:rPr>
              <m:sty m:val="p"/>
            </m:rPr>
            <m:t>,</m:t>
          </m:r>
          <m:r>
            <m:t> </m:t>
          </m:r>
          <m:sSub>
            <m:e>
              <m:r>
                <m:t>ε</m:t>
              </m:r>
            </m:e>
            <m:sub>
              <m:r>
                <m:t>i</m:t>
              </m:r>
              <m:r>
                <m:t>j</m:t>
              </m:r>
            </m:sub>
          </m:sSub>
          <m:r>
            <m:rPr>
              <m:sty m:val="p"/>
            </m:rPr>
            <m:t>∼</m:t>
          </m:r>
          <m:r>
            <m:rPr>
              <m:scr m:val="script"/>
              <m:sty m:val="p"/>
            </m:rPr>
            <m:t>N</m:t>
          </m:r>
          <m:r>
            <m:rPr>
              <m:sty m:val="p"/>
            </m:rPr>
            <m:t>(</m:t>
          </m:r>
          <m:r>
            <m:t>0</m:t>
          </m:r>
          <m:r>
            <m:rPr>
              <m:sty m:val="p"/>
            </m:rPr>
            <m:t>,</m:t>
          </m:r>
          <m:r>
            <m:t> </m:t>
          </m:r>
          <m:sSup>
            <m:e>
              <m:r>
                <m:t>σ</m:t>
              </m:r>
            </m:e>
            <m:sup>
              <m:r>
                <m:t>2</m:t>
              </m:r>
            </m:sup>
          </m:sSup>
          <m:r>
            <m:rPr>
              <m:sty m:val="p"/>
            </m:rPr>
            <m:t>)</m:t>
          </m:r>
          <m:r>
            <m:rPr>
              <m:sty m:val="p"/>
            </m:rPr>
            <m:t>,</m:t>
          </m:r>
        </m:oMath>
      </m:oMathPara>
    </w:p>
    <w:p>
      <w:pPr>
        <w:pStyle w:val="FirstParagraph"/>
      </w:pPr>
      <w:r>
        <w:t xml:space="preserve">where</w:t>
      </w:r>
      <w:r>
        <w:t xml:space="preserve"> </w:t>
      </w:r>
      <m:oMath>
        <m:sSub>
          <m:e>
            <m:r>
              <m:t>y</m:t>
            </m:r>
          </m:e>
          <m:sub>
            <m:r>
              <m:t>i</m:t>
            </m:r>
            <m:r>
              <m:t>j</m:t>
            </m:r>
          </m:sub>
        </m:sSub>
      </m:oMath>
      <w:r>
        <w:t xml:space="preserve"> </w:t>
      </w:r>
      <w:r>
        <w:t xml:space="preserve">is the hydrogen yield for row</w:t>
      </w:r>
      <w:r>
        <w:t xml:space="preserve"> </w:t>
      </w:r>
      <m:oMath>
        <m:r>
          <m:t>i</m:t>
        </m:r>
      </m:oMath>
      <w:r>
        <w:t xml:space="preserve"> </w:t>
      </w:r>
      <w:r>
        <w:t xml:space="preserve">from study</w:t>
      </w:r>
      <w:r>
        <w:t xml:space="preserve"> </w:t>
      </w:r>
      <m:oMath>
        <m:r>
          <m:t>j</m:t>
        </m:r>
      </m:oMath>
      <w:r>
        <w:t xml:space="preserve">;</w:t>
      </w:r>
      <w:r>
        <w:t xml:space="preserve"> </w:t>
      </w:r>
      <m:oMath>
        <m:r>
          <m:rPr>
            <m:sty m:val="b"/>
          </m:rPr>
          <m:t>1</m:t>
        </m:r>
        <m:r>
          <m:rPr>
            <m:sty m:val="p"/>
          </m:rPr>
          <m:t>[</m:t>
        </m:r>
        <m:sSub>
          <m:e>
            <m:r>
              <m:rPr>
                <m:nor/>
                <m:sty m:val="p"/>
              </m:rPr>
              <m:t>class</m:t>
            </m:r>
          </m:e>
          <m:sub>
            <m:r>
              <m:t>j</m:t>
            </m:r>
          </m:sub>
        </m:sSub>
        <m:r>
          <m:rPr>
            <m:sty m:val="p"/>
          </m:rPr>
          <m:t>=</m:t>
        </m:r>
        <m:r>
          <m:t>k</m:t>
        </m:r>
        <m:r>
          <m:rPr>
            <m:sty m:val="p"/>
          </m:rPr>
          <m:t>]</m:t>
        </m:r>
      </m:oMath>
      <w:r>
        <w:t xml:space="preserve"> </w:t>
      </w:r>
      <w:r>
        <w:t xml:space="preserve">is the regime indicator;</w:t>
      </w:r>
      <w:r>
        <w:t xml:space="preserve"> </w:t>
      </w:r>
      <m:oMath>
        <m:sSub>
          <m:e>
            <m:r>
              <m:rPr>
                <m:sty m:val="bi"/>
              </m:rPr>
              <m:t>x</m:t>
            </m:r>
          </m:e>
          <m:sub>
            <m:r>
              <m:t>i</m:t>
            </m:r>
            <m:r>
              <m:t>j</m:t>
            </m:r>
          </m:sub>
        </m:sSub>
      </m:oMath>
      <w:r>
        <w:t xml:space="preserve"> </w:t>
      </w:r>
      <w:r>
        <w:t xml:space="preserve">are</w:t>
      </w:r>
      <w:r>
        <w:t xml:space="preserve"> </w:t>
      </w:r>
      <w:r>
        <w:t xml:space="preserve">standardised physical covariates;</w:t>
      </w:r>
      <w:r>
        <w:t xml:space="preserve"> </w:t>
      </w:r>
      <m:oMath>
        <m:sSub>
          <m:e>
            <m:r>
              <m:t>u</m:t>
            </m:r>
          </m:e>
          <m:sub>
            <m:r>
              <m:t>j</m:t>
            </m:r>
          </m:sub>
        </m:sSub>
      </m:oMath>
      <w:r>
        <w:t xml:space="preserve"> </w:t>
      </w:r>
      <w:r>
        <w:t xml:space="preserve">is the random study intercept estimated via</w:t>
      </w:r>
      <w:r>
        <w:t xml:space="preserve"> </w:t>
      </w:r>
      <w:r>
        <w:t xml:space="preserve">REML. The Arrhenius</w:t>
      </w:r>
      <w:r>
        <w:t xml:space="preserve"> </w:t>
      </w:r>
      <m:oMath>
        <m:sSub>
          <m:e>
            <m:r>
              <m:t>E</m:t>
            </m:r>
          </m:e>
          <m:sub>
            <m:r>
              <m:rPr>
                <m:sty m:val="p"/>
              </m:rPr>
              <m:t>a</m:t>
            </m:r>
          </m:sub>
        </m:sSub>
      </m:oMath>
      <w:r>
        <w:t xml:space="preserve"> </w:t>
      </w:r>
      <w:r>
        <w:t xml:space="preserve">analysis (H3) applies the same cluster-bootstrap</w:t>
      </w:r>
      <w:r>
        <w:t xml:space="preserve"> </w:t>
      </w:r>
      <w:r>
        <w:t xml:space="preserve">framework to the 17-study kinetic subsample.</w:t>
      </w:r>
    </w:p>
    <w:bookmarkEnd w:id="30"/>
    <w:bookmarkStart w:id="32" w:name="discipline"/>
    <w:p>
      <w:pPr>
        <w:pStyle w:val="Heading2"/>
      </w:pPr>
      <w:r>
        <w:t xml:space="preserve">Discipline</w:t>
      </w:r>
    </w:p>
    <w:p>
      <w:pPr>
        <w:pStyle w:val="FirstParagraph"/>
      </w:pPr>
      <w:r>
        <w:t xml:space="preserve">The pre-registered family comprises four primary tests: H2 (mixed-effects regime</w:t>
      </w:r>
      <w:r>
        <w:t xml:space="preserve"> </w:t>
      </w:r>
      <w:r>
        <w:t xml:space="preserve">moderation of yield), H3 (activation-energy regime structure), T_A (within-study</w:t>
      </w:r>
      <w:r>
        <w:t xml:space="preserve"> </w:t>
      </w:r>
      <w:r>
        <w:t xml:space="preserve">predictability), and T_B (between-study variance decomposition). Holm correction is</w:t>
      </w:r>
      <w:r>
        <w:t xml:space="preserve"> </w:t>
      </w:r>
      <w:r>
        <w:t xml:space="preserve">applied to all secondary interaction tests within H2 (</w:t>
      </w:r>
      <m:oMath>
        <m:r>
          <m:t>8</m:t>
        </m:r>
      </m:oMath>
      <w:r>
        <w:t xml:space="preserve"> </w:t>
      </w:r>
      <w:r>
        <w:t xml:space="preserve">parameter</w:t>
      </w:r>
      <m:oMath>
        <m:r>
          <m:rPr>
            <m:sty m:val="p"/>
          </m:rPr>
          <m:t>×</m:t>
        </m:r>
      </m:oMath>
      <w:r>
        <w:rPr>
          <w:rStyle w:val="VerbatimChar"/>
        </w:rPr>
        <w:t xml:space="preserve">system_class</w:t>
      </w:r>
      <w:r>
        <w:t xml:space="preserve"> </w:t>
      </w:r>
      <w:r>
        <w:t xml:space="preserve">terms).</w:t>
      </w:r>
      <w:r>
        <w:t xml:space="preserve"> </w:t>
      </w:r>
      <w:r>
        <w:t xml:space="preserve">Hypotheses and success thresholds were pre-specified and frozen before any analysis code was executed</w:t>
      </w:r>
      <w:r>
        <w:t xml:space="preserve"> </w:t>
      </w:r>
      <w:r>
        <w:t xml:space="preserve">(protocol in</w:t>
      </w:r>
      <w:r>
        <w:t xml:space="preserve"> </w:t>
      </w:r>
      <w:r>
        <w:rPr>
          <w:rStyle w:val="VerbatimChar"/>
        </w:rPr>
        <w:t xml:space="preserve">plan/analysis-protocol.md</w:t>
      </w:r>
      <w:r>
        <w:t xml:space="preserve">, versioned in the companion data release). Language on</w:t>
      </w:r>
      <w:r>
        <w:t xml:space="preserve"> </w:t>
      </w:r>
      <w:r>
        <w:t xml:space="preserve">observational findings is associational, not causal. Null results are reported as</w:t>
      </w:r>
      <w:r>
        <w:t xml:space="preserve"> </w:t>
      </w:r>
      <w:r>
        <w:t xml:space="preserve">“no</w:t>
      </w:r>
      <w:r>
        <w:t xml:space="preserve"> </w:t>
      </w:r>
      <w:r>
        <w:t xml:space="preserve">detectable effect at</w:t>
      </w:r>
      <w:r>
        <w:t xml:space="preserve"> </w:t>
      </w:r>
      <m:oMath>
        <m:r>
          <m:t>n</m:t>
        </m:r>
        <m:r>
          <m:t>​</m:t>
        </m:r>
        <m:r>
          <m:rPr>
            <m:sty m:val="p"/>
          </m:rPr>
          <m:t>≈</m:t>
        </m:r>
        <m:r>
          <m:t>​</m:t>
        </m:r>
        <m:r>
          <m:t>31</m:t>
        </m:r>
      </m:oMath>
      <w:r>
        <w:t xml:space="preserve"> </w:t>
      </w:r>
      <w:r>
        <w:t xml:space="preserve">studies /</w:t>
      </w:r>
      <w:r>
        <w:t xml:space="preserve"> </w:t>
      </w:r>
      <m:oMath>
        <m:r>
          <m:t>3</m:t>
        </m:r>
      </m:oMath>
      <w:r>
        <w:t xml:space="preserve">–</w:t>
      </w:r>
      <m:oMath>
        <m:r>
          <m:t>9</m:t>
        </m:r>
      </m:oMath>
      <w:r>
        <w:t xml:space="preserve"> </w:t>
      </w:r>
      <w:r>
        <w:t xml:space="preserve">per regime.”</w:t>
      </w:r>
      <w:r>
        <w:t xml:space="preserve"> </w:t>
      </w:r>
      <w:r>
        <w:t xml:space="preserve">SHAP values and</w:t>
      </w:r>
      <w:r>
        <w:t xml:space="preserve"> </w:t>
      </w:r>
      <w:r>
        <w:t xml:space="preserve">permutation importances are used descriptively to characterize which features the models</w:t>
      </w:r>
      <w:r>
        <w:t xml:space="preserve"> </w:t>
      </w:r>
      <w:r>
        <w:t xml:space="preserve">draw on; they are not interpreted as evidence of physical causation. All quantities in</w:t>
      </w:r>
      <w:r>
        <w:t xml:space="preserve"> </w:t>
      </w:r>
      <w:r>
        <w:t xml:space="preserve">this paper trace to a committed analysis artifact, and the full pipeline is released</w:t>
      </w:r>
      <w:r>
        <w:t xml:space="preserve"> </w:t>
      </w:r>
      <w:r>
        <w:t xml:space="preserve">with the dataset.</w:t>
      </w:r>
    </w:p>
    <w:p>
      <w:pPr>
        <w:pStyle w:val="BodyText"/>
      </w:pPr>
      <w:r>
        <w:t xml:space="preserve">Table </w:t>
      </w:r>
      <w:hyperlink w:anchor="tab:prereg">
        <w:r>
          <w:rPr>
            <w:rStyle w:val="Hyperlink"/>
          </w:rPr>
          <w:t xml:space="preserve">3</w:t>
        </w:r>
      </w:hyperlink>
      <w:r>
        <w:t xml:space="preserve"> </w:t>
      </w:r>
      <w:r>
        <w:t xml:space="preserve">maps each pre-registered test to its null hypothesis, statistic,</w:t>
      </w:r>
      <w:r>
        <w:t xml:space="preserve"> </w:t>
      </w:r>
      <w:r>
        <w:t xml:space="preserve">threshold, correction, and outcome; reference this table when assessing whether the</w:t>
      </w:r>
      <w:r>
        <w:t xml:space="preserve"> </w:t>
      </w:r>
      <w:r>
        <w:t xml:space="preserve">reported analyses match the pre-specified protocol.</w:t>
      </w:r>
    </w:p>
    <w:bookmarkStart w:id="31" w:name="tab:prereg"/>
    <w:p>
      <w:pPr>
        <w:pStyle w:val="TableCaption"/>
      </w:pPr>
      <w:r>
        <w:rPr>
          <w:b/>
          <w:bCs/>
        </w:rPr>
        <w:t xml:space="preserve">Pre-registered hypotheses, statistical tests, and outcomes.</w:t>
      </w:r>
      <w:r>
        <w:t xml:space="preserve"> </w:t>
      </w:r>
      <w:r>
        <w:t xml:space="preserve">All four tests were pre-specified and frozen before analysis was executed</w:t>
      </w:r>
      <w:r>
        <w:t xml:space="preserve"> </w:t>
      </w:r>
      <w:r>
        <w:t xml:space="preserve">(protocol:</w:t>
      </w:r>
      <w:r>
        <w:t xml:space="preserve"> </w:t>
      </w:r>
      <w:r>
        <w:rPr>
          <w:rStyle w:val="VerbatimChar"/>
        </w:rPr>
        <w:t xml:space="preserve">plan/analysis-protocol.md</w:t>
      </w:r>
      <w:r>
        <w:t xml:space="preserve">, versioned in the companion data release).</w:t>
      </w:r>
    </w:p>
    <w:tbl>
      <w:tblPr>
        <w:tblStyle w:val="Table"/>
        <w:tblW w:type="auto" w:w="0"/>
        <w:tblLook w:firstRow="1" w:lastRow="0" w:firstColumn="0" w:lastColumn="0" w:noHBand="0" w:noVBand="0" w:val="0020"/>
        <w:tblCaption w:val="Pre-registered hypotheses, statistical tests, and outcomes. All four tests were pre-specified and frozen before analysis was executed (protocol: plan/analysis-protocol.md, versioned in the companion data release)."/>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Scientific question</w:t>
            </w:r>
          </w:p>
        </w:tc>
        <w:tc>
          <w:tcPr/>
          <w:p>
            <w:pPr>
              <w:pStyle w:val="Compact"/>
              <w:jc w:val="left"/>
            </w:pPr>
            <w:r>
              <w:t xml:space="preserve">Test</w:t>
            </w:r>
          </w:p>
        </w:tc>
        <w:tc>
          <w:tcPr/>
          <w:p>
            <w:pPr>
              <w:pStyle w:val="Compact"/>
              <w:jc w:val="left"/>
            </w:pPr>
            <w:r>
              <w:t xml:space="preserve">Threshold</w:t>
            </w:r>
          </w:p>
        </w:tc>
        <w:tc>
          <w:tcPr/>
          <w:p>
            <w:pPr>
              <w:pStyle w:val="Compact"/>
              <w:jc w:val="left"/>
            </w:pPr>
            <w:r>
              <w:t xml:space="preserve">Correction</w:t>
            </w:r>
          </w:p>
        </w:tc>
        <w:tc>
          <w:tcPr/>
          <w:p>
            <w:pPr>
              <w:pStyle w:val="Compact"/>
              <w:jc w:val="left"/>
            </w:pPr>
            <w:r>
              <w:t xml:space="preserve">Outcome</w:t>
            </w:r>
          </w:p>
        </w:tc>
      </w:tr>
      <w:tr>
        <w:tc>
          <w:tcPr/>
          <w:p>
            <w:pPr>
              <w:pStyle w:val="Compact"/>
              <w:jc w:val="left"/>
            </w:pPr>
            <w:r>
              <w:t xml:space="preserve">H2</w:t>
            </w:r>
          </w:p>
        </w:tc>
        <w:tc>
          <w:tcPr/>
          <w:p>
            <w:pPr>
              <w:pStyle w:val="Compact"/>
              <w:jc w:val="left"/>
            </w:pPr>
            <w:r>
              <w:t xml:space="preserve">Does regime moderate yield after removing between-study heterogeneity?</w:t>
            </w:r>
          </w:p>
        </w:tc>
        <w:tc>
          <w:tcPr/>
          <w:p>
            <w:pPr>
              <w:pStyle w:val="Compact"/>
              <w:jc w:val="left"/>
            </w:pPr>
            <w:r>
              <w:t xml:space="preserve">Mixed-effects Wald test on</w:t>
            </w:r>
            <w:r>
              <w:t xml:space="preserve"> </w:t>
            </w:r>
            <w:r>
              <w:rPr>
                <w:rStyle w:val="VerbatimChar"/>
              </w:rPr>
              <w:t xml:space="preserve">system_class</w:t>
            </w:r>
            <w:r>
              <w:t xml:space="preserve"> </w:t>
            </w:r>
            <w:r>
              <w:t xml:space="preserve">(statsmodels REML,</w:t>
            </w:r>
            <w:r>
              <w:t xml:space="preserve"> </w:t>
            </w:r>
            <m:oMath>
              <m:r>
                <m:t>n</m:t>
              </m:r>
              <m:r>
                <m:t>​</m:t>
              </m:r>
              <m:r>
                <m:rPr>
                  <m:sty m:val="p"/>
                </m:rPr>
                <m:t>=</m:t>
              </m:r>
              <m:r>
                <m:t>​</m:t>
              </m:r>
              <m:r>
                <m:t>299</m:t>
              </m:r>
            </m:oMath>
            <w:r>
              <w:t xml:space="preserve"> </w:t>
            </w:r>
            <w:r>
              <w:t xml:space="preserve">rows)</w:t>
            </w:r>
          </w:p>
        </w:tc>
        <w:tc>
          <w:tcPr/>
          <w:p>
            <w:pPr>
              <w:pStyle w:val="Compact"/>
              <w:jc w:val="left"/>
            </w:pPr>
            <m:oMath>
              <m:r>
                <m:t>p</m:t>
              </m:r>
              <m:r>
                <m:rPr>
                  <m:sty m:val="p"/>
                </m:rPr>
                <m:t>&lt;</m:t>
              </m:r>
              <m:r>
                <m:t>0.05</m:t>
              </m:r>
            </m:oMath>
          </w:p>
        </w:tc>
        <w:tc>
          <w:tcPr/>
          <w:p>
            <w:pPr>
              <w:pStyle w:val="Compact"/>
              <w:jc w:val="left"/>
            </w:pPr>
            <w:r>
              <w:t xml:space="preserve">Holm (</w:t>
            </w:r>
            <m:oMath>
              <m:r>
                <m:t>8</m:t>
              </m:r>
            </m:oMath>
            <w:r>
              <w:t xml:space="preserve"> </w:t>
            </w:r>
            <w:r>
              <w:t xml:space="preserve">interactions)</w:t>
            </w:r>
          </w:p>
        </w:tc>
        <w:tc>
          <w:tcPr/>
          <w:p>
            <w:pPr>
              <w:pStyle w:val="Compact"/>
              <w:jc w:val="left"/>
            </w:pPr>
            <w:r>
              <w:t xml:space="preserve">Not supported (</w:t>
            </w:r>
            <m:oMath>
              <m:r>
                <m:t>p</m:t>
              </m:r>
              <m:r>
                <m:t>​</m:t>
              </m:r>
              <m:r>
                <m:rPr>
                  <m:sty m:val="p"/>
                </m:rPr>
                <m:t>=</m:t>
              </m:r>
              <m:r>
                <m:t>​</m:t>
              </m:r>
              <m:r>
                <m:t>0.32</m:t>
              </m:r>
            </m:oMath>
            <w:r>
              <w:t xml:space="preserve">–</w:t>
            </w:r>
            <m:oMath>
              <m:r>
                <m:t>0.45</m:t>
              </m:r>
            </m:oMath>
            <w:r>
              <w:t xml:space="preserve">;</w:t>
            </w:r>
            <w:r>
              <w:t xml:space="preserve"> </w:t>
            </w:r>
            <m:oMath>
              <m:r>
                <m:t>0</m:t>
              </m:r>
              <m:r>
                <m:rPr>
                  <m:sty m:val="p"/>
                </m:rPr>
                <m:t>/</m:t>
              </m:r>
              <m:r>
                <m:t>8</m:t>
              </m:r>
            </m:oMath>
            <w:r>
              <w:t xml:space="preserve"> </w:t>
            </w:r>
            <w:r>
              <w:t xml:space="preserve">interactions)</w:t>
            </w:r>
          </w:p>
        </w:tc>
      </w:tr>
      <w:tr>
        <w:tc>
          <w:tcPr/>
          <w:p>
            <w:pPr>
              <w:pStyle w:val="Compact"/>
              <w:jc w:val="left"/>
            </w:pPr>
            <w:r>
              <w:t xml:space="preserve">H3</w:t>
            </w:r>
          </w:p>
        </w:tc>
        <w:tc>
          <w:tcPr/>
          <w:p>
            <w:pPr>
              <w:pStyle w:val="Compact"/>
              <w:jc w:val="left"/>
            </w:pPr>
            <w:r>
              <w:t xml:space="preserve">Does the coarse regime label explain the</w:t>
            </w:r>
            <w:r>
              <w:t xml:space="preserve"> </w:t>
            </w:r>
            <m:oMath>
              <m:sSub>
                <m:e>
                  <m:r>
                    <m:t>E</m:t>
                  </m:r>
                </m:e>
                <m:sub>
                  <m:r>
                    <m:rPr>
                      <m:sty m:val="p"/>
                    </m:rPr>
                    <m:t>a</m:t>
                  </m:r>
                </m:sub>
              </m:sSub>
            </m:oMath>
            <w:r>
              <w:t xml:space="preserve"> </w:t>
            </w:r>
            <w:r>
              <w:t xml:space="preserve">spread?</w:t>
            </w:r>
          </w:p>
        </w:tc>
        <w:tc>
          <w:tcPr/>
          <w:p>
            <w:pPr>
              <w:pStyle w:val="Compact"/>
              <w:jc w:val="left"/>
            </w:pPr>
            <w:r>
              <w:t xml:space="preserve">Permutation test on</w:t>
            </w:r>
            <w:r>
              <w:t xml:space="preserve"> </w:t>
            </w:r>
            <m:oMath>
              <m:sSup>
                <m:e>
                  <m:r>
                    <m:t>η</m:t>
                  </m:r>
                </m:e>
                <m:sup>
                  <m:r>
                    <m:t>2</m:t>
                  </m:r>
                </m:sup>
              </m:sSup>
            </m:oMath>
            <w:r>
              <w:t xml:space="preserve"> </w:t>
            </w:r>
            <w:r>
              <w:t xml:space="preserve">by regime (4 classes,</w:t>
            </w:r>
            <w:r>
              <w:t xml:space="preserve"> </w:t>
            </w:r>
            <m:oMath>
              <m:r>
                <m:rPr>
                  <m:sty m:val="p"/>
                </m:rPr>
                <m:t>≥</m:t>
              </m:r>
              <m:r>
                <m:t>​</m:t>
              </m:r>
              <m:r>
                <m:t>3</m:t>
              </m:r>
            </m:oMath>
            <w:r>
              <w:t xml:space="preserve"> </w:t>
            </w:r>
            <w:r>
              <w:t xml:space="preserve">studies each)</w:t>
            </w:r>
          </w:p>
        </w:tc>
        <w:tc>
          <w:tcPr/>
          <w:p>
            <w:pPr>
              <w:pStyle w:val="Compact"/>
              <w:jc w:val="left"/>
            </w:pPr>
            <m:oMath>
              <m:r>
                <m:t>p</m:t>
              </m:r>
              <m:r>
                <m:rPr>
                  <m:sty m:val="p"/>
                </m:rPr>
                <m:t>&lt;</m:t>
              </m:r>
              <m:r>
                <m:t>0.05</m:t>
              </m:r>
            </m:oMath>
          </w:p>
        </w:tc>
        <w:tc>
          <w:tcPr/>
          <w:p>
            <w:pPr>
              <w:pStyle w:val="Compact"/>
              <w:jc w:val="left"/>
            </w:pPr>
            <w:r>
              <w:t xml:space="preserve">None</w:t>
            </w:r>
          </w:p>
        </w:tc>
        <w:tc>
          <w:tcPr/>
          <w:p>
            <w:pPr>
              <w:pStyle w:val="Compact"/>
              <w:jc w:val="left"/>
            </w:pPr>
            <w:r>
              <w:t xml:space="preserve">Not supported (</w:t>
            </w:r>
            <m:oMath>
              <m:sSup>
                <m:e>
                  <m:r>
                    <m:t>η</m:t>
                  </m:r>
                </m:e>
                <m:sup>
                  <m:r>
                    <m:t>2</m:t>
                  </m:r>
                </m:sup>
              </m:sSup>
              <m:r>
                <m:t>​</m:t>
              </m:r>
              <m:r>
                <m:rPr>
                  <m:sty m:val="p"/>
                </m:rPr>
                <m:t>=</m:t>
              </m:r>
              <m:r>
                <m:t>​</m:t>
              </m:r>
              <m:r>
                <m:t>0.361</m:t>
              </m:r>
            </m:oMath>
            <w:r>
              <w:t xml:space="preserve">,</w:t>
            </w:r>
            <w:r>
              <w:t xml:space="preserve"> </w:t>
            </w:r>
            <m:oMath>
              <m:r>
                <m:t>p</m:t>
              </m:r>
              <m:r>
                <m:t>​</m:t>
              </m:r>
              <m:r>
                <m:rPr>
                  <m:sty m:val="p"/>
                </m:rPr>
                <m:t>=</m:t>
              </m:r>
              <m:r>
                <m:t>​</m:t>
              </m:r>
              <m:r>
                <m:t>0.129</m:t>
              </m:r>
            </m:oMath>
            <w:r>
              <w:t xml:space="preserve">)</w:t>
            </w:r>
          </w:p>
        </w:tc>
      </w:tr>
      <w:tr>
        <w:tc>
          <w:tcPr/>
          <w:p>
            <w:pPr>
              <w:pStyle w:val="Compact"/>
              <w:jc w:val="left"/>
            </w:pPr>
            <w:r>
              <w:t xml:space="preserve">T_A</w:t>
            </w:r>
          </w:p>
        </w:tc>
        <w:tc>
          <w:tcPr/>
          <w:p>
            <w:pPr>
              <w:pStyle w:val="Compact"/>
              <w:jc w:val="left"/>
            </w:pPr>
            <w:r>
              <w:t xml:space="preserve">Are studies internally predictable?</w:t>
            </w:r>
          </w:p>
        </w:tc>
        <w:tc>
          <w:tcPr/>
          <w:p>
            <w:pPr>
              <w:pStyle w:val="Compact"/>
              <w:jc w:val="left"/>
            </w:pPr>
            <w:r>
              <w:t xml:space="preserve">Within-study LOSO</w:t>
            </w:r>
            <w:r>
              <w:t xml:space="preserve"> </w:t>
            </w:r>
            <m:oMath>
              <m:sSup>
                <m:e>
                  <m:r>
                    <m:t>R</m:t>
                  </m:r>
                </m:e>
                <m:sup>
                  <m:r>
                    <m:t>2</m:t>
                  </m:r>
                </m:sup>
              </m:sSup>
            </m:oMath>
            <w:r>
              <w:t xml:space="preserve"> </w:t>
            </w:r>
            <w:r>
              <w:t xml:space="preserve">distribution (14 testable studies)</w:t>
            </w:r>
          </w:p>
        </w:tc>
        <w:tc>
          <w:tcPr/>
          <w:p>
            <w:pPr>
              <w:pStyle w:val="Compact"/>
              <w:jc w:val="left"/>
            </w:pPr>
            <w:r>
              <w:t xml:space="preserve">Median</w:t>
            </w:r>
            <w:r>
              <w:t xml:space="preserve"> </w:t>
            </w:r>
            <m:oMath>
              <m:sSup>
                <m:e>
                  <m:r>
                    <m:t>R</m:t>
                  </m:r>
                </m:e>
                <m:sup>
                  <m:r>
                    <m:t>2</m:t>
                  </m:r>
                </m:sup>
              </m:sSup>
              <m:r>
                <m:rPr>
                  <m:sty m:val="p"/>
                </m:rPr>
                <m:t>&gt;</m:t>
              </m:r>
              <m:r>
                <m:t>0</m:t>
              </m:r>
            </m:oMath>
          </w:p>
        </w:tc>
        <w:tc>
          <w:tcPr/>
          <w:p>
            <w:pPr>
              <w:pStyle w:val="Compact"/>
              <w:jc w:val="left"/>
            </w:pPr>
            <w:r>
              <w:t xml:space="preserve">None</w:t>
            </w:r>
          </w:p>
        </w:tc>
        <w:tc>
          <w:tcPr/>
          <w:p>
            <w:pPr>
              <w:pStyle w:val="Compact"/>
              <w:jc w:val="left"/>
            </w:pPr>
            <w:r>
              <w:t xml:space="preserve">Not supported (median</w:t>
            </w:r>
            <w:r>
              <w:t xml:space="preserve"> </w:t>
            </w:r>
            <m:oMath>
              <m:r>
                <m:rPr>
                  <m:sty m:val="p"/>
                </m:rPr>
                <m:t>−</m:t>
              </m:r>
              <m:r>
                <m:t>0.145</m:t>
              </m:r>
            </m:oMath>
            <w:r>
              <w:t xml:space="preserve">;</w:t>
            </w:r>
            <w:r>
              <w:t xml:space="preserve"> </w:t>
            </w:r>
            <m:oMath>
              <m:r>
                <m:t>5</m:t>
              </m:r>
              <m:r>
                <m:rPr>
                  <m:sty m:val="p"/>
                </m:rPr>
                <m:t>/</m:t>
              </m:r>
              <m:r>
                <m:t>14</m:t>
              </m:r>
            </m:oMath>
            <w:r>
              <w:t xml:space="preserve"> </w:t>
            </w:r>
            <w:r>
              <w:t xml:space="preserve">positive)</w:t>
            </w:r>
          </w:p>
        </w:tc>
      </w:tr>
      <w:tr>
        <w:tc>
          <w:tcPr/>
          <w:p>
            <w:pPr>
              <w:pStyle w:val="Compact"/>
              <w:jc w:val="left"/>
            </w:pPr>
            <w:r>
              <w:t xml:space="preserve">T_B</w:t>
            </w:r>
          </w:p>
        </w:tc>
        <w:tc>
          <w:tcPr/>
          <w:p>
            <w:pPr>
              <w:pStyle w:val="Compact"/>
              <w:jc w:val="left"/>
            </w:pPr>
            <w:r>
              <w:t xml:space="preserve">Do methodological covariates explain more between-study yield variance than regime?</w:t>
            </w:r>
          </w:p>
        </w:tc>
        <w:tc>
          <w:tcPr/>
          <w:p>
            <w:pPr>
              <w:pStyle w:val="Compact"/>
              <w:jc w:val="left"/>
            </w:pPr>
            <w:r>
              <w:t xml:space="preserve">Between-study</w:t>
            </w:r>
            <w:r>
              <w:t xml:space="preserve"> </w:t>
            </w:r>
            <m:oMath>
              <m:sSubSup>
                <m:e>
                  <m:r>
                    <m:t>R</m:t>
                  </m:r>
                </m:e>
                <m:sub>
                  <m:r>
                    <m:t>C</m:t>
                  </m:r>
                </m:sub>
                <m:sup>
                  <m:r>
                    <m:t>2</m:t>
                  </m:r>
                </m:sup>
              </m:sSubSup>
            </m:oMath>
            <w:r>
              <w:t xml:space="preserve"> </w:t>
            </w:r>
            <w:r>
              <w:t xml:space="preserve">decomposition with cluster-bootstrap CIs (</w:t>
            </w:r>
            <m:oMath>
              <m:r>
                <m:t>n</m:t>
              </m:r>
              <m:r>
                <m:t>​</m:t>
              </m:r>
              <m:r>
                <m:rPr>
                  <m:sty m:val="p"/>
                </m:rPr>
                <m:t>=</m:t>
              </m:r>
              <m:r>
                <m:t>​</m:t>
              </m:r>
              <m:r>
                <m:t>31</m:t>
              </m:r>
            </m:oMath>
            <w:r>
              <w:t xml:space="preserve"> </w:t>
            </w:r>
            <w:r>
              <w:t xml:space="preserve">studies)</w:t>
            </w:r>
          </w:p>
        </w:tc>
        <w:tc>
          <w:tcPr/>
          <w:p>
            <w:pPr>
              <w:pStyle w:val="Compact"/>
              <w:jc w:val="left"/>
            </w:pPr>
            <m:oMath>
              <m:sSubSup>
                <m:e>
                  <m:r>
                    <m:t>R</m:t>
                  </m:r>
                </m:e>
                <m:sub>
                  <m:r>
                    <m:rPr>
                      <m:nor/>
                      <m:sty m:val="p"/>
                    </m:rPr>
                    <m:t>method</m:t>
                  </m:r>
                </m:sub>
                <m:sup>
                  <m:r>
                    <m:t>2</m:t>
                  </m:r>
                </m:sup>
              </m:sSubSup>
              <m:r>
                <m:rPr>
                  <m:sty m:val="p"/>
                </m:rPr>
                <m:t>≫</m:t>
              </m:r>
              <m:sSubSup>
                <m:e>
                  <m:r>
                    <m:t>R</m:t>
                  </m:r>
                </m:e>
                <m:sub>
                  <m:r>
                    <m:rPr>
                      <m:nor/>
                      <m:sty m:val="p"/>
                    </m:rPr>
                    <m:t>regime</m:t>
                  </m:r>
                </m:sub>
                <m:sup>
                  <m:r>
                    <m:t>2</m:t>
                  </m:r>
                </m:sup>
              </m:sSubSup>
            </m:oMath>
          </w:p>
        </w:tc>
        <w:tc>
          <w:tcPr/>
          <w:p>
            <w:pPr>
              <w:pStyle w:val="Compact"/>
              <w:jc w:val="left"/>
            </w:pPr>
            <w:r>
              <w:t xml:space="preserve">None (descriptive)</w:t>
            </w:r>
          </w:p>
        </w:tc>
        <w:tc>
          <w:tcPr/>
          <w:p>
            <w:pPr>
              <w:pStyle w:val="Compact"/>
              <w:jc w:val="left"/>
            </w:pPr>
            <w:r>
              <w:t xml:space="preserve">Supported (</w:t>
            </w:r>
            <m:oMath>
              <m:r>
                <m:t>72</m:t>
              </m:r>
              <m:r>
                <m:rPr>
                  <m:sty m:val="p"/>
                </m:rPr>
                <m:t>%</m:t>
              </m:r>
            </m:oMath>
            <w:r>
              <w:t xml:space="preserve"> </w:t>
            </w:r>
            <w:r>
              <w:t xml:space="preserve">method vs. </w:t>
            </w:r>
            <m:oMath>
              <m:r>
                <m:t>2</m:t>
              </m:r>
              <m:r>
                <m:rPr>
                  <m:sty m:val="p"/>
                </m:rPr>
                <m:t>%</m:t>
              </m:r>
            </m:oMath>
            <w:r>
              <w:t xml:space="preserve"> </w:t>
            </w:r>
            <w:r>
              <w:t xml:space="preserve">regime; upper CI bound</w:t>
            </w:r>
            <w:r>
              <w:t xml:space="preserve"> </w:t>
            </w:r>
            <m:oMath>
              <m:r>
                <m:t>37</m:t>
              </m:r>
              <m:r>
                <m:rPr>
                  <m:sty m:val="p"/>
                </m:rPr>
                <m:t>%</m:t>
              </m:r>
            </m:oMath>
            <w:r>
              <w:t xml:space="preserve"> </w:t>
            </w:r>
            <w:r>
              <w:t xml:space="preserve">for regime)</w:t>
            </w:r>
          </w:p>
        </w:tc>
      </w:tr>
    </w:tbl>
    <w:bookmarkEnd w:id="31"/>
    <w:bookmarkEnd w:id="32"/>
    <w:bookmarkEnd w:id="33"/>
    <w:bookmarkStart w:id="65" w:name="results"/>
    <w:p>
      <w:pPr>
        <w:pStyle w:val="Heading1"/>
      </w:pPr>
      <w:r>
        <w:t xml:space="preserve">Results</w:t>
      </w:r>
    </w:p>
    <w:bookmarkStart w:id="34" w:name="sec:test1"/>
    <w:p>
      <w:pPr>
        <w:pStyle w:val="Heading2"/>
      </w:pPr>
      <w:r>
        <w:t xml:space="preserve">TEST 1 negative control: the cross-study signal is not a genuine</w:t>
      </w:r>
      <w:r>
        <w:t xml:space="preserve"> </w:t>
      </w:r>
      <w:r>
        <w:t xml:space="preserve">replication signal</w:t>
      </w:r>
    </w:p>
    <w:p>
      <w:pPr>
        <w:pStyle w:val="FirstParagraph"/>
      </w:pPr>
      <w:r>
        <w:t xml:space="preserve">Before reporting the primary results, we establish that the apparent within-regime</w:t>
      </w:r>
      <w:r>
        <w:t xml:space="preserve"> </w:t>
      </w:r>
      <w:r>
        <w:t xml:space="preserve">cross-study signal is not genuine. Within the largest regime (</w:t>
      </w:r>
      <w:r>
        <w:rPr>
          <w:rStyle w:val="VerbatimChar"/>
        </w:rPr>
        <w:t xml:space="preserve">pure_al_alkali</w:t>
      </w:r>
      <w:r>
        <w:t xml:space="preserve">,</w:t>
      </w:r>
      <w:r>
        <w:t xml:space="preserve"> </w:t>
      </w:r>
      <m:oMath>
        <m:r>
          <m:t>n</m:t>
        </m:r>
        <m:r>
          <m:t>​</m:t>
        </m:r>
        <m:r>
          <m:rPr>
            <m:sty m:val="p"/>
          </m:rPr>
          <m:t>=</m:t>
        </m:r>
        <m:r>
          <m:t>​</m:t>
        </m:r>
        <m:r>
          <m:t>162</m:t>
        </m:r>
      </m:oMath>
      <w:r>
        <w:t xml:space="preserve">, 9 studies), a rows-weighted LOSO skill of</w:t>
      </w:r>
      <w:r>
        <w:t xml:space="preserve"> </w:t>
      </w:r>
      <m:oMath>
        <m:r>
          <m:rPr>
            <m:sty m:val="p"/>
          </m:rPr>
          <m:t>+</m:t>
        </m:r>
        <m:r>
          <m:t>0.825</m:t>
        </m:r>
      </m:oMath>
      <w:r>
        <w:t xml:space="preserve"> </w:t>
      </w:r>
      <w:r>
        <w:t xml:space="preserve">looks impressive.</w:t>
      </w:r>
      <w:r>
        <w:t xml:space="preserve"> </w:t>
      </w:r>
      <w:r>
        <w:t xml:space="preserve">However, one study,</w:t>
      </w:r>
      <w:r>
        <w:t xml:space="preserve"> </w:t>
      </w:r>
      <w:r>
        <w:t xml:space="preserve">[6]</w:t>
      </w:r>
      <w:r>
        <w:t xml:space="preserve"> </w:t>
      </w:r>
      <w:r>
        <w:t xml:space="preserve">[6]</w:t>
      </w:r>
      <w:r>
        <w:t xml:space="preserve">, contributes</w:t>
      </w:r>
      <w:r>
        <w:t xml:space="preserve"> </w:t>
      </w:r>
      <w:r>
        <w:t xml:space="preserve">120 of 162 rows (74%) and achieves LOSO skill</w:t>
      </w:r>
      <w:r>
        <w:t xml:space="preserve"> </w:t>
      </w:r>
      <m:oMath>
        <m:r>
          <m:rPr>
            <m:sty m:val="p"/>
          </m:rPr>
          <m:t>+</m:t>
        </m:r>
        <m:r>
          <m:t>0.926</m:t>
        </m:r>
      </m:oMath>
      <w:r>
        <w:t xml:space="preserve">; when skill is averaged uniformly</w:t>
      </w:r>
      <w:r>
        <w:t xml:space="preserve"> </w:t>
      </w:r>
      <w:r>
        <w:t xml:space="preserve">over studies (study-macro LOSO) rather than over rows, it falls to</w:t>
      </w:r>
      <w:r>
        <w:t xml:space="preserve"> </w:t>
      </w:r>
      <m:oMath>
        <m:r>
          <m:rPr>
            <m:sty m:val="p"/>
          </m:rPr>
          <m:t>−</m:t>
        </m:r>
        <m:r>
          <m:t>0.311</m:t>
        </m:r>
      </m:oMath>
      <w:r>
        <w:t xml:space="preserve">. MAE doubles</w:t>
      </w:r>
      <w:r>
        <w:t xml:space="preserve"> </w:t>
      </w:r>
      <w:r>
        <w:t xml:space="preserve">from</w:t>
      </w:r>
      <w:r>
        <w:t xml:space="preserve"> </w:t>
      </w:r>
      <m:oMath>
        <m:r>
          <m:t>9.3</m:t>
        </m:r>
      </m:oMath>
      <w:r>
        <w:t xml:space="preserve"> </w:t>
      </w:r>
      <w:r>
        <w:t xml:space="preserve">to</w:t>
      </w:r>
      <w:r>
        <w:t xml:space="preserve"> </w:t>
      </w:r>
      <m:oMath>
        <m:r>
          <m:t>17.2</m:t>
        </m:r>
      </m:oMath>
      <w:r>
        <w:t xml:space="preserve"> % yield on removing that study from the training pool.</w:t>
      </w:r>
      <w:r>
        <w:t xml:space="preserve"> </w:t>
      </w:r>
      <w:r>
        <w:t xml:space="preserve">Of the nine studies, 5/9 beat the class mean when tested individually; the four failing</w:t>
      </w:r>
      <w:r>
        <w:t xml:space="preserve"> </w:t>
      </w:r>
      <w:r>
        <w:t xml:space="preserve">studies miss badly (skill</w:t>
      </w:r>
      <w:r>
        <w:t xml:space="preserve"> </w:t>
      </w:r>
      <m:oMath>
        <m:r>
          <m:rPr>
            <m:sty m:val="p"/>
          </m:rPr>
          <m:t>−</m:t>
        </m:r>
        <m:r>
          <m:t>0.10</m:t>
        </m:r>
      </m:oMath>
      <w:r>
        <w:t xml:space="preserve"> </w:t>
      </w:r>
      <w:r>
        <w:t xml:space="preserve">to</w:t>
      </w:r>
      <w:r>
        <w:t xml:space="preserve"> </w:t>
      </w:r>
      <m:oMath>
        <m:r>
          <m:rPr>
            <m:sty m:val="p"/>
          </m:rPr>
          <m:t>−</m:t>
        </m:r>
        <m:r>
          <m:t>3.3</m:t>
        </m:r>
      </m:oMath>
      <w:r>
        <w:t xml:space="preserve">). The row-weighted and study-macro metrics</w:t>
      </w:r>
      <w:r>
        <w:t xml:space="preserve"> </w:t>
      </w:r>
      <w:r>
        <w:t xml:space="preserve">diverge by</w:t>
      </w:r>
      <w:r>
        <w:t xml:space="preserve"> </w:t>
      </w:r>
      <m:oMath>
        <m:r>
          <m:t>1.14</m:t>
        </m:r>
      </m:oMath>
      <w:r>
        <w:t xml:space="preserve">: the headline score is porciuncula-weighted, not a replication signal.</w:t>
      </w:r>
      <w:r>
        <w:t xml:space="preserve"> </w:t>
      </w:r>
      <w:r>
        <w:t xml:space="preserve">A row-weighted metric should therefore not be used to claim cross-study performance on</w:t>
      </w:r>
      <w:r>
        <w:t xml:space="preserve"> </w:t>
      </w:r>
      <w:r>
        <w:t xml:space="preserve">this corpus.</w:t>
      </w:r>
    </w:p>
    <w:bookmarkEnd w:id="34"/>
    <w:bookmarkStart w:id="36" w:name="X108cd0756bab8fa94b8b42039af10a2bbbf31ed"/>
    <w:p>
      <w:pPr>
        <w:pStyle w:val="Heading2"/>
      </w:pPr>
      <w:r>
        <w:t xml:space="preserve">The literature does not pool: a large and robust optimism gap</w:t>
      </w:r>
    </w:p>
    <w:p>
      <w:pPr>
        <w:pStyle w:val="FirstParagraph"/>
      </w:pPr>
      <w:r>
        <w:t xml:space="preserve">Table </w:t>
      </w:r>
      <w:hyperlink w:anchor="tab:cv_summary">
        <w:r>
          <w:rPr>
            <w:rStyle w:val="Hyperlink"/>
          </w:rPr>
          <w:t xml:space="preserve">4</w:t>
        </w:r>
      </w:hyperlink>
      <w:r>
        <w:t xml:space="preserve"> </w:t>
      </w:r>
      <w:r>
        <w:t xml:space="preserve">reports the full per-model cross-validation results. Under</w:t>
      </w:r>
      <w:r>
        <w:t xml:space="preserve"> </w:t>
      </w:r>
      <w:r>
        <w:t xml:space="preserve">random</w:t>
      </w:r>
      <w:r>
        <w:t xml:space="preserve"> </w:t>
      </w:r>
      <m:oMath>
        <m:r>
          <m:t>k</m:t>
        </m:r>
      </m:oMath>
      <w:r>
        <w:t xml:space="preserve">-fold splits, tree models reach</w:t>
      </w:r>
      <w:r>
        <w:t xml:space="preserve"> </w:t>
      </w:r>
      <m:oMath>
        <m:sSup>
          <m:e>
            <m:r>
              <m:t>R</m:t>
            </m:r>
          </m:e>
          <m:sup>
            <m:r>
              <m:t>2</m:t>
            </m:r>
          </m:sup>
        </m:sSup>
        <m:r>
          <m:t>​</m:t>
        </m:r>
        <m:r>
          <m:rPr>
            <m:sty m:val="p"/>
          </m:rPr>
          <m:t>≈</m:t>
        </m:r>
        <m:r>
          <m:t>​</m:t>
        </m:r>
        <m:r>
          <m:t>0.55</m:t>
        </m:r>
      </m:oMath>
      <w:r>
        <w:t xml:space="preserve">–</w:t>
      </w:r>
      <m:oMath>
        <m:r>
          <m:t>0.57</m:t>
        </m:r>
      </m:oMath>
      <w:r>
        <w:t xml:space="preserve"> </w:t>
      </w:r>
      <w:r>
        <w:t xml:space="preserve">(random forest</w:t>
      </w:r>
      <w:r>
        <w:t xml:space="preserve"> </w:t>
      </w:r>
      <m:oMath>
        <m:r>
          <m:t>0.564</m:t>
        </m:r>
      </m:oMath>
      <w:r>
        <w:t xml:space="preserve">, LightGBM</w:t>
      </w:r>
      <w:r>
        <w:t xml:space="preserve"> </w:t>
      </w:r>
      <m:oMath>
        <m:r>
          <m:t>0.572</m:t>
        </m:r>
      </m:oMath>
      <w:r>
        <w:t xml:space="preserve">, XGBoost</w:t>
      </w:r>
      <w:r>
        <w:t xml:space="preserve"> </w:t>
      </w:r>
      <m:oMath>
        <m:r>
          <m:t>0.545</m:t>
        </m:r>
      </m:oMath>
      <w:r>
        <w:t xml:space="preserve">). Under study-grouped cross-validation the</w:t>
      </w:r>
      <w:r>
        <w:t xml:space="preserve"> </w:t>
      </w:r>
      <w:r>
        <w:t xml:space="preserve">same models collapse to</w:t>
      </w:r>
      <w:r>
        <w:t xml:space="preserve"> </w:t>
      </w:r>
      <m:oMath>
        <m:sSup>
          <m:e>
            <m:r>
              <m:t>R</m:t>
            </m:r>
          </m:e>
          <m:sup>
            <m:r>
              <m:t>2</m:t>
            </m:r>
          </m:sup>
        </m:sSup>
        <m:r>
          <m:t>​</m:t>
        </m:r>
        <m:r>
          <m:rPr>
            <m:sty m:val="p"/>
          </m:rPr>
          <m:t>&lt;</m:t>
        </m:r>
        <m:r>
          <m:t>​</m:t>
        </m:r>
        <m:r>
          <m:t>0</m:t>
        </m:r>
      </m:oMath>
      <w:r>
        <w:t xml:space="preserve"> </w:t>
      </w:r>
      <w:r>
        <w:t xml:space="preserve">(all six regressors perform worse than predicting</w:t>
      </w:r>
      <w:r>
        <w:t xml:space="preserve"> </w:t>
      </w:r>
      <w:r>
        <w:t xml:space="preserve">the global mean) for optimism gaps of</w:t>
      </w:r>
      <w:r>
        <w:t xml:space="preserve"> </w:t>
      </w:r>
      <m:oMath>
        <m:r>
          <m:t>0.62</m:t>
        </m:r>
      </m:oMath>
      <w:r>
        <w:t xml:space="preserve">–</w:t>
      </w:r>
      <m:oMath>
        <m:r>
          <m:t>0.85</m:t>
        </m:r>
      </m:oMath>
      <w:r>
        <w:t xml:space="preserve"> </w:t>
      </w:r>
      <w:r>
        <w:t xml:space="preserve">(tree models) and up to</w:t>
      </w:r>
      <w:r>
        <w:t xml:space="preserve"> </w:t>
      </w:r>
      <m:oMath>
        <m:r>
          <m:t>6.27</m:t>
        </m:r>
      </m:oMath>
      <w:r>
        <w:t xml:space="preserve"> </w:t>
      </w:r>
      <w:r>
        <w:t xml:space="preserve">(ElasticNet). The gap persists after removing</w:t>
      </w:r>
      <w:r>
        <w:t xml:space="preserve"> </w:t>
      </w:r>
      <w:r>
        <w:t xml:space="preserve">[6]</w:t>
      </w:r>
      <w:r>
        <w:t xml:space="preserve">: RF gap</w:t>
      </w:r>
      <w:r>
        <w:t xml:space="preserve"> </w:t>
      </w:r>
      <m:oMath>
        <m:r>
          <m:t>0.622</m:t>
        </m:r>
        <m:r>
          <m:rPr>
            <m:sty m:val="p"/>
          </m:rPr>
          <m:t>→</m:t>
        </m:r>
        <m:r>
          <m:t>0.484</m:t>
        </m:r>
      </m:oMath>
      <w:r>
        <w:t xml:space="preserve">, LGBM</w:t>
      </w:r>
      <w:r>
        <w:t xml:space="preserve"> </w:t>
      </w:r>
      <m:oMath>
        <m:r>
          <m:t>0.828</m:t>
        </m:r>
        <m:r>
          <m:rPr>
            <m:sty m:val="p"/>
          </m:rPr>
          <m:t>→</m:t>
        </m:r>
        <m:r>
          <m:t>0.730</m:t>
        </m:r>
      </m:oMath>
      <w:r>
        <w:t xml:space="preserve">, XGB</w:t>
      </w:r>
      <w:r>
        <w:t xml:space="preserve"> </w:t>
      </w:r>
      <m:oMath>
        <m:r>
          <m:t>0.845</m:t>
        </m:r>
        <m:r>
          <m:rPr>
            <m:sty m:val="p"/>
          </m:rPr>
          <m:t>→</m:t>
        </m:r>
        <m:r>
          <m:t>0.632</m:t>
        </m:r>
      </m:oMath>
      <w:r>
        <w:t xml:space="preserve">, confirming it is not driven</w:t>
      </w:r>
      <w:r>
        <w:t xml:space="preserve"> </w:t>
      </w:r>
      <w:r>
        <w:t xml:space="preserve">by one dominant study (Fig. </w:t>
      </w:r>
      <w:hyperlink w:anchor="fig:gap">
        <w:r>
          <w:rPr>
            <w:rStyle w:val="Hyperlink"/>
          </w:rPr>
          <w:t xml:space="preserve">2</w:t>
        </w:r>
      </w:hyperlink>
      <w:r>
        <w:t xml:space="preserve">).</w:t>
      </w:r>
    </w:p>
    <w:bookmarkStart w:id="35" w:name="tab:cv_summary"/>
    <w:p>
      <w:pPr>
        <w:pStyle w:val="TableCaption"/>
      </w:pPr>
      <w:r>
        <w:rPr>
          <w:b/>
          <w:bCs/>
        </w:rPr>
        <w:t xml:space="preserve">Leakage-controlled cross-validation results for all six regressors.</w:t>
      </w:r>
      <w:r>
        <w:t xml:space="preserve"> </w:t>
      </w:r>
      <m:oMath>
        <m:sSubSup>
          <m:e>
            <m:r>
              <m:t>R</m:t>
            </m:r>
          </m:e>
          <m:sub>
            <m:r>
              <m:rPr>
                <m:nor/>
                <m:sty m:val="p"/>
              </m:rPr>
              <m:t>rand</m:t>
            </m:r>
          </m:sub>
          <m:sup>
            <m:r>
              <m:t>2</m:t>
            </m:r>
          </m:sup>
        </m:sSubSup>
      </m:oMath>
      <w:r>
        <w:t xml:space="preserve">: random-split;</w:t>
      </w:r>
      <w:r>
        <w:t xml:space="preserve"> </w:t>
      </w:r>
      <m:oMath>
        <m:sSubSup>
          <m:e>
            <m:r>
              <m:t>R</m:t>
            </m:r>
          </m:e>
          <m:sub>
            <m:r>
              <m:rPr>
                <m:nor/>
                <m:sty m:val="p"/>
              </m:rPr>
              <m:t>grp</m:t>
            </m:r>
          </m:sub>
          <m:sup>
            <m:r>
              <m:t>2</m:t>
            </m:r>
          </m:sup>
        </m:sSubSup>
      </m:oMath>
      <w:r>
        <w:t xml:space="preserve">: study-grouped;</w:t>
      </w:r>
      <w:r>
        <w:t xml:space="preserve"> </w:t>
      </w:r>
      <w:r>
        <w:t xml:space="preserve">Gap </w:t>
      </w:r>
      <m:oMath>
        <m:r>
          <m:rPr>
            <m:sty m:val="p"/>
          </m:rPr>
          <m:t>=</m:t>
        </m:r>
        <m:sSubSup>
          <m:e>
            <m:r>
              <m:t>R</m:t>
            </m:r>
          </m:e>
          <m:sub>
            <m:r>
              <m:rPr>
                <m:nor/>
                <m:sty m:val="p"/>
              </m:rPr>
              <m:t>rand</m:t>
            </m:r>
          </m:sub>
          <m:sup>
            <m:r>
              <m:t>2</m:t>
            </m:r>
          </m:sup>
        </m:sSubSup>
        <m:r>
          <m:rPr>
            <m:sty m:val="p"/>
          </m:rPr>
          <m:t>−</m:t>
        </m:r>
        <m:sSubSup>
          <m:e>
            <m:r>
              <m:t>R</m:t>
            </m:r>
          </m:e>
          <m:sub>
            <m:r>
              <m:rPr>
                <m:nor/>
                <m:sty m:val="p"/>
              </m:rPr>
              <m:t>grp</m:t>
            </m:r>
          </m:sub>
          <m:sup>
            <m:r>
              <m:t>2</m:t>
            </m:r>
          </m:sup>
        </m:sSubSup>
      </m:oMath>
      <w:r>
        <w:t xml:space="preserve">;</w:t>
      </w:r>
      <w:r>
        <w:t xml:space="preserve"> </w:t>
      </w:r>
      <w:r>
        <w:t xml:space="preserve">RMSE</w:t>
      </w:r>
      <m:oMath>
        <m:sSub>
          <m:e>
            <m:r>
              <m:t>​</m:t>
            </m:r>
          </m:e>
          <m:sub>
            <m:r>
              <m:rPr>
                <m:nor/>
                <m:sty m:val="p"/>
              </m:rPr>
              <m:t>grp</m:t>
            </m:r>
          </m:sub>
        </m:sSub>
      </m:oMath>
      <w:r>
        <w:t xml:space="preserve">: study-grouped RMSE in % yield.</w:t>
      </w:r>
      <w:r>
        <w:t xml:space="preserve"> </w:t>
      </w:r>
      <w:r>
        <w:t xml:space="preserve">Porc-out columns show the grouped results after removing</w:t>
      </w:r>
      <w:r>
        <w:t xml:space="preserve"> </w:t>
      </w:r>
      <w:r>
        <w:t xml:space="preserve">[6]</w:t>
      </w:r>
      <w:r>
        <w:t xml:space="preserve">.</w:t>
      </w:r>
    </w:p>
    <w:tbl>
      <w:tblPr>
        <w:tblStyle w:val="Table"/>
        <w:tblW w:type="auto" w:w="0"/>
        <w:tblLook w:firstRow="1" w:lastRow="0" w:firstColumn="0" w:lastColumn="0" w:noHBand="0" w:noVBand="0" w:val="0020"/>
        <w:tblCaption w:val="Leakage-controlled cross-validation results for all six regressors. R^2_{\text{rand}}: random-split; R^2_{\text{grp}}: study-grouped; Gap = R^2_{\text{rand}} - R^2_{\text{grp}}; RMSE_{\text{grp}}: study-grouped RMSE in % yield. Porc-out columns show the grouped results after removing [6]."/>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center"/>
            </w:pPr>
            <m:oMath>
              <m:sSubSup>
                <m:e>
                  <m:r>
                    <m:t>R</m:t>
                  </m:r>
                </m:e>
                <m:sub>
                  <m:r>
                    <m:rPr>
                      <m:nor/>
                      <m:sty m:val="p"/>
                    </m:rPr>
                    <m:t>rand</m:t>
                  </m:r>
                </m:sub>
                <m:sup>
                  <m:r>
                    <m:t>2</m:t>
                  </m:r>
                </m:sup>
              </m:sSubSup>
            </m:oMath>
          </w:p>
        </w:tc>
        <w:tc>
          <w:tcPr/>
          <w:p>
            <w:pPr>
              <w:pStyle w:val="Compact"/>
              <w:jc w:val="center"/>
            </w:pPr>
            <m:oMath>
              <m:sSubSup>
                <m:e>
                  <m:r>
                    <m:t>R</m:t>
                  </m:r>
                </m:e>
                <m:sub>
                  <m:r>
                    <m:rPr>
                      <m:nor/>
                      <m:sty m:val="p"/>
                    </m:rPr>
                    <m:t>grp</m:t>
                  </m:r>
                </m:sub>
                <m:sup>
                  <m:r>
                    <m:t>2</m:t>
                  </m:r>
                </m:sup>
              </m:sSubSup>
            </m:oMath>
          </w:p>
        </w:tc>
        <w:tc>
          <w:tcPr/>
          <w:p>
            <w:pPr>
              <w:pStyle w:val="Compact"/>
              <w:jc w:val="center"/>
            </w:pPr>
            <w:r>
              <w:t xml:space="preserve">Gap</w:t>
            </w:r>
          </w:p>
        </w:tc>
        <w:tc>
          <w:tcPr/>
          <w:p>
            <w:pPr>
              <w:pStyle w:val="Compact"/>
              <w:jc w:val="center"/>
            </w:pPr>
            <w:r>
              <w:t xml:space="preserve">RMSE</w:t>
            </w:r>
            <m:oMath>
              <m:sSub>
                <m:e>
                  <m:r>
                    <m:t>​</m:t>
                  </m:r>
                </m:e>
                <m:sub>
                  <m:r>
                    <m:rPr>
                      <m:nor/>
                      <m:sty m:val="p"/>
                    </m:rPr>
                    <m:t>grp</m:t>
                  </m:r>
                </m:sub>
              </m:sSub>
            </m:oMath>
          </w:p>
        </w:tc>
        <w:tc>
          <w:tcPr/>
          <w:p>
            <w:pPr>
              <w:pStyle w:val="Compact"/>
              <w:jc w:val="center"/>
            </w:pPr>
            <m:oMath>
              <m:sSubSup>
                <m:e>
                  <m:r>
                    <m:t>R</m:t>
                  </m:r>
                </m:e>
                <m:sub>
                  <m:r>
                    <m:rPr>
                      <m:nor/>
                      <m:sty m:val="p"/>
                    </m:rPr>
                    <m:t>grp</m:t>
                  </m:r>
                </m:sub>
                <m:sup>
                  <m:r>
                    <m:t>2</m:t>
                  </m:r>
                </m:sup>
              </m:sSubSup>
            </m:oMath>
            <w:r>
              <w:t xml:space="preserve"> </w:t>
            </w:r>
            <w:r>
              <w:t xml:space="preserve">(porc-out)</w:t>
            </w:r>
          </w:p>
        </w:tc>
        <w:tc>
          <w:tcPr/>
          <w:p>
            <w:pPr>
              <w:pStyle w:val="Compact"/>
              <w:jc w:val="center"/>
            </w:pPr>
            <w:r>
              <w:t xml:space="preserve">Gap (porc-out)</w:t>
            </w:r>
          </w:p>
        </w:tc>
      </w:tr>
      <w:tr>
        <w:tc>
          <w:tcPr/>
          <w:p>
            <w:pPr>
              <w:pStyle w:val="Compact"/>
              <w:jc w:val="left"/>
            </w:pPr>
            <w:r>
              <w:t xml:space="preserve">Random forest</w:t>
            </w:r>
          </w:p>
        </w:tc>
        <w:tc>
          <w:tcPr/>
          <w:p>
            <w:pPr>
              <w:pStyle w:val="Compact"/>
              <w:jc w:val="center"/>
            </w:pPr>
            <w:r>
              <w:t xml:space="preserve">0.564</w:t>
            </w:r>
          </w:p>
        </w:tc>
        <w:tc>
          <w:tcPr/>
          <w:p>
            <w:pPr>
              <w:pStyle w:val="Compact"/>
              <w:jc w:val="center"/>
            </w:pPr>
            <m:oMath>
              <m:r>
                <m:rPr>
                  <m:sty m:val="p"/>
                </m:rPr>
                <m:t>−</m:t>
              </m:r>
            </m:oMath>
            <w:r>
              <w:t xml:space="preserve">0.058</w:t>
            </w:r>
          </w:p>
        </w:tc>
        <w:tc>
          <w:tcPr/>
          <w:p>
            <w:pPr>
              <w:pStyle w:val="Compact"/>
              <w:jc w:val="center"/>
            </w:pPr>
            <w:r>
              <w:t xml:space="preserve">0.622</w:t>
            </w:r>
          </w:p>
        </w:tc>
        <w:tc>
          <w:tcPr/>
          <w:p>
            <w:pPr>
              <w:pStyle w:val="Compact"/>
              <w:jc w:val="center"/>
            </w:pPr>
            <w:r>
              <w:t xml:space="preserve">26.2</w:t>
            </w:r>
          </w:p>
        </w:tc>
        <w:tc>
          <w:tcPr/>
          <w:p>
            <w:pPr>
              <w:pStyle w:val="Compact"/>
              <w:jc w:val="center"/>
            </w:pPr>
            <m:oMath>
              <m:r>
                <m:rPr>
                  <m:sty m:val="p"/>
                </m:rPr>
                <m:t>−</m:t>
              </m:r>
            </m:oMath>
            <w:r>
              <w:t xml:space="preserve">0.046</w:t>
            </w:r>
          </w:p>
        </w:tc>
        <w:tc>
          <w:tcPr/>
          <w:p>
            <w:pPr>
              <w:pStyle w:val="Compact"/>
              <w:jc w:val="center"/>
            </w:pPr>
            <w:r>
              <w:t xml:space="preserve">0.484</w:t>
            </w:r>
          </w:p>
        </w:tc>
      </w:tr>
      <w:tr>
        <w:tc>
          <w:tcPr/>
          <w:p>
            <w:pPr>
              <w:pStyle w:val="Compact"/>
              <w:jc w:val="left"/>
            </w:pPr>
            <w:r>
              <w:t xml:space="preserve">LightGBM</w:t>
            </w:r>
          </w:p>
        </w:tc>
        <w:tc>
          <w:tcPr/>
          <w:p>
            <w:pPr>
              <w:pStyle w:val="Compact"/>
              <w:jc w:val="center"/>
            </w:pPr>
            <w:r>
              <w:t xml:space="preserve">0.572</w:t>
            </w:r>
          </w:p>
        </w:tc>
        <w:tc>
          <w:tcPr/>
          <w:p>
            <w:pPr>
              <w:pStyle w:val="Compact"/>
              <w:jc w:val="center"/>
            </w:pPr>
            <m:oMath>
              <m:r>
                <m:rPr>
                  <m:sty m:val="p"/>
                </m:rPr>
                <m:t>−</m:t>
              </m:r>
            </m:oMath>
            <w:r>
              <w:t xml:space="preserve">0.256</w:t>
            </w:r>
          </w:p>
        </w:tc>
        <w:tc>
          <w:tcPr/>
          <w:p>
            <w:pPr>
              <w:pStyle w:val="Compact"/>
              <w:jc w:val="center"/>
            </w:pPr>
            <w:r>
              <w:t xml:space="preserve">0.828</w:t>
            </w:r>
          </w:p>
        </w:tc>
        <w:tc>
          <w:tcPr/>
          <w:p>
            <w:pPr>
              <w:pStyle w:val="Compact"/>
              <w:jc w:val="center"/>
            </w:pPr>
            <w:r>
              <w:t xml:space="preserve">28.6</w:t>
            </w:r>
          </w:p>
        </w:tc>
        <w:tc>
          <w:tcPr/>
          <w:p>
            <w:pPr>
              <w:pStyle w:val="Compact"/>
              <w:jc w:val="center"/>
            </w:pPr>
            <m:oMath>
              <m:r>
                <m:rPr>
                  <m:sty m:val="p"/>
                </m:rPr>
                <m:t>−</m:t>
              </m:r>
            </m:oMath>
            <w:r>
              <w:t xml:space="preserve">0.221</w:t>
            </w:r>
          </w:p>
        </w:tc>
        <w:tc>
          <w:tcPr/>
          <w:p>
            <w:pPr>
              <w:pStyle w:val="Compact"/>
              <w:jc w:val="center"/>
            </w:pPr>
            <w:r>
              <w:t xml:space="preserve">0.730</w:t>
            </w:r>
          </w:p>
        </w:tc>
      </w:tr>
      <w:tr>
        <w:tc>
          <w:tcPr/>
          <w:p>
            <w:pPr>
              <w:pStyle w:val="Compact"/>
              <w:jc w:val="left"/>
            </w:pPr>
            <w:r>
              <w:t xml:space="preserve">XGBoost</w:t>
            </w:r>
          </w:p>
        </w:tc>
        <w:tc>
          <w:tcPr/>
          <w:p>
            <w:pPr>
              <w:pStyle w:val="Compact"/>
              <w:jc w:val="center"/>
            </w:pPr>
            <w:r>
              <w:t xml:space="preserve">0.545</w:t>
            </w:r>
          </w:p>
        </w:tc>
        <w:tc>
          <w:tcPr/>
          <w:p>
            <w:pPr>
              <w:pStyle w:val="Compact"/>
              <w:jc w:val="center"/>
            </w:pPr>
            <m:oMath>
              <m:r>
                <m:rPr>
                  <m:sty m:val="p"/>
                </m:rPr>
                <m:t>−</m:t>
              </m:r>
            </m:oMath>
            <w:r>
              <w:t xml:space="preserve">0.300</w:t>
            </w:r>
          </w:p>
        </w:tc>
        <w:tc>
          <w:tcPr/>
          <w:p>
            <w:pPr>
              <w:pStyle w:val="Compact"/>
              <w:jc w:val="center"/>
            </w:pPr>
            <w:r>
              <w:t xml:space="preserve">0.845</w:t>
            </w:r>
          </w:p>
        </w:tc>
        <w:tc>
          <w:tcPr/>
          <w:p>
            <w:pPr>
              <w:pStyle w:val="Compact"/>
              <w:jc w:val="center"/>
            </w:pPr>
            <w:r>
              <w:t xml:space="preserve">29.1</w:t>
            </w:r>
          </w:p>
        </w:tc>
        <w:tc>
          <w:tcPr/>
          <w:p>
            <w:pPr>
              <w:pStyle w:val="Compact"/>
              <w:jc w:val="center"/>
            </w:pPr>
            <m:oMath>
              <m:r>
                <m:rPr>
                  <m:sty m:val="p"/>
                </m:rPr>
                <m:t>−</m:t>
              </m:r>
            </m:oMath>
            <w:r>
              <w:t xml:space="preserve">0.145</w:t>
            </w:r>
          </w:p>
        </w:tc>
        <w:tc>
          <w:tcPr/>
          <w:p>
            <w:pPr>
              <w:pStyle w:val="Compact"/>
              <w:jc w:val="center"/>
            </w:pPr>
            <w:r>
              <w:t xml:space="preserve">0.632</w:t>
            </w:r>
          </w:p>
        </w:tc>
      </w:tr>
      <w:tr>
        <w:tc>
          <w:tcPr/>
          <w:p>
            <w:pPr>
              <w:pStyle w:val="Compact"/>
              <w:jc w:val="left"/>
            </w:pPr>
            <w:r>
              <w:t xml:space="preserve">Gaussian process</w:t>
            </w:r>
          </w:p>
        </w:tc>
        <w:tc>
          <w:tcPr/>
          <w:p>
            <w:pPr>
              <w:pStyle w:val="Compact"/>
              <w:jc w:val="center"/>
            </w:pPr>
            <w:r>
              <w:t xml:space="preserve">0.465</w:t>
            </w:r>
          </w:p>
        </w:tc>
        <w:tc>
          <w:tcPr/>
          <w:p>
            <w:pPr>
              <w:pStyle w:val="Compact"/>
              <w:jc w:val="center"/>
            </w:pPr>
            <m:oMath>
              <m:r>
                <m:rPr>
                  <m:sty m:val="p"/>
                </m:rPr>
                <m:t>−</m:t>
              </m:r>
            </m:oMath>
            <w:r>
              <w:t xml:space="preserve">0.481</w:t>
            </w:r>
          </w:p>
        </w:tc>
        <w:tc>
          <w:tcPr/>
          <w:p>
            <w:pPr>
              <w:pStyle w:val="Compact"/>
              <w:jc w:val="center"/>
            </w:pPr>
            <w:r>
              <w:t xml:space="preserve">0.945</w:t>
            </w:r>
          </w:p>
        </w:tc>
        <w:tc>
          <w:tcPr/>
          <w:p>
            <w:pPr>
              <w:pStyle w:val="Compact"/>
              <w:jc w:val="center"/>
            </w:pPr>
            <w:r>
              <w:t xml:space="preserve">31.0</w:t>
            </w:r>
          </w:p>
        </w:tc>
        <w:tc>
          <w:tcPr/>
          <w:p>
            <w:pPr>
              <w:pStyle w:val="Compact"/>
              <w:jc w:val="center"/>
            </w:pPr>
            <w:r>
              <w:t xml:space="preserve">—</w:t>
            </w:r>
          </w:p>
        </w:tc>
        <w:tc>
          <w:tcPr/>
          <w:p>
            <w:pPr>
              <w:pStyle w:val="Compact"/>
              <w:jc w:val="center"/>
            </w:pPr>
            <w:r>
              <w:t xml:space="preserve">—</w:t>
            </w:r>
          </w:p>
        </w:tc>
      </w:tr>
      <w:tr>
        <w:tc>
          <w:tcPr/>
          <w:p>
            <w:pPr>
              <w:pStyle w:val="Compact"/>
              <w:jc w:val="left"/>
            </w:pPr>
            <m:oMath>
              <m:r>
                <m:t>k</m:t>
              </m:r>
            </m:oMath>
            <w:r>
              <w:t xml:space="preserve">NN</w:t>
            </w:r>
          </w:p>
        </w:tc>
        <w:tc>
          <w:tcPr/>
          <w:p>
            <w:pPr>
              <w:pStyle w:val="Compact"/>
              <w:jc w:val="center"/>
            </w:pPr>
            <w:r>
              <w:t xml:space="preserve">0.337</w:t>
            </w:r>
          </w:p>
        </w:tc>
        <w:tc>
          <w:tcPr/>
          <w:p>
            <w:pPr>
              <w:pStyle w:val="Compact"/>
              <w:jc w:val="center"/>
            </w:pPr>
            <m:oMath>
              <m:r>
                <m:rPr>
                  <m:sty m:val="p"/>
                </m:rPr>
                <m:t>−</m:t>
              </m:r>
            </m:oMath>
            <w:r>
              <w:t xml:space="preserve">1.487</w:t>
            </w:r>
          </w:p>
        </w:tc>
        <w:tc>
          <w:tcPr/>
          <w:p>
            <w:pPr>
              <w:pStyle w:val="Compact"/>
              <w:jc w:val="center"/>
            </w:pPr>
            <w:r>
              <w:t xml:space="preserve">1.824</w:t>
            </w:r>
          </w:p>
        </w:tc>
        <w:tc>
          <w:tcPr/>
          <w:p>
            <w:pPr>
              <w:pStyle w:val="Compact"/>
              <w:jc w:val="center"/>
            </w:pPr>
            <w:r>
              <w:t xml:space="preserve">40.2</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ElasticNet</w:t>
            </w:r>
          </w:p>
        </w:tc>
        <w:tc>
          <w:tcPr/>
          <w:p>
            <w:pPr>
              <w:pStyle w:val="Compact"/>
              <w:jc w:val="center"/>
            </w:pPr>
            <w:r>
              <w:t xml:space="preserve">0.186</w:t>
            </w:r>
          </w:p>
        </w:tc>
        <w:tc>
          <w:tcPr/>
          <w:p>
            <w:pPr>
              <w:pStyle w:val="Compact"/>
              <w:jc w:val="center"/>
            </w:pPr>
            <m:oMath>
              <m:r>
                <m:rPr>
                  <m:sty m:val="p"/>
                </m:rPr>
                <m:t>−</m:t>
              </m:r>
            </m:oMath>
            <w:r>
              <w:t xml:space="preserve">6.081</w:t>
            </w:r>
          </w:p>
        </w:tc>
        <w:tc>
          <w:tcPr/>
          <w:p>
            <w:pPr>
              <w:pStyle w:val="Compact"/>
              <w:jc w:val="center"/>
            </w:pPr>
            <w:r>
              <w:t xml:space="preserve">6.267</w:t>
            </w:r>
          </w:p>
        </w:tc>
        <w:tc>
          <w:tcPr/>
          <w:p>
            <w:pPr>
              <w:pStyle w:val="Compact"/>
              <w:jc w:val="center"/>
            </w:pPr>
            <w:r>
              <w:t xml:space="preserve">67.8</w:t>
            </w:r>
          </w:p>
        </w:tc>
        <w:tc>
          <w:tcPr/>
          <w:p>
            <w:pPr>
              <w:pStyle w:val="Compact"/>
              <w:jc w:val="center"/>
            </w:pPr>
            <w:r>
              <w:t xml:space="preserve">—</w:t>
            </w:r>
          </w:p>
        </w:tc>
        <w:tc>
          <w:tcPr/>
          <w:p>
            <w:pPr>
              <w:pStyle w:val="Compact"/>
              <w:jc w:val="center"/>
            </w:pPr>
            <w:r>
              <w:t xml:space="preserve">—</w:t>
            </w:r>
          </w:p>
        </w:tc>
      </w:tr>
    </w:tbl>
    <w:bookmarkEnd w:id="35"/>
    <w:bookmarkEnd w:id="36"/>
    <w:bookmarkStart w:id="37" w:name="sec:variance_results"/>
    <w:p>
      <w:pPr>
        <w:pStyle w:val="Heading2"/>
      </w:pPr>
      <w:r>
        <w:t xml:space="preserve">Methodology, not physical regime, explains the between-study variance</w:t>
      </w:r>
    </w:p>
    <w:p>
      <w:pPr>
        <w:pStyle w:val="FirstParagraph"/>
      </w:pPr>
      <w:r>
        <w:t xml:space="preserve">At the study level,</w:t>
      </w:r>
      <w:r>
        <w:t xml:space="preserve"> </w:t>
      </w:r>
      <m:oMath>
        <m:r>
          <m:rPr>
            <m:sty m:val="p"/>
          </m:rPr>
          <m:t>≈</m:t>
        </m:r>
        <m:r>
          <m:t>​</m:t>
        </m:r>
        <m:r>
          <m:t>50</m:t>
        </m:r>
        <m:r>
          <m:rPr>
            <m:sty m:val="p"/>
          </m:rPr>
          <m:t>%</m:t>
        </m:r>
      </m:oMath>
      <w:r>
        <w:t xml:space="preserve"> </w:t>
      </w:r>
      <w:r>
        <w:t xml:space="preserve">of the total yield variance lies between studies</w:t>
      </w:r>
      <w:r>
        <w:t xml:space="preserve"> </w:t>
      </w:r>
      <w:r>
        <w:t xml:space="preserve">(</w:t>
      </w:r>
      <m:oMath>
        <m:sSubSup>
          <m:e>
            <m:r>
              <m:t>η</m:t>
            </m:r>
          </m:e>
          <m:sub>
            <m:r>
              <m:rPr>
                <m:nor/>
                <m:sty m:val="p"/>
              </m:rPr>
              <m:t>study</m:t>
            </m:r>
          </m:sub>
          <m:sup>
            <m:r>
              <m:t>2</m:t>
            </m:r>
          </m:sup>
        </m:sSubSup>
        <m:r>
          <m:t>​</m:t>
        </m:r>
        <m:r>
          <m:rPr>
            <m:sty m:val="p"/>
          </m:rPr>
          <m:t>=</m:t>
        </m:r>
        <m:r>
          <m:t>​</m:t>
        </m:r>
        <m:r>
          <m:t>0.496</m:t>
        </m:r>
      </m:oMath>
      <w:r>
        <w:t xml:space="preserve">; this is a robust one-way decomposition, as the</w:t>
      </w:r>
      <w:r>
        <w:t xml:space="preserve"> </w:t>
      </w:r>
      <w:r>
        <w:t xml:space="preserve">null-model random-intercept in the mixed-effects fit collapsed to the boundary). The</w:t>
      </w:r>
      <w:r>
        <w:t xml:space="preserve"> </w:t>
      </w:r>
      <w:r>
        <w:t xml:space="preserve">physico-chemical regime label explains</w:t>
      </w:r>
      <w:r>
        <w:t xml:space="preserve"> </w:t>
      </w:r>
      <m:oMath>
        <m:sSubSup>
          <m:e>
            <m:r>
              <m:t>R</m:t>
            </m:r>
          </m:e>
          <m:sub>
            <m:r>
              <m:rPr>
                <m:nor/>
                <m:scr m:val="monospace"/>
                <m:sty m:val="p"/>
              </m:rPr>
              <m:t>system_class</m:t>
            </m:r>
          </m:sub>
          <m:sup>
            <m:r>
              <m:t>2</m:t>
            </m:r>
          </m:sup>
        </m:sSubSup>
        <m:r>
          <m:t>​</m:t>
        </m:r>
        <m:r>
          <m:rPr>
            <m:sty m:val="p"/>
          </m:rPr>
          <m:t>=</m:t>
        </m:r>
        <m:r>
          <m:t>​</m:t>
        </m:r>
        <m:r>
          <m:t>0.018</m:t>
        </m:r>
      </m:oMath>
      <w:r>
        <w:t xml:space="preserve"> </w:t>
      </w:r>
      <w:r>
        <w:t xml:space="preserve">(cluster-bootstrap 95 % CI</w:t>
      </w:r>
      <w:r>
        <w:t xml:space="preserve"> </w:t>
      </w:r>
      <m:oMath>
        <m:r>
          <m:rPr>
            <m:sty m:val="p"/>
          </m:rPr>
          <m:t>[</m:t>
        </m:r>
        <m:r>
          <m:t>0.015</m:t>
        </m:r>
        <m:r>
          <m:rPr>
            <m:sty m:val="p"/>
          </m:rPr>
          <m:t>,</m:t>
        </m:r>
        <m:r>
          <m:t> </m:t>
        </m:r>
        <m:r>
          <m:t>0.373</m:t>
        </m:r>
        <m:r>
          <m:rPr>
            <m:sty m:val="p"/>
          </m:rPr>
          <m:t>]</m:t>
        </m:r>
      </m:oMath>
      <w:r>
        <w:t xml:space="preserve">); the point estimate is low, but the</w:t>
      </w:r>
      <w:r>
        <w:t xml:space="preserve"> </w:t>
      </w:r>
      <w:r>
        <w:t xml:space="preserve">wide interval (upper bound</w:t>
      </w:r>
      <w:r>
        <w:t xml:space="preserve"> </w:t>
      </w:r>
      <m:oMath>
        <m:r>
          <m:rPr>
            <m:sty m:val="p"/>
          </m:rPr>
          <m:t>≈</m:t>
        </m:r>
        <m:r>
          <m:t>​</m:t>
        </m:r>
        <m:r>
          <m:t>37</m:t>
        </m:r>
        <m:r>
          <m:t> </m:t>
        </m:r>
        <m:r>
          <m:rPr>
            <m:sty m:val="p"/>
          </m:rPr>
          <m:t>%</m:t>
        </m:r>
      </m:oMath>
      <w:r>
        <w:t xml:space="preserve">) reflects the limited corpus (</w:t>
      </w:r>
      <m:oMath>
        <m:r>
          <m:t>n</m:t>
        </m:r>
        <m:r>
          <m:t>​</m:t>
        </m:r>
        <m:r>
          <m:rPr>
            <m:sty m:val="p"/>
          </m:rPr>
          <m:t>=</m:t>
        </m:r>
        <m:r>
          <m:t>​</m:t>
        </m:r>
        <m:r>
          <m:t>31</m:t>
        </m:r>
      </m:oMath>
      <w:r>
        <w:t xml:space="preserve"> </w:t>
      </w:r>
      <w:r>
        <w:t xml:space="preserve">studies) and does not exclude moderate regime effects.</w:t>
      </w:r>
      <w:r>
        <w:t xml:space="preserve"> </w:t>
      </w:r>
      <w:r>
        <w:t xml:space="preserve">Methodological covariates jointly explain</w:t>
      </w:r>
      <w:r>
        <w:t xml:space="preserve"> </w:t>
      </w:r>
      <m:oMath>
        <m:sSup>
          <m:e>
            <m:r>
              <m:t>R</m:t>
            </m:r>
          </m:e>
          <m:sup>
            <m:r>
              <m:t>2</m:t>
            </m:r>
          </m:sup>
        </m:sSup>
        <m:r>
          <m:t>​</m:t>
        </m:r>
        <m:r>
          <m:rPr>
            <m:sty m:val="p"/>
          </m:rPr>
          <m:t>=</m:t>
        </m:r>
        <m:r>
          <m:t>​</m:t>
        </m:r>
        <m:r>
          <m:t>0.717</m:t>
        </m:r>
      </m:oMath>
      <w:r>
        <w:t xml:space="preserve"> </w:t>
      </w:r>
      <w:r>
        <w:t xml:space="preserve">(CI</w:t>
      </w:r>
      <w:r>
        <w:t xml:space="preserve"> </w:t>
      </w:r>
      <m:oMath>
        <m:r>
          <m:rPr>
            <m:sty m:val="p"/>
          </m:rPr>
          <m:t>[</m:t>
        </m:r>
        <m:r>
          <m:t>0.443</m:t>
        </m:r>
        <m:r>
          <m:rPr>
            <m:sty m:val="p"/>
          </m:rPr>
          <m:t>,</m:t>
        </m:r>
        <m:r>
          <m:t> </m:t>
        </m:r>
        <m:r>
          <m:t>1.000</m:t>
        </m:r>
        <m:r>
          <m:rPr>
            <m:sty m:val="p"/>
          </m:rPr>
          <m:t>]</m:t>
        </m:r>
      </m:oMath>
      <w:r>
        <w:t xml:space="preserve">),</w:t>
      </w:r>
      <w:r>
        <w:t xml:space="preserve"> </w:t>
      </w:r>
      <m:oMath>
        <m:r>
          <m:rPr>
            <m:sty m:val="p"/>
          </m:rPr>
          <m:t>≈</m:t>
        </m:r>
        <m:r>
          <m:t>​</m:t>
        </m:r>
        <m:r>
          <m:t>40</m:t>
        </m:r>
        <m:r>
          <m:rPr>
            <m:sty m:val="p"/>
          </m:rPr>
          <m:t>×</m:t>
        </m:r>
      </m:oMath>
      <w:r>
        <w:t xml:space="preserve"> </w:t>
      </w:r>
      <w:r>
        <w:t xml:space="preserve">more (Fig. </w:t>
      </w:r>
      <w:hyperlink w:anchor="fig:variance">
        <w:r>
          <w:rPr>
            <w:rStyle w:val="Hyperlink"/>
          </w:rPr>
          <w:t xml:space="preserve">3</w:t>
        </w:r>
      </w:hyperlink>
      <w:r>
        <w:t xml:space="preserve">). The single largest individual source is the</w:t>
      </w:r>
      <w:r>
        <w:t xml:space="preserve"> </w:t>
      </w:r>
      <w:r>
        <w:rPr>
          <w:i/>
          <w:iCs/>
        </w:rPr>
        <w:t xml:space="preserve">hydrogen measurement apparatus</w:t>
      </w:r>
      <w:r>
        <w:t xml:space="preserve">:</w:t>
      </w:r>
      <w:r>
        <w:t xml:space="preserve"> </w:t>
      </w:r>
      <m:oMath>
        <m:sSubSup>
          <m:e>
            <m:r>
              <m:t>R</m:t>
            </m:r>
          </m:e>
          <m:sub>
            <m:r>
              <m:rPr>
                <m:nor/>
                <m:scr m:val="monospace"/>
                <m:sty m:val="p"/>
              </m:rPr>
              <m:t>measurement_method</m:t>
            </m:r>
          </m:sub>
          <m:sup>
            <m:r>
              <m:t>2</m:t>
            </m:r>
          </m:sup>
        </m:sSubSup>
        <m:r>
          <m:t>​</m:t>
        </m:r>
        <m:r>
          <m:rPr>
            <m:sty m:val="p"/>
          </m:rPr>
          <m:t>=</m:t>
        </m:r>
        <m:r>
          <m:t>​</m:t>
        </m:r>
        <m:r>
          <m:t>0.425</m:t>
        </m:r>
      </m:oMath>
      <w:r>
        <w:t xml:space="preserve"> </w:t>
      </w:r>
      <w:r>
        <w:t xml:space="preserve">(CI</w:t>
      </w:r>
      <w:r>
        <w:t xml:space="preserve"> </w:t>
      </w:r>
      <m:oMath>
        <m:r>
          <m:rPr>
            <m:sty m:val="p"/>
          </m:rPr>
          <m:t>[</m:t>
        </m:r>
        <m:r>
          <m:t>0.024</m:t>
        </m:r>
        <m:r>
          <m:rPr>
            <m:sty m:val="p"/>
          </m:rPr>
          <m:t>,</m:t>
        </m:r>
        <m:r>
          <m:t> </m:t>
        </m:r>
        <m:r>
          <m:t>0.806</m:t>
        </m:r>
        <m:r>
          <m:rPr>
            <m:sty m:val="p"/>
          </m:rPr>
          <m:t>]</m:t>
        </m:r>
      </m:oMath>
      <w:r>
        <w:t xml:space="preserve">; associational;</w:t>
      </w:r>
      <w:r>
        <w:t xml:space="preserve"> </w:t>
      </w:r>
      <m:oMath>
        <m:r>
          <m:t>n</m:t>
        </m:r>
        <m:r>
          <m:t>​</m:t>
        </m:r>
        <m:r>
          <m:rPr>
            <m:sty m:val="p"/>
          </m:rPr>
          <m:t>=</m:t>
        </m:r>
        <m:r>
          <m:t>​</m:t>
        </m:r>
        <m:r>
          <m:t>25</m:t>
        </m:r>
      </m:oMath>
      <w:r>
        <w:t xml:space="preserve"> </w:t>
      </w:r>
      <w:r>
        <w:t xml:space="preserve">studies reporting apparatus details;</w:t>
      </w:r>
      <w:r>
        <w:t xml:space="preserve"> </w:t>
      </w:r>
      <w:r>
        <w:t xml:space="preserve">6 studies have no apparatus metadata). Temperature-control method explains</w:t>
      </w:r>
      <w:r>
        <w:t xml:space="preserve"> </w:t>
      </w:r>
      <m:oMath>
        <m:sSubSup>
          <m:e>
            <m:r>
              <m:t>R</m:t>
            </m:r>
          </m:e>
          <m:sub>
            <m:r>
              <m:rPr>
                <m:nor/>
                <m:scr m:val="monospace"/>
                <m:sty m:val="p"/>
              </m:rPr>
              <m:t>temperature_control</m:t>
            </m:r>
          </m:sub>
          <m:sup>
            <m:r>
              <m:t>2</m:t>
            </m:r>
          </m:sup>
        </m:sSubSup>
        <m:r>
          <m:t>​</m:t>
        </m:r>
        <m:r>
          <m:rPr>
            <m:sty m:val="p"/>
          </m:rPr>
          <m:t>=</m:t>
        </m:r>
        <m:r>
          <m:t>​</m:t>
        </m:r>
        <m:r>
          <m:t>0.081</m:t>
        </m:r>
      </m:oMath>
      <w:r>
        <w:t xml:space="preserve"> </w:t>
      </w:r>
      <w:r>
        <w:t xml:space="preserve">(CI</w:t>
      </w:r>
      <w:r>
        <w:t xml:space="preserve"> </w:t>
      </w:r>
      <m:oMath>
        <m:r>
          <m:rPr>
            <m:sty m:val="p"/>
          </m:rPr>
          <m:t>[</m:t>
        </m:r>
        <m:r>
          <m:t>0.002</m:t>
        </m:r>
        <m:r>
          <m:rPr>
            <m:sty m:val="p"/>
          </m:rPr>
          <m:t>,</m:t>
        </m:r>
        <m:r>
          <m:t> </m:t>
        </m:r>
        <m:r>
          <m:t>0.240</m:t>
        </m:r>
        <m:r>
          <m:rPr>
            <m:sty m:val="p"/>
          </m:rPr>
          <m:t>]</m:t>
        </m:r>
      </m:oMath>
      <w:r>
        <w:t xml:space="preserve">);</w:t>
      </w:r>
      <w:r>
        <w:t xml:space="preserve"> </w:t>
      </w:r>
      <w:r>
        <w:t xml:space="preserve">studies using a self-heating protocol report higher mean yields</w:t>
      </w:r>
      <w:r>
        <w:t xml:space="preserve"> </w:t>
      </w:r>
      <w:r>
        <w:t xml:space="preserve">(</w:t>
      </w:r>
      <m:oMath>
        <m:r>
          <m:t>86</m:t>
        </m:r>
        <m:r>
          <m:rPr>
            <m:sty m:val="p"/>
          </m:rPr>
          <m:t>%</m:t>
        </m:r>
      </m:oMath>
      <w:r>
        <w:t xml:space="preserve">) than isothermal-bath studies (</w:t>
      </w:r>
      <m:oMath>
        <m:r>
          <m:t>72</m:t>
        </m:r>
        <m:r>
          <m:rPr>
            <m:sty m:val="p"/>
          </m:rPr>
          <m:t>%</m:t>
        </m:r>
      </m:oMath>
      <w:r>
        <w:t xml:space="preserve">) across</w:t>
      </w:r>
      <w:r>
        <w:t xml:space="preserve"> </w:t>
      </w:r>
      <m:oMath>
        <m:r>
          <m:t>7</m:t>
        </m:r>
      </m:oMath>
      <w:r>
        <w:t xml:space="preserve"> </w:t>
      </w:r>
      <w:r>
        <w:t xml:space="preserve">and</w:t>
      </w:r>
      <w:r>
        <w:t xml:space="preserve"> </w:t>
      </w:r>
      <m:oMath>
        <m:r>
          <m:t>24</m:t>
        </m:r>
      </m:oMath>
      <w:r>
        <w:t xml:space="preserve"> </w:t>
      </w:r>
      <w:r>
        <w:t xml:space="preserve">studies respectively.</w:t>
      </w:r>
      <w:r>
        <w:t xml:space="preserve"> </w:t>
      </w:r>
      <w:r>
        <w:t xml:space="preserve">These two levels exhaust the temperature-control variable in the corrected dataset</w:t>
      </w:r>
      <w:r>
        <w:t xml:space="preserve"> </w:t>
      </w:r>
      <w:r>
        <w:t xml:space="preserve">(Section </w:t>
      </w:r>
      <w:hyperlink w:anchor="sec:qc">
        <w:r>
          <w:rPr>
            <w:rStyle w:val="Hyperlink"/>
          </w:rPr>
          <w:t xml:space="preserve">3.2</w:t>
        </w:r>
      </w:hyperlink>
      <w:r>
        <w:t xml:space="preserve">; two studies originally coded as</w:t>
      </w:r>
      <w:r>
        <w:t xml:space="preserve"> </w:t>
      </w:r>
      <w:r>
        <w:rPr>
          <w:rStyle w:val="VerbatimChar"/>
        </w:rPr>
        <w:t xml:space="preserve">uncontrolled</w:t>
      </w:r>
      <w:r>
        <w:t xml:space="preserve"> </w:t>
      </w:r>
      <w:r>
        <w:t xml:space="preserve">were</w:t>
      </w:r>
      <w:r>
        <w:t xml:space="preserve"> </w:t>
      </w:r>
      <w:r>
        <w:t xml:space="preserve">reclassified to</w:t>
      </w:r>
      <w:r>
        <w:t xml:space="preserve"> </w:t>
      </w:r>
      <w:r>
        <w:rPr>
          <w:rStyle w:val="VerbatimChar"/>
        </w:rPr>
        <w:t xml:space="preserve">isothermal_bath</w:t>
      </w:r>
      <w:r>
        <w:t xml:space="preserve"> </w:t>
      </w:r>
      <w:r>
        <w:t xml:space="preserve">during inter-rater adjudication, see Table </w:t>
      </w:r>
      <w:hyperlink w:anchor="tab:qc_summary">
        <w:r>
          <w:rPr>
            <w:rStyle w:val="Hyperlink"/>
          </w:rPr>
          <w:t xml:space="preserve">2</w:t>
        </w:r>
      </w:hyperlink>
      <w:r>
        <w:t xml:space="preserve">).</w:t>
      </w:r>
    </w:p>
    <w:p>
      <w:pPr>
        <w:pStyle w:val="BodyText"/>
      </w:pPr>
      <w:r>
        <w:t xml:space="preserve">The measurement-method signal is not a relabeling of study identity or physical regime.</w:t>
      </w:r>
      <w:r>
        <w:t xml:space="preserve"> </w:t>
      </w:r>
      <w:r>
        <w:t xml:space="preserve">The dominant levels (</w:t>
      </w:r>
      <w:r>
        <w:rPr>
          <w:rStyle w:val="VerbatimChar"/>
        </w:rPr>
        <w:t xml:space="preserve">water_displacement</w:t>
      </w:r>
      <w:r>
        <w:t xml:space="preserve">,</w:t>
      </w:r>
      <w:r>
        <w:t xml:space="preserve"> </w:t>
      </w:r>
      <m:oMath>
        <m:r>
          <m:t>n</m:t>
        </m:r>
        <m:r>
          <m:t>​</m:t>
        </m:r>
        <m:r>
          <m:rPr>
            <m:sty m:val="p"/>
          </m:rPr>
          <m:t>=</m:t>
        </m:r>
        <m:r>
          <m:t>​</m:t>
        </m:r>
        <m:r>
          <m:t>19</m:t>
        </m:r>
      </m:oMath>
      <w:r>
        <w:t xml:space="preserve"> </w:t>
      </w:r>
      <w:r>
        <w:t xml:space="preserve">studies;</w:t>
      </w:r>
      <w:r>
        <w:t xml:space="preserve"> </w:t>
      </w:r>
      <w:r>
        <w:rPr>
          <w:rStyle w:val="VerbatimChar"/>
        </w:rPr>
        <w:t xml:space="preserve">other</w:t>
      </w:r>
      <w:r>
        <w:t xml:space="preserve">,</w:t>
      </w:r>
      <w:r>
        <w:t xml:space="preserve"> </w:t>
      </w:r>
      <m:oMath>
        <m:r>
          <m:t>n</m:t>
        </m:r>
        <m:r>
          <m:t>​</m:t>
        </m:r>
        <m:r>
          <m:rPr>
            <m:sty m:val="p"/>
          </m:rPr>
          <m:t>=</m:t>
        </m:r>
        <m:r>
          <m:t>​</m:t>
        </m:r>
        <m:r>
          <m:t>1</m:t>
        </m:r>
      </m:oMath>
      <w:r>
        <w:t xml:space="preserve">;</w:t>
      </w:r>
      <w:r>
        <w:t xml:space="preserve"> </w:t>
      </w:r>
      <w:r>
        <w:rPr>
          <w:rStyle w:val="VerbatimChar"/>
        </w:rPr>
        <w:t xml:space="preserve">pressure</w:t>
      </w:r>
      <w:r>
        <w:t xml:space="preserve">,</w:t>
      </w:r>
      <w:r>
        <w:t xml:space="preserve"> </w:t>
      </w:r>
      <m:oMath>
        <m:r>
          <m:t>n</m:t>
        </m:r>
        <m:r>
          <m:t>​</m:t>
        </m:r>
        <m:r>
          <m:rPr>
            <m:sty m:val="p"/>
          </m:rPr>
          <m:t>=</m:t>
        </m:r>
        <m:r>
          <m:t>​</m:t>
        </m:r>
        <m:r>
          <m:t>3</m:t>
        </m:r>
      </m:oMath>
      <w:r>
        <w:t xml:space="preserve">;</w:t>
      </w:r>
      <w:r>
        <w:t xml:space="preserve"> </w:t>
      </w:r>
      <w:r>
        <w:rPr>
          <w:rStyle w:val="VerbatimChar"/>
        </w:rPr>
        <w:t xml:space="preserve">mass_flow</w:t>
      </w:r>
      <w:r>
        <w:t xml:space="preserve">,</w:t>
      </w:r>
      <w:r>
        <w:t xml:space="preserve"> </w:t>
      </w:r>
      <m:oMath>
        <m:r>
          <m:t>n</m:t>
        </m:r>
        <m:r>
          <m:t>​</m:t>
        </m:r>
        <m:r>
          <m:rPr>
            <m:sty m:val="p"/>
          </m:rPr>
          <m:t>=</m:t>
        </m:r>
        <m:r>
          <m:t>​</m:t>
        </m:r>
        <m:r>
          <m:t>1</m:t>
        </m:r>
      </m:oMath>
      <w:r>
        <w:t xml:space="preserve">;</w:t>
      </w:r>
      <w:r>
        <w:t xml:space="preserve"> </w:t>
      </w:r>
      <w:r>
        <w:rPr>
          <w:rStyle w:val="VerbatimChar"/>
        </w:rPr>
        <w:t xml:space="preserve">gc</w:t>
      </w:r>
      <w:r>
        <w:t xml:space="preserve">,</w:t>
      </w:r>
      <w:r>
        <w:t xml:space="preserve"> </w:t>
      </w:r>
      <m:oMath>
        <m:r>
          <m:t>n</m:t>
        </m:r>
        <m:r>
          <m:t>​</m:t>
        </m:r>
        <m:r>
          <m:rPr>
            <m:sty m:val="p"/>
          </m:rPr>
          <m:t>=</m:t>
        </m:r>
        <m:r>
          <m:t>​</m:t>
        </m:r>
        <m:r>
          <m:t>1</m:t>
        </m:r>
      </m:oMath>
      <w:r>
        <w:t xml:space="preserve">) each span multiple regimes. The measurement-method contribution</w:t>
      </w:r>
      <w:r>
        <w:t xml:space="preserve"> </w:t>
      </w:r>
      <w:r>
        <w:rPr>
          <w:i/>
          <w:iCs/>
        </w:rPr>
        <w:t xml:space="preserve">survives controlling for regime</w:t>
      </w:r>
      <w:r>
        <w:t xml:space="preserve">: incremental variance explained by measurement method</w:t>
      </w:r>
      <w:r>
        <w:t xml:space="preserve"> </w:t>
      </w:r>
      <w:r>
        <w:t xml:space="preserve">given</w:t>
      </w:r>
      <w:r>
        <w:t xml:space="preserve"> </w:t>
      </w:r>
      <w:r>
        <w:rPr>
          <w:rStyle w:val="VerbatimChar"/>
        </w:rPr>
        <w:t xml:space="preserve">system_class</w:t>
      </w:r>
      <w:r>
        <w:t xml:space="preserve"> </w:t>
      </w:r>
      <w:r>
        <w:t xml:space="preserve">is</w:t>
      </w:r>
      <w:r>
        <w:t xml:space="preserve"> </w:t>
      </w:r>
      <m:oMath>
        <m:r>
          <m:rPr>
            <m:sty m:val="p"/>
          </m:rPr>
          <m:t>+</m:t>
        </m:r>
        <m:r>
          <m:t>0.512</m:t>
        </m:r>
      </m:oMath>
      <w:r>
        <w:t xml:space="preserve"> </w:t>
      </w:r>
      <w:r>
        <w:t xml:space="preserve">(bootstrap CI</w:t>
      </w:r>
      <w:r>
        <w:t xml:space="preserve"> </w:t>
      </w:r>
      <m:oMath>
        <m:r>
          <m:rPr>
            <m:sty m:val="p"/>
          </m:rPr>
          <m:t>[</m:t>
        </m:r>
        <m:r>
          <m:rPr>
            <m:sty m:val="p"/>
          </m:rPr>
          <m:t>+</m:t>
        </m:r>
        <m:r>
          <m:t>0.069</m:t>
        </m:r>
        <m:r>
          <m:rPr>
            <m:sty m:val="p"/>
          </m:rPr>
          <m:t>,</m:t>
        </m:r>
        <m:r>
          <m:t> </m:t>
        </m:r>
        <m:r>
          <m:rPr>
            <m:sty m:val="p"/>
          </m:rPr>
          <m:t>+</m:t>
        </m:r>
        <m:r>
          <m:t>0.813</m:t>
        </m:r>
        <m:r>
          <m:rPr>
            <m:sty m:val="p"/>
          </m:rPr>
          <m:t>]</m:t>
        </m:r>
      </m:oMath>
      <w:r>
        <w:t xml:space="preserve">,</w:t>
      </w:r>
      <w:r>
        <w:t xml:space="preserve"> </w:t>
      </w:r>
      <w:r>
        <w:t xml:space="preserve">excluding</w:t>
      </w:r>
      <w:r>
        <w:t xml:space="preserve"> </w:t>
      </w:r>
      <m:oMath>
        <m:r>
          <m:t>0</m:t>
        </m:r>
      </m:oMath>
      <w:r>
        <w:t xml:space="preserve">), whereas regime given method adds only</w:t>
      </w:r>
      <w:r>
        <w:t xml:space="preserve"> </w:t>
      </w:r>
      <m:oMath>
        <m:r>
          <m:rPr>
            <m:sty m:val="p"/>
          </m:rPr>
          <m:t>+</m:t>
        </m:r>
        <m:r>
          <m:t>0.044</m:t>
        </m:r>
      </m:oMath>
      <w:r>
        <w:t xml:space="preserve">. Temperature control also</w:t>
      </w:r>
      <w:r>
        <w:t xml:space="preserve"> </w:t>
      </w:r>
      <w:r>
        <w:t xml:space="preserve">contributes beyond regime: incremental</w:t>
      </w:r>
      <w:r>
        <w:t xml:space="preserve"> </w:t>
      </w:r>
      <m:oMath>
        <m:r>
          <m:rPr>
            <m:sty m:val="p"/>
          </m:rPr>
          <m:t>+</m:t>
        </m:r>
        <m:r>
          <m:t>0.107</m:t>
        </m:r>
      </m:oMath>
      <w:r>
        <w:t xml:space="preserve"> </w:t>
      </w:r>
      <w:r>
        <w:t xml:space="preserve">(CI</w:t>
      </w:r>
      <w:r>
        <w:t xml:space="preserve"> </w:t>
      </w:r>
      <m:oMath>
        <m:r>
          <m:rPr>
            <m:sty m:val="p"/>
          </m:rPr>
          <m:t>[</m:t>
        </m:r>
        <m:r>
          <m:rPr>
            <m:sty m:val="p"/>
          </m:rPr>
          <m:t>+</m:t>
        </m:r>
        <m:r>
          <m:t>0.009</m:t>
        </m:r>
        <m:r>
          <m:rPr>
            <m:sty m:val="p"/>
          </m:rPr>
          <m:t>,</m:t>
        </m:r>
        <m:r>
          <m:t> </m:t>
        </m:r>
        <m:r>
          <m:rPr>
            <m:sty m:val="p"/>
          </m:rPr>
          <m:t>+</m:t>
        </m:r>
        <m:r>
          <m:t>0.316</m:t>
        </m:r>
        <m:r>
          <m:rPr>
            <m:sty m:val="p"/>
          </m:rPr>
          <m:t>]</m:t>
        </m:r>
      </m:oMath>
      <w:r>
        <w:t xml:space="preserve">, excluding</w:t>
      </w:r>
      <w:r>
        <w:t xml:space="preserve"> </w:t>
      </w:r>
      <m:oMath>
        <m:r>
          <m:t>0</m:t>
        </m:r>
      </m:oMath>
      <w:r>
        <w:t xml:space="preserve">).</w:t>
      </w:r>
      <w:r>
        <w:t xml:space="preserve"> </w:t>
      </w:r>
      <w:r>
        <w:t xml:space="preserve">Residual between-study spread within measurement-apparatus groups remains substantial,</w:t>
      </w:r>
      <w:r>
        <w:t xml:space="preserve"> </w:t>
      </w:r>
      <w:r>
        <w:t xml:space="preserve">so these predictors identify the dominant sources of between-study variance, not all of it.</w:t>
      </w:r>
    </w:p>
    <w:bookmarkEnd w:id="37"/>
    <w:bookmarkStart w:id="38" w:name="Xd505c3875cecbd81f1a9755dddf3c481e86c330"/>
    <w:p>
      <w:pPr>
        <w:pStyle w:val="Heading2"/>
      </w:pPr>
      <w:r>
        <w:t xml:space="preserve">Mixed-effects regime moderation: not supported (H2)</w:t>
      </w:r>
    </w:p>
    <w:p>
      <w:pPr>
        <w:pStyle w:val="FirstParagraph"/>
      </w:pPr>
      <w:r>
        <w:t xml:space="preserve">A mixed-effects meta-regression (</w:t>
      </w:r>
      <m:oMath>
        <m:r>
          <m:t>n</m:t>
        </m:r>
        <m:r>
          <m:t>​</m:t>
        </m:r>
        <m:r>
          <m:rPr>
            <m:sty m:val="p"/>
          </m:rPr>
          <m:t>=</m:t>
        </m:r>
        <m:r>
          <m:t>​</m:t>
        </m:r>
        <m:r>
          <m:t>299</m:t>
        </m:r>
      </m:oMath>
      <w:r>
        <w:t xml:space="preserve"> </w:t>
      </w:r>
      <w:r>
        <w:t xml:space="preserve">rows,</w:t>
      </w:r>
      <w:r>
        <w:t xml:space="preserve"> </w:t>
      </w:r>
      <m:oMath>
        <m:r>
          <m:t>27</m:t>
        </m:r>
      </m:oMath>
      <w:r>
        <w:t xml:space="preserve"> studies, REML, random intercept</w:t>
      </w:r>
      <w:r>
        <w:t xml:space="preserve"> </w:t>
      </w:r>
      <w:r>
        <w:t xml:space="preserve">per study) with</w:t>
      </w:r>
      <w:r>
        <w:t xml:space="preserve"> </w:t>
      </w:r>
      <w:r>
        <w:rPr>
          <w:rStyle w:val="VerbatimChar"/>
        </w:rPr>
        <w:t xml:space="preserve">system_class</w:t>
      </w:r>
      <w:r>
        <w:t xml:space="preserve"> </w:t>
      </w:r>
      <w:r>
        <w:t xml:space="preserve">as the fixed regime effect finds no significant</w:t>
      </w:r>
      <w:r>
        <w:t xml:space="preserve"> </w:t>
      </w:r>
      <w:r>
        <w:t xml:space="preserve">moderation at any pre-registered Holm-corrected bar. The joint Wald test on the</w:t>
      </w:r>
      <w:r>
        <w:t xml:space="preserve"> </w:t>
      </w:r>
      <w:r>
        <w:rPr>
          <w:rStyle w:val="VerbatimChar"/>
        </w:rPr>
        <w:t xml:space="preserve">system_class</w:t>
      </w:r>
      <w:r>
        <w:t xml:space="preserve"> </w:t>
      </w:r>
      <w:r>
        <w:t xml:space="preserve">main effect gives</w:t>
      </w:r>
      <w:r>
        <w:t xml:space="preserve"> </w:t>
      </w:r>
      <m:oMath>
        <m:r>
          <m:t>p</m:t>
        </m:r>
        <m:r>
          <m:t>​</m:t>
        </m:r>
        <m:r>
          <m:rPr>
            <m:sty m:val="p"/>
          </m:rPr>
          <m:t>=</m:t>
        </m:r>
        <m:r>
          <m:t>​</m:t>
        </m:r>
        <m:r>
          <m:t>0.32</m:t>
        </m:r>
      </m:oMath>
      <w:r>
        <w:t xml:space="preserve"> </w:t>
      </w:r>
      <w:r>
        <w:t xml:space="preserve">on the full dataset,</w:t>
      </w:r>
      <w:r>
        <w:t xml:space="preserve"> </w:t>
      </w:r>
      <m:oMath>
        <m:r>
          <m:t>p</m:t>
        </m:r>
        <m:r>
          <m:t>​</m:t>
        </m:r>
        <m:r>
          <m:rPr>
            <m:sty m:val="p"/>
          </m:rPr>
          <m:t>=</m:t>
        </m:r>
        <m:r>
          <m:t>​</m:t>
        </m:r>
        <m:r>
          <m:t>0.45</m:t>
        </m:r>
      </m:oMath>
      <w:r>
        <w:t xml:space="preserve"> </w:t>
      </w:r>
      <w:r>
        <w:t xml:space="preserve">removing</w:t>
      </w:r>
      <w:r>
        <w:t xml:space="preserve"> </w:t>
      </w:r>
      <w:r>
        <w:t xml:space="preserve">[6]</w:t>
      </w:r>
      <w:r>
        <w:t xml:space="preserve">, and</w:t>
      </w:r>
      <w:r>
        <w:t xml:space="preserve"> </w:t>
      </w:r>
      <m:oMath>
        <m:r>
          <m:t>p</m:t>
        </m:r>
        <m:r>
          <m:t>​</m:t>
        </m:r>
        <m:r>
          <m:rPr>
            <m:sty m:val="p"/>
          </m:rPr>
          <m:t>=</m:t>
        </m:r>
        <m:r>
          <m:t>​</m:t>
        </m:r>
        <m:r>
          <m:t>0.41</m:t>
        </m:r>
      </m:oMath>
      <w:r>
        <w:t xml:space="preserve"> </w:t>
      </w:r>
      <w:r>
        <w:t xml:space="preserve">on A/B-tier</w:t>
      </w:r>
      <w:r>
        <w:t xml:space="preserve"> </w:t>
      </w:r>
      <w:r>
        <w:t xml:space="preserve">studies only. None of the</w:t>
      </w:r>
      <w:r>
        <w:t xml:space="preserve"> </w:t>
      </w:r>
      <m:oMath>
        <m:r>
          <m:t>8</m:t>
        </m:r>
      </m:oMath>
      <w:r>
        <w:t xml:space="preserve"> parameter</w:t>
      </w:r>
      <m:oMath>
        <m:r>
          <m:rPr>
            <m:sty m:val="p"/>
          </m:rPr>
          <m:t>×</m:t>
        </m:r>
      </m:oMath>
      <w:r>
        <w:rPr>
          <w:rStyle w:val="VerbatimChar"/>
        </w:rPr>
        <w:t xml:space="preserve">system_class</w:t>
      </w:r>
      <w:r>
        <w:t xml:space="preserve"> </w:t>
      </w:r>
      <w:r>
        <w:t xml:space="preserve">interactions</w:t>
      </w:r>
      <w:r>
        <w:t xml:space="preserve"> </w:t>
      </w:r>
      <w:r>
        <w:t xml:space="preserve">survive Holm correction in any of the three subsets (</w:t>
      </w:r>
      <m:oMath>
        <m:r>
          <m:t>0</m:t>
        </m:r>
        <m:r>
          <m:rPr>
            <m:sty m:val="p"/>
          </m:rPr>
          <m:t>/</m:t>
        </m:r>
        <m:r>
          <m:t>8</m:t>
        </m:r>
      </m:oMath>
      <w:r>
        <w:t xml:space="preserve"> </w:t>
      </w:r>
      <w:r>
        <w:t xml:space="preserve">every time; closest:</w:t>
      </w:r>
      <w:r>
        <w:t xml:space="preserve"> </w:t>
      </w:r>
      <w:r>
        <w:t xml:space="preserve">temperature</w:t>
      </w:r>
      <m:oMath>
        <m:r>
          <m:rPr>
            <m:sty m:val="p"/>
          </m:rPr>
          <m:t>×</m:t>
        </m:r>
      </m:oMath>
      <w:r>
        <w:t xml:space="preserve">liquid_metal in A/B-tier, raw</w:t>
      </w:r>
      <w:r>
        <w:t xml:space="preserve"> </w:t>
      </w:r>
      <m:oMath>
        <m:r>
          <m:t>p</m:t>
        </m:r>
        <m:r>
          <m:t>​</m:t>
        </m:r>
        <m:r>
          <m:rPr>
            <m:sty m:val="p"/>
          </m:rPr>
          <m:t>=</m:t>
        </m:r>
        <m:r>
          <m:t>​</m:t>
        </m:r>
        <m:r>
          <m:t>0.007</m:t>
        </m:r>
      </m:oMath>
      <w:r>
        <w:t xml:space="preserve">, Holm</w:t>
      </w:r>
      <w:r>
        <w:t xml:space="preserve"> </w:t>
      </w:r>
      <m:oMath>
        <m:r>
          <m:t>p</m:t>
        </m:r>
        <m:r>
          <m:t>​</m:t>
        </m:r>
        <m:r>
          <m:rPr>
            <m:sty m:val="p"/>
          </m:rPr>
          <m:t>=</m:t>
        </m:r>
        <m:r>
          <m:t>​</m:t>
        </m:r>
        <m:r>
          <m:t>0.057</m:t>
        </m:r>
      </m:oMath>
      <w:r>
        <w:t xml:space="preserve">).</w:t>
      </w:r>
      <w:r>
        <w:t xml:space="preserve"> </w:t>
      </w:r>
      <w:r>
        <w:t xml:space="preserve">A cluster bootstrap over studies confirms fragility: the system_class main effect</w:t>
      </w:r>
      <w:r>
        <w:t xml:space="preserve"> </w:t>
      </w:r>
      <w:r>
        <w:t xml:space="preserve">reaches</w:t>
      </w:r>
      <w:r>
        <w:t xml:space="preserve"> </w:t>
      </w:r>
      <m:oMath>
        <m:r>
          <m:t>p</m:t>
        </m:r>
        <m:r>
          <m:t>​</m:t>
        </m:r>
        <m:r>
          <m:rPr>
            <m:sty m:val="p"/>
          </m:rPr>
          <m:t>&lt;</m:t>
        </m:r>
        <m:r>
          <m:t>​</m:t>
        </m:r>
        <m:r>
          <m:t>0.05</m:t>
        </m:r>
      </m:oMath>
      <w:r>
        <w:t xml:space="preserve"> </w:t>
      </w:r>
      <w:r>
        <w:t xml:space="preserve">in only</w:t>
      </w:r>
      <w:r>
        <w:t xml:space="preserve"> </w:t>
      </w:r>
      <m:oMath>
        <m:r>
          <m:t>34</m:t>
        </m:r>
        <m:r>
          <m:rPr>
            <m:sty m:val="p"/>
          </m:rPr>
          <m:t>%</m:t>
        </m:r>
      </m:oMath>
      <w:r>
        <w:t xml:space="preserve"> </w:t>
      </w:r>
      <w:r>
        <w:t xml:space="preserve">of</w:t>
      </w:r>
      <w:r>
        <w:t xml:space="preserve"> </w:t>
      </w:r>
      <m:oMath>
        <m:r>
          <m:t>200</m:t>
        </m:r>
      </m:oMath>
      <w:r>
        <w:t xml:space="preserve"> </w:t>
      </w:r>
      <w:r>
        <w:t xml:space="preserve">bootstrap resamples (median bootstrap</w:t>
      </w:r>
      <w:r>
        <w:t xml:space="preserve"> </w:t>
      </w:r>
      <m:oMath>
        <m:r>
          <m:t>p</m:t>
        </m:r>
        <m:r>
          <m:t>​</m:t>
        </m:r>
        <m:r>
          <m:rPr>
            <m:sty m:val="p"/>
          </m:rPr>
          <m:t>=</m:t>
        </m:r>
        <m:r>
          <m:t>​</m:t>
        </m:r>
        <m:r>
          <m:t>0.14</m:t>
        </m:r>
      </m:oMath>
      <w:r>
        <w:t xml:space="preserve">). H2 is</w:t>
      </w:r>
      <w:r>
        <w:t xml:space="preserve"> </w:t>
      </w:r>
      <w:r>
        <w:rPr>
          <w:b/>
          <w:bCs/>
        </w:rPr>
        <w:t xml:space="preserve">not supported</w:t>
      </w:r>
      <w:r>
        <w:t xml:space="preserve">: conditioning on physico-chemical regime</w:t>
      </w:r>
      <w:r>
        <w:t xml:space="preserve"> </w:t>
      </w:r>
      <w:r>
        <w:t xml:space="preserve">does not resolve the between-study contradictions.</w:t>
      </w:r>
    </w:p>
    <w:bookmarkEnd w:id="38"/>
    <w:bookmarkStart w:id="40" w:name="X337b42e9d5ed03b81211dfcc6cbbf536caa4f94"/>
    <w:p>
      <w:pPr>
        <w:pStyle w:val="Heading2"/>
      </w:pPr>
      <w:r>
        <w:t xml:space="preserve">Activation energy does not organize by regime (H3)</w:t>
      </w:r>
    </w:p>
    <w:p>
      <w:pPr>
        <w:pStyle w:val="FirstParagraph"/>
      </w:pPr>
      <w:r>
        <w:t xml:space="preserve">Per-study median apparent activation energies from the 17-study kinetic sample are</w:t>
      </w:r>
      <w:r>
        <w:t xml:space="preserve"> </w:t>
      </w:r>
      <m:oMath>
        <m:r>
          <m:t>52.0</m:t>
        </m:r>
      </m:oMath>
      <w:r>
        <w:t xml:space="preserve"> kJ mol</w:t>
      </w:r>
      <m:oMath>
        <m:sSup>
          <m:e>
            <m:r>
              <m:t>​</m:t>
            </m:r>
          </m:e>
          <m:sup>
            <m:r>
              <m:rPr>
                <m:sty m:val="p"/>
              </m:rPr>
              <m:t>−</m:t>
            </m:r>
            <m:r>
              <m:t>1</m:t>
            </m:r>
          </m:sup>
        </m:sSup>
      </m:oMath>
      <w:r>
        <w:t xml:space="preserve"> </w:t>
      </w:r>
      <w:r>
        <w:t xml:space="preserve">(</w:t>
      </w:r>
      <w:r>
        <w:rPr>
          <w:rStyle w:val="VerbatimChar"/>
        </w:rPr>
        <w:t xml:space="preserve">pure_al_alkali</w:t>
      </w:r>
      <w:r>
        <w:t xml:space="preserve">,</w:t>
      </w:r>
      <w:r>
        <w:t xml:space="preserve"> </w:t>
      </w:r>
      <m:oMath>
        <m:r>
          <m:t>n</m:t>
        </m:r>
        <m:r>
          <m:t>​</m:t>
        </m:r>
        <m:r>
          <m:rPr>
            <m:sty m:val="p"/>
          </m:rPr>
          <m:t>=</m:t>
        </m:r>
        <m:r>
          <m:t>​</m:t>
        </m:r>
        <m:r>
          <m:t>5</m:t>
        </m:r>
      </m:oMath>
      <w:r>
        <w:t xml:space="preserve">),</w:t>
      </w:r>
      <w:r>
        <w:t xml:space="preserve"> </w:t>
      </w:r>
      <m:oMath>
        <m:r>
          <m:t>47.4</m:t>
        </m:r>
      </m:oMath>
      <w:r>
        <w:t xml:space="preserve"> </w:t>
      </w:r>
      <w:r>
        <w:t xml:space="preserve">(</w:t>
      </w:r>
      <w:r>
        <w:rPr>
          <w:rStyle w:val="VerbatimChar"/>
        </w:rPr>
        <w:t xml:space="preserve">waste_al</w:t>
      </w:r>
      <w:r>
        <w:t xml:space="preserve">,</w:t>
      </w:r>
      <w:r>
        <w:t xml:space="preserve"> </w:t>
      </w:r>
      <m:oMath>
        <m:r>
          <m:t>n</m:t>
        </m:r>
        <m:r>
          <m:t>​</m:t>
        </m:r>
        <m:r>
          <m:rPr>
            <m:sty m:val="p"/>
          </m:rPr>
          <m:t>=</m:t>
        </m:r>
        <m:r>
          <m:t>​</m:t>
        </m:r>
        <m:r>
          <m:t>3</m:t>
        </m:r>
      </m:oMath>
      <w:r>
        <w:t xml:space="preserve">),</w:t>
      </w:r>
      <w:r>
        <w:t xml:space="preserve"> </w:t>
      </w:r>
      <m:oMath>
        <m:r>
          <m:t>36.2</m:t>
        </m:r>
      </m:oMath>
      <w:r>
        <w:t xml:space="preserve"> </w:t>
      </w:r>
      <w:r>
        <w:t xml:space="preserve">(</w:t>
      </w:r>
      <w:r>
        <w:rPr>
          <w:rStyle w:val="VerbatimChar"/>
        </w:rPr>
        <w:t xml:space="preserve">liquid_metal_activated</w:t>
      </w:r>
      <w:r>
        <w:t xml:space="preserve">,</w:t>
      </w:r>
      <w:r>
        <w:t xml:space="preserve"> </w:t>
      </w:r>
      <m:oMath>
        <m:r>
          <m:t>n</m:t>
        </m:r>
        <m:r>
          <m:t>​</m:t>
        </m:r>
        <m:r>
          <m:rPr>
            <m:sty m:val="p"/>
          </m:rPr>
          <m:t>=</m:t>
        </m:r>
        <m:r>
          <m:t>​</m:t>
        </m:r>
        <m:r>
          <m:t>4</m:t>
        </m:r>
      </m:oMath>
      <w:r>
        <w:t xml:space="preserve">;</w:t>
      </w:r>
      <w:r>
        <w:t xml:space="preserve"> </w:t>
      </w:r>
      <w:r>
        <w:t xml:space="preserve">range</w:t>
      </w:r>
      <w:r>
        <w:t xml:space="preserve"> </w:t>
      </w:r>
      <m:oMath>
        <m:r>
          <m:t>8.5</m:t>
        </m:r>
      </m:oMath>
      <w:r>
        <w:t xml:space="preserve">–</w:t>
      </w:r>
      <m:oMath>
        <m:r>
          <m:t>58.0</m:t>
        </m:r>
      </m:oMath>
      <w:r>
        <w:t xml:space="preserve">),</w:t>
      </w:r>
      <w:r>
        <w:t xml:space="preserve"> </w:t>
      </w:r>
      <m:oMath>
        <m:r>
          <m:t>39.2</m:t>
        </m:r>
      </m:oMath>
      <w:r>
        <w:t xml:space="preserve"> </w:t>
      </w:r>
      <w:r>
        <w:t xml:space="preserve">(</w:t>
      </w:r>
      <w:r>
        <w:rPr>
          <w:rStyle w:val="VerbatimChar"/>
        </w:rPr>
        <w:t xml:space="preserve">al_alloy</w:t>
      </w:r>
      <w:r>
        <w:t xml:space="preserve">,</w:t>
      </w:r>
      <w:r>
        <w:t xml:space="preserve"> </w:t>
      </w:r>
      <m:oMath>
        <m:r>
          <m:t>n</m:t>
        </m:r>
        <m:r>
          <m:t>​</m:t>
        </m:r>
        <m:r>
          <m:rPr>
            <m:sty m:val="p"/>
          </m:rPr>
          <m:t>=</m:t>
        </m:r>
        <m:r>
          <m:t>​</m:t>
        </m:r>
        <m:r>
          <m:t>1</m:t>
        </m:r>
      </m:oMath>
      <w:r>
        <w:t xml:space="preserve">), and</w:t>
      </w:r>
      <w:r>
        <w:t xml:space="preserve"> </w:t>
      </w:r>
      <m:oMath>
        <m:r>
          <m:t>23.7</m:t>
        </m:r>
      </m:oMath>
      <w:r>
        <w:t xml:space="preserve"> </w:t>
      </w:r>
      <w:r>
        <w:t xml:space="preserve">(</w:t>
      </w:r>
      <w:r>
        <w:rPr>
          <w:rStyle w:val="VerbatimChar"/>
        </w:rPr>
        <w:t xml:space="preserve">mechanically_activated</w:t>
      </w:r>
      <w:r>
        <w:t xml:space="preserve">,</w:t>
      </w:r>
      <w:r>
        <w:t xml:space="preserve"> </w:t>
      </w:r>
      <m:oMath>
        <m:r>
          <m:t>n</m:t>
        </m:r>
        <m:r>
          <m:t>​</m:t>
        </m:r>
        <m:r>
          <m:rPr>
            <m:sty m:val="p"/>
          </m:rPr>
          <m:t>=</m:t>
        </m:r>
        <m:r>
          <m:t>​</m:t>
        </m:r>
        <m:r>
          <m:t>4</m:t>
        </m:r>
      </m:oMath>
      <w:r>
        <w:t xml:space="preserve">) (Table </w:t>
      </w:r>
      <w:hyperlink w:anchor="tab:ea_summary">
        <w:r>
          <w:rPr>
            <w:rStyle w:val="Hyperlink"/>
          </w:rPr>
          <w:t xml:space="preserve">5</w:t>
        </w:r>
      </w:hyperlink>
      <w:r>
        <w:t xml:space="preserve">;</w:t>
      </w:r>
      <w:r>
        <w:t xml:space="preserve"> </w:t>
      </w:r>
      <w:r>
        <w:t xml:space="preserve">Fig. </w:t>
      </w:r>
      <w:hyperlink w:anchor="fig:ea">
        <w:r>
          <w:rPr>
            <w:rStyle w:val="Hyperlink"/>
          </w:rPr>
          <w:t xml:space="preserve">4</w:t>
        </w:r>
      </w:hyperlink>
      <w:r>
        <w:t xml:space="preserve">). A variance decomposition of per-study</w:t>
      </w:r>
      <w:r>
        <w:t xml:space="preserve"> </w:t>
      </w:r>
      <m:oMath>
        <m:sSub>
          <m:e>
            <m:r>
              <m:t>E</m:t>
            </m:r>
          </m:e>
          <m:sub>
            <m:r>
              <m:rPr>
                <m:sty m:val="p"/>
              </m:rPr>
              <m:t>a</m:t>
            </m:r>
          </m:sub>
        </m:sSub>
      </m:oMath>
      <w:r>
        <w:t xml:space="preserve"> </w:t>
      </w:r>
      <w:r>
        <w:t xml:space="preserve">by regime</w:t>
      </w:r>
      <w:r>
        <w:t xml:space="preserve"> </w:t>
      </w:r>
      <w:r>
        <w:t xml:space="preserve">gives</w:t>
      </w:r>
      <w:r>
        <w:t xml:space="preserve"> </w:t>
      </w:r>
      <m:oMath>
        <m:sSup>
          <m:e>
            <m:r>
              <m:t>η</m:t>
            </m:r>
          </m:e>
          <m:sup>
            <m:r>
              <m:t>2</m:t>
            </m:r>
          </m:sup>
        </m:sSup>
        <m:r>
          <m:t>​</m:t>
        </m:r>
        <m:r>
          <m:rPr>
            <m:sty m:val="p"/>
          </m:rPr>
          <m:t>=</m:t>
        </m:r>
        <m:r>
          <m:t>​</m:t>
        </m:r>
        <m:r>
          <m:t>0.361</m:t>
        </m:r>
      </m:oMath>
      <w:r>
        <w:t xml:space="preserve">, permutation</w:t>
      </w:r>
      <w:r>
        <w:t xml:space="preserve"> </w:t>
      </w:r>
      <m:oMath>
        <m:r>
          <m:t>p</m:t>
        </m:r>
        <m:r>
          <m:t>​</m:t>
        </m:r>
        <m:r>
          <m:rPr>
            <m:sty m:val="p"/>
          </m:rPr>
          <m:t>=</m:t>
        </m:r>
        <m:r>
          <m:t>​</m:t>
        </m:r>
        <m:r>
          <m:t>0.129</m:t>
        </m:r>
      </m:oMath>
      <w:r>
        <w:t xml:space="preserve"> </w:t>
      </w:r>
      <w:r>
        <w:t xml:space="preserve">(bootstrap 95 % CI</w:t>
      </w:r>
      <w:r>
        <w:t xml:space="preserve"> </w:t>
      </w:r>
      <m:oMath>
        <m:r>
          <m:rPr>
            <m:sty m:val="p"/>
          </m:rPr>
          <m:t>[</m:t>
        </m:r>
        <m:r>
          <m:t>0.127</m:t>
        </m:r>
        <m:r>
          <m:rPr>
            <m:sty m:val="p"/>
          </m:rPr>
          <m:t>,</m:t>
        </m:r>
        <m:r>
          <m:t> </m:t>
        </m:r>
        <m:r>
          <m:t>0.808</m:t>
        </m:r>
        <m:r>
          <m:rPr>
            <m:sty m:val="p"/>
          </m:rPr>
          <m:t>]</m:t>
        </m:r>
      </m:oMath>
      <w:r>
        <w:t xml:space="preserve">)</w:t>
      </w:r>
      <w:r>
        <w:t xml:space="preserve"> </w:t>
      </w:r>
      <w:r>
        <w:t xml:space="preserve">on the four classes with</w:t>
      </w:r>
      <w:r>
        <w:t xml:space="preserve"> </w:t>
      </w:r>
      <m:oMath>
        <m:r>
          <m:rPr>
            <m:sty m:val="p"/>
          </m:rPr>
          <m:t>≥</m:t>
        </m:r>
        <m:r>
          <m:t>​</m:t>
        </m:r>
        <m:r>
          <m:t>3</m:t>
        </m:r>
      </m:oMath>
      <w:r>
        <w:t xml:space="preserve"> </w:t>
      </w:r>
      <w:r>
        <w:t xml:space="preserve">studies. H3 is</w:t>
      </w:r>
      <w:r>
        <w:t xml:space="preserve"> </w:t>
      </w:r>
      <w:r>
        <w:rPr>
          <w:b/>
          <w:bCs/>
        </w:rPr>
        <w:t xml:space="preserve">not supported</w:t>
      </w:r>
      <w:r>
        <w:t xml:space="preserve">: the</w:t>
      </w:r>
      <w:r>
        <w:t xml:space="preserve"> </w:t>
      </w:r>
      <w:r>
        <w:t xml:space="preserve">coarse regime label does not explain the apparent</w:t>
      </w:r>
      <w:r>
        <w:t xml:space="preserve"> </w:t>
      </w:r>
      <m:oMath>
        <m:sSub>
          <m:e>
            <m:r>
              <m:t>E</m:t>
            </m:r>
          </m:e>
          <m:sub>
            <m:r>
              <m:rPr>
                <m:sty m:val="p"/>
              </m:rPr>
              <m:t>a</m:t>
            </m:r>
          </m:sub>
        </m:sSub>
      </m:oMath>
      <w:r>
        <w:t xml:space="preserve"> </w:t>
      </w:r>
      <w:r>
        <w:t xml:space="preserve">spread. The</w:t>
      </w:r>
      <w:r>
        <w:t xml:space="preserve"> </w:t>
      </w:r>
      <w:r>
        <w:rPr>
          <w:rStyle w:val="VerbatimChar"/>
        </w:rPr>
        <w:t xml:space="preserve">liquid_metal_activated</w:t>
      </w:r>
      <w:r>
        <w:t xml:space="preserve"> </w:t>
      </w:r>
      <w:r>
        <w:t xml:space="preserve">within-class spread (</w:t>
      </w:r>
      <m:oMath>
        <m:r>
          <m:t>8.5</m:t>
        </m:r>
      </m:oMath>
      <w:r>
        <w:t xml:space="preserve">–</w:t>
      </w:r>
      <m:oMath>
        <m:r>
          <m:t>58.0</m:t>
        </m:r>
      </m:oMath>
      <w:r>
        <w:t xml:space="preserve"> kJ mol</w:t>
      </w:r>
      <m:oMath>
        <m:sSup>
          <m:e>
            <m:r>
              <m:t>​</m:t>
            </m:r>
          </m:e>
          <m:sup>
            <m:r>
              <m:rPr>
                <m:sty m:val="p"/>
              </m:rPr>
              <m:t>−</m:t>
            </m:r>
            <m:r>
              <m:t>1</m:t>
            </m:r>
          </m:sup>
        </m:sSup>
      </m:oMath>
      <w:r>
        <w:t xml:space="preserve">)</w:t>
      </w:r>
      <w:r>
        <w:t xml:space="preserve"> </w:t>
      </w:r>
      <w:r>
        <w:t xml:space="preserve">is as large as the between-class spread, suggesting unresolved within-regime</w:t>
      </w:r>
      <w:r>
        <w:t xml:space="preserve"> </w:t>
      </w:r>
      <w:r>
        <w:t xml:space="preserve">heterogeneity rather than true thermodynamic regime structure.</w:t>
      </w:r>
    </w:p>
    <w:bookmarkStart w:id="39" w:name="tab:ea_summary"/>
    <w:p>
      <w:pPr>
        <w:pStyle w:val="TableCaption"/>
      </w:pPr>
      <w:r>
        <w:rPr>
          <w:b/>
          <w:bCs/>
        </w:rPr>
        <w:t xml:space="preserve">Apparent activation energy by physico-chemical regime.</w:t>
      </w:r>
      <w:r>
        <w:t xml:space="preserve"> </w:t>
      </w:r>
      <w:r>
        <w:t xml:space="preserve">Per-study median</w:t>
      </w:r>
      <w:r>
        <w:t xml:space="preserve"> </w:t>
      </w:r>
      <m:oMath>
        <m:sSub>
          <m:e>
            <m:r>
              <m:t>E</m:t>
            </m:r>
          </m:e>
          <m:sub>
            <m:r>
              <m:rPr>
                <m:sty m:val="p"/>
              </m:rPr>
              <m:t>a</m:t>
            </m:r>
          </m:sub>
        </m:sSub>
      </m:oMath>
      <w:r>
        <w:t xml:space="preserve"> </w:t>
      </w:r>
      <w:r>
        <w:t xml:space="preserve">from the 17-study kinetic sample (Arrhenius gate:</w:t>
      </w:r>
      <w:r>
        <w:t xml:space="preserve"> </w:t>
      </w:r>
      <m:oMath>
        <m:sSup>
          <m:e>
            <m:r>
              <m:t>R</m:t>
            </m:r>
          </m:e>
          <m:sup>
            <m:r>
              <m:t>2</m:t>
            </m:r>
          </m:sup>
        </m:sSup>
        <m:r>
          <m:t>​</m:t>
        </m:r>
        <m:r>
          <m:rPr>
            <m:sty m:val="p"/>
          </m:rPr>
          <m:t>≥</m:t>
        </m:r>
        <m:r>
          <m:t>​</m:t>
        </m:r>
        <m:r>
          <m:t>0.90</m:t>
        </m:r>
      </m:oMath>
      <w:r>
        <w:t xml:space="preserve">,</w:t>
      </w:r>
      <w:r>
        <w:t xml:space="preserve"> </w:t>
      </w:r>
      <m:oMath>
        <m:r>
          <m:rPr>
            <m:sty m:val="p"/>
          </m:rPr>
          <m:t>≥</m:t>
        </m:r>
        <m:r>
          <m:t>​</m:t>
        </m:r>
        <m:r>
          <m:t>3</m:t>
        </m:r>
      </m:oMath>
      <w:r>
        <w:t xml:space="preserve"> </w:t>
      </w:r>
      <w:r>
        <w:t xml:space="preserve">temperature points). The range for</w:t>
      </w:r>
      <w:r>
        <w:t xml:space="preserve"> </w:t>
      </w:r>
      <w:r>
        <w:rPr>
          <w:rStyle w:val="VerbatimChar"/>
        </w:rPr>
        <w:t xml:space="preserve">liquid_metal_activated</w:t>
      </w:r>
      <w:r>
        <w:t xml:space="preserve"> </w:t>
      </w:r>
      <w:r>
        <w:t xml:space="preserve">is explicitly noted because it spans an order of</w:t>
      </w:r>
      <w:r>
        <w:t xml:space="preserve"> </w:t>
      </w:r>
      <w:r>
        <w:t xml:space="preserve">magnitude and drives the null finding. Al_alloy has</w:t>
      </w:r>
      <w:r>
        <w:t xml:space="preserve"> </w:t>
      </w:r>
      <m:oMath>
        <m:r>
          <m:t>n</m:t>
        </m:r>
        <m:r>
          <m:t>​</m:t>
        </m:r>
        <m:r>
          <m:rPr>
            <m:sty m:val="p"/>
          </m:rPr>
          <m:t>=</m:t>
        </m:r>
        <m:r>
          <m:t>​</m:t>
        </m:r>
        <m:r>
          <m:t>1</m:t>
        </m:r>
      </m:oMath>
      <w:r>
        <w:t xml:space="preserve"> </w:t>
      </w:r>
      <w:r>
        <w:t xml:space="preserve">study; no</w:t>
      </w:r>
      <w:r>
        <w:t xml:space="preserve"> </w:t>
      </w:r>
      <w:r>
        <w:t xml:space="preserve">distributional summary is reported. Per-study values are listed in Table SI-2.</w:t>
      </w:r>
      <w:r>
        <w:t xml:space="preserve"> </w:t>
      </w:r>
      <w:r>
        <w:t xml:space="preserve">Power is low at these</w:t>
      </w:r>
      <w:r>
        <w:t xml:space="preserve"> </w:t>
      </w:r>
      <m:oMath>
        <m:r>
          <m:t>n</m:t>
        </m:r>
      </m:oMath>
      <w:r>
        <w:t xml:space="preserve">; the finding is a null, not proof of absence of regime effects.</w:t>
      </w:r>
    </w:p>
    <w:tbl>
      <w:tblPr>
        <w:tblStyle w:val="Table"/>
        <w:tblW w:type="auto" w:w="0"/>
        <w:tblLook w:firstRow="1" w:lastRow="0" w:firstColumn="0" w:lastColumn="0" w:noHBand="0" w:noVBand="0" w:val="0020"/>
        <w:tblCaption w:val="Apparent activation energy by physico-chemical regime. Per-study median E_\mathrm{a} from the 17-study kinetic sample (Arrhenius gate: R^2\!\ge\!0.90, \ge\!3 temperature points). The range for liquid_metal_activated is explicitly noted because it spans an order of magnitude and drives the null finding. Al_alloy has n\!=\!1 study; no distributional summary is reported. Per-study values are listed in Table SI-2. Power is low at these n; the finding is a null, not proof of absence of regime effects."/>
      </w:tblPr>
      <w:tblGrid>
        <w:gridCol w:w="2640"/>
        <w:gridCol w:w="2640"/>
        <w:gridCol w:w="2640"/>
      </w:tblGrid>
      <w:tr>
        <w:trPr>
          <w:tblHeader w:val="on"/>
        </w:trPr>
        <w:tc>
          <w:tcPr/>
          <w:p>
            <w:pPr>
              <w:pStyle w:val="Compact"/>
              <w:jc w:val="left"/>
            </w:pPr>
            <w:r>
              <w:t xml:space="preserve">Regime</w:t>
            </w:r>
          </w:p>
        </w:tc>
        <w:tc>
          <w:tcPr/>
          <w:p>
            <w:pPr>
              <w:pStyle w:val="Compact"/>
              <w:jc w:val="center"/>
            </w:pPr>
            <w:r>
              <w:t xml:space="preserve">Studies (</w:t>
            </w:r>
            <m:oMath>
              <m:r>
                <m:t>n</m:t>
              </m:r>
            </m:oMath>
            <w:r>
              <w:t xml:space="preserve">)</w:t>
            </w:r>
          </w:p>
        </w:tc>
        <w:tc>
          <w:tcPr/>
          <w:p>
            <w:pPr>
              <w:pStyle w:val="Compact"/>
              <w:jc w:val="center"/>
            </w:pPr>
            <w:r>
              <w:t xml:space="preserve">Median</w:t>
            </w:r>
            <w:r>
              <w:t xml:space="preserve"> </w:t>
            </w:r>
            <m:oMath>
              <m:sSub>
                <m:e>
                  <m:r>
                    <m:t>E</m:t>
                  </m:r>
                </m:e>
                <m:sub>
                  <m:r>
                    <m:rPr>
                      <m:sty m:val="p"/>
                    </m:rPr>
                    <m:t>a</m:t>
                  </m:r>
                </m:sub>
              </m:sSub>
            </m:oMath>
            <w:r>
              <w:t xml:space="preserve"> </w:t>
            </w:r>
            <w:r>
              <w:t xml:space="preserve">(kJ mol</w:t>
            </w:r>
            <m:oMath>
              <m:sSup>
                <m:e>
                  <m:r>
                    <m:t>​</m:t>
                  </m:r>
                </m:e>
                <m:sup>
                  <m:r>
                    <m:rPr>
                      <m:sty m:val="p"/>
                    </m:rPr>
                    <m:t>−</m:t>
                  </m:r>
                  <m:r>
                    <m:t>1</m:t>
                  </m:r>
                </m:sup>
              </m:sSup>
            </m:oMath>
            <w:r>
              <w:t xml:space="preserve">)</w:t>
            </w:r>
          </w:p>
        </w:tc>
      </w:tr>
      <w:tr>
        <w:tc>
          <w:tcPr/>
          <w:p>
            <w:pPr>
              <w:pStyle w:val="Compact"/>
              <w:jc w:val="left"/>
            </w:pPr>
            <w:r>
              <w:rPr>
                <w:rStyle w:val="VerbatimChar"/>
              </w:rPr>
              <w:t xml:space="preserve">pure_al_alkali</w:t>
            </w:r>
          </w:p>
        </w:tc>
        <w:tc>
          <w:tcPr/>
          <w:p>
            <w:pPr>
              <w:pStyle w:val="Compact"/>
              <w:jc w:val="center"/>
            </w:pPr>
            <w:r>
              <w:t xml:space="preserve">5</w:t>
            </w:r>
          </w:p>
        </w:tc>
        <w:tc>
          <w:tcPr/>
          <w:p>
            <w:pPr>
              <w:pStyle w:val="Compact"/>
              <w:jc w:val="center"/>
            </w:pPr>
            <w:r>
              <w:t xml:space="preserve">52.0</w:t>
            </w:r>
          </w:p>
        </w:tc>
      </w:tr>
      <w:tr>
        <w:tc>
          <w:tcPr/>
          <w:p>
            <w:pPr>
              <w:pStyle w:val="Compact"/>
              <w:jc w:val="left"/>
            </w:pPr>
            <w:r>
              <w:rPr>
                <w:rStyle w:val="VerbatimChar"/>
              </w:rPr>
              <w:t xml:space="preserve">waste_al</w:t>
            </w:r>
          </w:p>
        </w:tc>
        <w:tc>
          <w:tcPr/>
          <w:p>
            <w:pPr>
              <w:pStyle w:val="Compact"/>
              <w:jc w:val="center"/>
            </w:pPr>
            <w:r>
              <w:t xml:space="preserve">3</w:t>
            </w:r>
          </w:p>
        </w:tc>
        <w:tc>
          <w:tcPr/>
          <w:p>
            <w:pPr>
              <w:pStyle w:val="Compact"/>
              <w:jc w:val="center"/>
            </w:pPr>
            <w:r>
              <w:t xml:space="preserve">47.4</w:t>
            </w:r>
          </w:p>
        </w:tc>
      </w:tr>
      <w:tr>
        <w:tc>
          <w:tcPr/>
          <w:p>
            <w:pPr>
              <w:pStyle w:val="Compact"/>
              <w:jc w:val="left"/>
            </w:pPr>
            <w:r>
              <w:rPr>
                <w:rStyle w:val="VerbatimChar"/>
              </w:rPr>
              <w:t xml:space="preserve">liquid_metal_activated</w:t>
            </w:r>
          </w:p>
        </w:tc>
        <w:tc>
          <w:tcPr/>
          <w:p>
            <w:pPr>
              <w:pStyle w:val="Compact"/>
              <w:jc w:val="center"/>
            </w:pPr>
            <w:r>
              <w:t xml:space="preserve">4</w:t>
            </w:r>
          </w:p>
        </w:tc>
        <w:tc>
          <w:tcPr/>
          <w:p>
            <w:pPr>
              <w:pStyle w:val="Compact"/>
              <w:jc w:val="center"/>
            </w:pPr>
            <w:r>
              <w:t xml:space="preserve">36.2 (range: 8.5–58.0)</w:t>
            </w:r>
          </w:p>
        </w:tc>
      </w:tr>
      <w:tr>
        <w:tc>
          <w:tcPr/>
          <w:p>
            <w:pPr>
              <w:pStyle w:val="Compact"/>
              <w:jc w:val="left"/>
            </w:pPr>
            <w:r>
              <w:rPr>
                <w:rStyle w:val="VerbatimChar"/>
              </w:rPr>
              <w:t xml:space="preserve">al_alloy</w:t>
            </w:r>
          </w:p>
        </w:tc>
        <w:tc>
          <w:tcPr/>
          <w:p>
            <w:pPr>
              <w:pStyle w:val="Compact"/>
              <w:jc w:val="center"/>
            </w:pPr>
            <w:r>
              <w:t xml:space="preserve">1</w:t>
            </w:r>
          </w:p>
        </w:tc>
        <w:tc>
          <w:tcPr/>
          <w:p>
            <w:pPr>
              <w:pStyle w:val="Compact"/>
              <w:jc w:val="center"/>
            </w:pPr>
            <w:r>
              <w:t xml:space="preserve">39.2</w:t>
            </w:r>
          </w:p>
        </w:tc>
      </w:tr>
      <w:tr>
        <w:tc>
          <w:tcPr/>
          <w:p>
            <w:pPr>
              <w:pStyle w:val="Compact"/>
              <w:jc w:val="left"/>
            </w:pPr>
            <w:r>
              <w:rPr>
                <w:rStyle w:val="VerbatimChar"/>
              </w:rPr>
              <w:t xml:space="preserve">mechanically_activated</w:t>
            </w:r>
          </w:p>
        </w:tc>
        <w:tc>
          <w:tcPr/>
          <w:p>
            <w:pPr>
              <w:pStyle w:val="Compact"/>
              <w:jc w:val="center"/>
            </w:pPr>
            <w:r>
              <w:t xml:space="preserve">4</w:t>
            </w:r>
          </w:p>
        </w:tc>
        <w:tc>
          <w:tcPr/>
          <w:p>
            <w:pPr>
              <w:pStyle w:val="Compact"/>
              <w:jc w:val="center"/>
            </w:pPr>
            <w:r>
              <w:t xml:space="preserve">23.7</w:t>
            </w:r>
          </w:p>
        </w:tc>
      </w:tr>
      <w:tr>
        <w:tc>
          <w:tcPr/>
          <w:p>
            <w:pPr>
              <w:pStyle w:val="Compact"/>
              <w:jc w:val="left"/>
            </w:pPr>
            <w:r>
              <w:rPr>
                <w:b/>
                <w:bCs/>
              </w:rPr>
              <w:t xml:space="preserve">All 17 studies</w:t>
            </w:r>
          </w:p>
        </w:tc>
        <w:tc>
          <w:tcPr/>
          <w:p>
            <w:pPr>
              <w:pStyle w:val="Compact"/>
              <w:jc w:val="center"/>
            </w:pPr>
            <w:r>
              <w:t xml:space="preserve">17</w:t>
            </w:r>
          </w:p>
        </w:tc>
        <w:tc>
          <w:tcPr/>
          <w:p>
            <w:pPr>
              <w:pStyle w:val="Compact"/>
              <w:jc w:val="center"/>
            </w:pPr>
            <w:r>
              <w:t xml:space="preserve">—</w:t>
            </w:r>
          </w:p>
        </w:tc>
      </w:tr>
    </w:tbl>
    <w:bookmarkEnd w:id="39"/>
    <w:bookmarkEnd w:id="40"/>
    <w:bookmarkStart w:id="41" w:name="Xe8dce995d1dde6c2f852299b4ca3fe3d07b0a1a"/>
    <w:p>
      <w:pPr>
        <w:pStyle w:val="Heading2"/>
      </w:pPr>
      <w:r>
        <w:t xml:space="preserve">The flagship particle-size contradiction is a cross-study artifact</w:t>
      </w:r>
    </w:p>
    <w:p>
      <w:pPr>
        <w:pStyle w:val="FirstParagraph"/>
      </w:pPr>
      <w:r>
        <w:t xml:space="preserve">The literature’s headline contradiction is a direction-changing particle-size effect.</w:t>
      </w:r>
      <w:r>
        <w:t xml:space="preserve"> </w:t>
      </w:r>
      <w:r>
        <w:t xml:space="preserve">Within every study that varies particle size (</w:t>
      </w:r>
      <m:oMath>
        <m:r>
          <m:t>5</m:t>
        </m:r>
        <m:r>
          <m:rPr>
            <m:sty m:val="p"/>
          </m:rPr>
          <m:t>/</m:t>
        </m:r>
        <m:r>
          <m:t>5</m:t>
        </m:r>
      </m:oMath>
      <w:r>
        <w:t xml:space="preserve">), the within-study effect has the</w:t>
      </w:r>
      <w:r>
        <w:t xml:space="preserve"> </w:t>
      </w:r>
      <w:r>
        <w:rPr>
          <w:i/>
          <w:iCs/>
        </w:rPr>
        <w:t xml:space="preserve">same</w:t>
      </w:r>
      <w:r>
        <w:t xml:space="preserve"> </w:t>
      </w:r>
      <w:r>
        <w:t xml:space="preserve">sign: smaller particles give higher yield (Spearman</w:t>
      </w:r>
      <w:r>
        <w:t xml:space="preserve"> </w:t>
      </w:r>
      <m:oMath>
        <m:r>
          <m:t>ρ</m:t>
        </m:r>
        <m:r>
          <m:t>​</m:t>
        </m:r>
        <m:r>
          <m:rPr>
            <m:sty m:val="p"/>
          </m:rPr>
          <m:t>=</m:t>
        </m:r>
        <m:r>
          <m:t>​</m:t>
        </m:r>
        <m:r>
          <m:rPr>
            <m:sty m:val="p"/>
          </m:rPr>
          <m:t>−</m:t>
        </m:r>
        <m:r>
          <m:t>0.29</m:t>
        </m:r>
      </m:oMath>
      <w:r>
        <w:t xml:space="preserve"> </w:t>
      </w:r>
      <w:r>
        <w:t xml:space="preserve">to</w:t>
      </w:r>
      <w:r>
        <w:t xml:space="preserve"> </w:t>
      </w:r>
      <m:oMath>
        <m:r>
          <m:rPr>
            <m:sty m:val="p"/>
          </m:rPr>
          <m:t>−</m:t>
        </m:r>
        <m:r>
          <m:t>0.87</m:t>
        </m:r>
      </m:oMath>
      <w:r>
        <w:t xml:space="preserve">; Fig. </w:t>
      </w:r>
      <w:hyperlink w:anchor="fig:particle">
        <w:r>
          <w:rPr>
            <w:rStyle w:val="Hyperlink"/>
          </w:rPr>
          <w:t xml:space="preserve">5</w:t>
        </w:r>
      </w:hyperlink>
      <w:r>
        <w:t xml:space="preserve">). The apparent</w:t>
      </w:r>
      <w:r>
        <w:t xml:space="preserve"> </w:t>
      </w:r>
      <w:r>
        <w:t xml:space="preserve">“flip”</w:t>
      </w:r>
      <w:r>
        <w:t xml:space="preserve"> </w:t>
      </w:r>
      <w:r>
        <w:t xml:space="preserve">across the literature</w:t>
      </w:r>
      <w:r>
        <w:t xml:space="preserve"> </w:t>
      </w:r>
      <w:r>
        <w:t xml:space="preserve">arises from comparing different size ranges and material regimes between studies, not</w:t>
      </w:r>
      <w:r>
        <w:t xml:space="preserve"> </w:t>
      </w:r>
      <w:r>
        <w:t xml:space="preserve">from any within-study sign reversal. The flagship contradiction is an integration</w:t>
      </w:r>
      <w:r>
        <w:t xml:space="preserve"> </w:t>
      </w:r>
      <w:r>
        <w:t xml:space="preserve">artifact. Coverage note: particle size (</w:t>
      </w:r>
      <m:oMath>
        <m:sSub>
          <m:e>
            <m:r>
              <m:t>d</m:t>
            </m:r>
          </m:e>
          <m:sub>
            <m:r>
              <m:t>50</m:t>
            </m:r>
          </m:sub>
        </m:sSub>
      </m:oMath>
      <w:r>
        <w:t xml:space="preserve">) is recorded for only</w:t>
      </w:r>
      <w:r>
        <w:t xml:space="preserve"> </w:t>
      </w:r>
      <m:oMath>
        <m:r>
          <m:t>19</m:t>
        </m:r>
        <m:r>
          <m:t> </m:t>
        </m:r>
        <m:r>
          <m:rPr>
            <m:sty m:val="p"/>
          </m:rPr>
          <m:t>%</m:t>
        </m:r>
      </m:oMath>
      <w:r>
        <w:t xml:space="preserve"> </w:t>
      </w:r>
      <w:r>
        <w:t xml:space="preserve">of</w:t>
      </w:r>
      <w:r>
        <w:t xml:space="preserve"> </w:t>
      </w:r>
      <w:r>
        <w:t xml:space="preserve">yield rows (</w:t>
      </w:r>
      <m:oMath>
        <m:r>
          <m:t>59</m:t>
        </m:r>
        <m:r>
          <m:rPr>
            <m:sty m:val="p"/>
          </m:rPr>
          <m:t>/</m:t>
        </m:r>
        <m:r>
          <m:t>315</m:t>
        </m:r>
      </m:oMath>
      <w:r>
        <w:t xml:space="preserve">), and two regimes (</w:t>
      </w:r>
      <w:r>
        <w:rPr>
          <w:rStyle w:val="VerbatimChar"/>
        </w:rPr>
        <w:t xml:space="preserve">al_alloy</w:t>
      </w:r>
      <w:r>
        <w:t xml:space="preserve"> </w:t>
      </w:r>
      <w:r>
        <w:t xml:space="preserve">and</w:t>
      </w:r>
      <w:r>
        <w:t xml:space="preserve"> </w:t>
      </w:r>
      <w:r>
        <w:rPr>
          <w:rStyle w:val="VerbatimChar"/>
        </w:rPr>
        <w:t xml:space="preserve">mechanically_activated</w:t>
      </w:r>
      <w:r>
        <w:t xml:space="preserve">) have zero particle-size entries; the</w:t>
      </w:r>
      <w:r>
        <w:t xml:space="preserve"> </w:t>
      </w:r>
      <m:oMath>
        <m:r>
          <m:t>5</m:t>
        </m:r>
        <m:r>
          <m:rPr>
            <m:sty m:val="p"/>
          </m:rPr>
          <m:t>/</m:t>
        </m:r>
        <m:r>
          <m:t>5</m:t>
        </m:r>
      </m:oMath>
      <w:r>
        <w:t xml:space="preserve"> </w:t>
      </w:r>
      <w:r>
        <w:t xml:space="preserve">finding</w:t>
      </w:r>
      <w:r>
        <w:t xml:space="preserve"> </w:t>
      </w:r>
      <w:r>
        <w:t xml:space="preserve">is limited to the regimes and study designs where particle size was reported as a</w:t>
      </w:r>
      <w:r>
        <w:t xml:space="preserve"> </w:t>
      </w:r>
      <w:r>
        <w:t xml:space="preserve">variable.</w:t>
      </w:r>
    </w:p>
    <w:bookmarkEnd w:id="41"/>
    <w:bookmarkStart w:id="42" w:name="X0d6de73ed3684c89b392525166653c1cb98f30a"/>
    <w:p>
      <w:pPr>
        <w:pStyle w:val="Heading2"/>
      </w:pPr>
      <w:r>
        <w:t xml:space="preserve">Within-study predictability is heterogeneous (a transparent null)</w:t>
      </w:r>
    </w:p>
    <w:p>
      <w:pPr>
        <w:pStyle w:val="FirstParagraph"/>
      </w:pPr>
      <w:r>
        <w:t xml:space="preserve">Whether each study is internally predictable varies widely. Within-study LOSO skill is</w:t>
      </w:r>
      <w:r>
        <w:t xml:space="preserve"> </w:t>
      </w:r>
      <w:r>
        <w:t xml:space="preserve">clearly positive for well-designed parameter sweeps with a smooth response surface</w:t>
      </w:r>
      <w:r>
        <w:t xml:space="preserve"> </w:t>
      </w:r>
      <w:r>
        <w:t xml:space="preserve">(Fig. </w:t>
      </w:r>
      <w:hyperlink w:anchor="fig:surface">
        <w:r>
          <w:rPr>
            <w:rStyle w:val="Hyperlink"/>
          </w:rPr>
          <w:t xml:space="preserve">6</w:t>
        </w:r>
      </w:hyperlink>
      <w:r>
        <w:t xml:space="preserve">;</w:t>
      </w:r>
      <w:r>
        <w:t xml:space="preserve"> </w:t>
      </w:r>
      <w:r>
        <w:t xml:space="preserve">[20]</w:t>
      </w:r>
      <w:r>
        <w:t xml:space="preserve"> </w:t>
      </w:r>
      <w:r>
        <w:t xml:space="preserve">[20]</w:t>
      </w:r>
      <w:r>
        <w:t xml:space="preserve"> </w:t>
      </w:r>
      <m:oMath>
        <m:r>
          <m:rPr>
            <m:sty m:val="p"/>
          </m:rPr>
          <m:t>+</m:t>
        </m:r>
        <m:r>
          <m:t>0.84</m:t>
        </m:r>
      </m:oMath>
      <w:r>
        <w:t xml:space="preserve">,</w:t>
      </w:r>
      <w:r>
        <w:t xml:space="preserve"> </w:t>
      </w:r>
      <w:r>
        <w:t xml:space="preserve">[3]</w:t>
      </w:r>
      <w:r>
        <w:t xml:space="preserve"> </w:t>
      </w:r>
      <w:r>
        <w:t xml:space="preserve">[3]</w:t>
      </w:r>
      <w:r>
        <w:t xml:space="preserve"> </w:t>
      </w:r>
      <m:oMath>
        <m:r>
          <m:rPr>
            <m:sty m:val="p"/>
          </m:rPr>
          <m:t>+</m:t>
        </m:r>
        <m:r>
          <m:t>0.86</m:t>
        </m:r>
      </m:oMath>
      <w:r>
        <w:t xml:space="preserve">). But the median skill across 14 testable</w:t>
      </w:r>
      <w:r>
        <w:t xml:space="preserve"> </w:t>
      </w:r>
      <w:r>
        <w:t xml:space="preserve">studies is</w:t>
      </w:r>
      <w:r>
        <w:t xml:space="preserve"> </w:t>
      </w:r>
      <m:oMath>
        <m:r>
          <m:rPr>
            <m:sty m:val="p"/>
          </m:rPr>
          <m:t>−</m:t>
        </m:r>
        <m:r>
          <m:t>0.145</m:t>
        </m:r>
      </m:oMath>
      <w:r>
        <w:t xml:space="preserve"> </w:t>
      </w:r>
      <w:r>
        <w:t xml:space="preserve">(cluster-bootstrap 95 % CI</w:t>
      </w:r>
      <w:r>
        <w:t xml:space="preserve"> </w:t>
      </w:r>
      <m:oMath>
        <m:r>
          <m:rPr>
            <m:sty m:val="p"/>
          </m:rPr>
          <m:t>[</m:t>
        </m:r>
        <m:r>
          <m:rPr>
            <m:sty m:val="p"/>
          </m:rPr>
          <m:t>−</m:t>
        </m:r>
        <m:r>
          <m:t>0.447</m:t>
        </m:r>
        <m:r>
          <m:rPr>
            <m:sty m:val="p"/>
          </m:rPr>
          <m:t>,</m:t>
        </m:r>
        <m:r>
          <m:t> </m:t>
        </m:r>
        <m:r>
          <m:rPr>
            <m:sty m:val="p"/>
          </m:rPr>
          <m:t>+</m:t>
        </m:r>
        <m:r>
          <m:t>0.233</m:t>
        </m:r>
        <m:r>
          <m:rPr>
            <m:sty m:val="p"/>
          </m:rPr>
          <m:t>]</m:t>
        </m:r>
      </m:oMath>
      <w:r>
        <w:t xml:space="preserve">), with</w:t>
      </w:r>
      <w:r>
        <w:t xml:space="preserve"> </w:t>
      </w:r>
      <m:oMath>
        <m:r>
          <m:t>5</m:t>
        </m:r>
        <m:r>
          <m:rPr>
            <m:sty m:val="p"/>
          </m:rPr>
          <m:t>/</m:t>
        </m:r>
        <m:r>
          <m:t>14</m:t>
        </m:r>
      </m:oMath>
      <w:r>
        <w:t xml:space="preserve"> </w:t>
      </w:r>
      <w:r>
        <w:t xml:space="preserve">positive. The between-study variance (</w:t>
      </w:r>
      <m:oMath>
        <m:sSubSup>
          <m:e>
            <m:r>
              <m:t>η</m:t>
            </m:r>
          </m:e>
          <m:sub>
            <m:r>
              <m:rPr>
                <m:nor/>
                <m:sty m:val="p"/>
              </m:rPr>
              <m:t>study</m:t>
            </m:r>
          </m:sub>
          <m:sup>
            <m:r>
              <m:t>2</m:t>
            </m:r>
          </m:sup>
        </m:sSubSup>
        <m:r>
          <m:t>​</m:t>
        </m:r>
        <m:r>
          <m:rPr>
            <m:sty m:val="p"/>
          </m:rPr>
          <m:t>=</m:t>
        </m:r>
        <m:r>
          <m:t>​</m:t>
        </m:r>
        <m:r>
          <m:t>0.496</m:t>
        </m:r>
      </m:oMath>
      <w:r>
        <w:t xml:space="preserve">) and the consistent</w:t>
      </w:r>
      <w:r>
        <w:t xml:space="preserve"> </w:t>
      </w:r>
      <w:r>
        <w:t xml:space="preserve">particle-size direction both indicate that the underlying physics is not inconsistent;</w:t>
      </w:r>
      <w:r>
        <w:t xml:space="preserve"> </w:t>
      </w:r>
      <w:r>
        <w:t xml:space="preserve">the low within-study skill reflects heterogeneous experimental designs and per-study</w:t>
      </w:r>
      <w:r>
        <w:t xml:space="preserve"> </w:t>
      </w:r>
      <w:r>
        <w:t xml:space="preserve">sample sizes of</w:t>
      </w:r>
      <w:r>
        <w:t xml:space="preserve"> </w:t>
      </w:r>
      <m:oMath>
        <m:r>
          <m:t>5</m:t>
        </m:r>
      </m:oMath>
      <w:r>
        <w:t xml:space="preserve">–</w:t>
      </w:r>
      <m:oMath>
        <m:r>
          <m:t>120</m:t>
        </m:r>
      </m:oMath>
      <w:r>
        <w:t xml:space="preserve"> </w:t>
      </w:r>
      <w:r>
        <w:t xml:space="preserve">rows rather than genuine within-study physical noise.</w:t>
      </w:r>
    </w:p>
    <w:bookmarkEnd w:id="42"/>
    <w:bookmarkStart w:id="43" w:name="X107352f5980d1e9dc646e3a0472c508b95c9903"/>
    <w:p>
      <w:pPr>
        <w:pStyle w:val="Heading2"/>
      </w:pPr>
      <w:r>
        <w:t xml:space="preserve">Permutation importance: methodology features dominate</w:t>
      </w:r>
    </w:p>
    <w:p>
      <w:pPr>
        <w:pStyle w:val="FirstParagraph"/>
      </w:pPr>
      <w:r>
        <w:t xml:space="preserve">In-sample random-forest permutation importance ranks</w:t>
      </w:r>
      <w:r>
        <w:t xml:space="preserve"> </w:t>
      </w:r>
      <w:r>
        <w:rPr>
          <w:rStyle w:val="VerbatimChar"/>
        </w:rPr>
        <w:t xml:space="preserve">particle_size</w:t>
      </w:r>
      <w:r>
        <w:t xml:space="preserve"> </w:t>
      </w:r>
      <w:r>
        <w:t xml:space="preserve">(</w:t>
      </w:r>
      <m:oMath>
        <m:r>
          <m:t>0.597</m:t>
        </m:r>
      </m:oMath>
      <w:r>
        <w:t xml:space="preserve">)</w:t>
      </w:r>
      <w:r>
        <w:t xml:space="preserve"> </w:t>
      </w:r>
      <w:r>
        <w:t xml:space="preserve">first,</w:t>
      </w:r>
      <w:r>
        <w:t xml:space="preserve"> </w:t>
      </w:r>
      <w:r>
        <w:rPr>
          <w:rStyle w:val="VerbatimChar"/>
        </w:rPr>
        <w:t xml:space="preserve">in_wt_pct</w:t>
      </w:r>
      <w:r>
        <w:t xml:space="preserve"> </w:t>
      </w:r>
      <w:r>
        <w:t xml:space="preserve">(</w:t>
      </w:r>
      <m:oMath>
        <m:r>
          <m:t>0.488</m:t>
        </m:r>
      </m:oMath>
      <w:r>
        <w:t xml:space="preserve">) second, and</w:t>
      </w:r>
      <w:r>
        <w:t xml:space="preserve"> </w:t>
      </w:r>
      <w:r>
        <w:rPr>
          <w:rStyle w:val="VerbatimChar"/>
        </w:rPr>
        <w:t xml:space="preserve">temperature_k</w:t>
      </w:r>
      <w:r>
        <w:t xml:space="preserve"> </w:t>
      </w:r>
      <w:r>
        <w:t xml:space="preserve">(</w:t>
      </w:r>
      <m:oMath>
        <m:r>
          <m:t>0.269</m:t>
        </m:r>
      </m:oMath>
      <w:r>
        <w:t xml:space="preserve">) third.</w:t>
      </w:r>
      <w:r>
        <w:t xml:space="preserve"> </w:t>
      </w:r>
      <w:r>
        <w:t xml:space="preserve">The regime label</w:t>
      </w:r>
      <w:r>
        <w:t xml:space="preserve"> </w:t>
      </w:r>
      <w:r>
        <w:rPr>
          <w:rStyle w:val="VerbatimChar"/>
        </w:rPr>
        <w:t xml:space="preserve">system_class</w:t>
      </w:r>
      <w:r>
        <w:t xml:space="preserve"> </w:t>
      </w:r>
      <w:r>
        <w:t xml:space="preserve">ranks tenth (</w:t>
      </w:r>
      <m:oMath>
        <m:r>
          <m:t>0.032</m:t>
        </m:r>
      </m:oMath>
      <w:r>
        <w:t xml:space="preserve">), one-nineteenth of</w:t>
      </w:r>
      <w:r>
        <w:t xml:space="preserve"> </w:t>
      </w:r>
      <w:r>
        <w:rPr>
          <w:rStyle w:val="VerbatimChar"/>
        </w:rPr>
        <w:t xml:space="preserve">particle_size</w:t>
      </w:r>
      <w:r>
        <w:t xml:space="preserve">, consistent with the variance-decomposition finding that</w:t>
      </w:r>
      <w:r>
        <w:t xml:space="preserve"> </w:t>
      </w:r>
      <w:r>
        <w:t xml:space="preserve">methodology rather than regime accounts for apparent yield differences. Alkali concentration</w:t>
      </w:r>
      <w:r>
        <w:t xml:space="preserve"> </w:t>
      </w:r>
      <w:r>
        <w:t xml:space="preserve">ranks fourteenth (</w:t>
      </w:r>
      <m:oMath>
        <m:r>
          <m:t>0.009</m:t>
        </m:r>
      </m:oMath>
      <w:r>
        <w:t xml:space="preserve">). SHAP cross-fold rank stability (mean pairwise Spearman across</w:t>
      </w:r>
      <w:r>
        <w:t xml:space="preserve"> </w:t>
      </w:r>
      <w:r>
        <w:t xml:space="preserve">grouped folds) is</w:t>
      </w:r>
      <w:r>
        <w:t xml:space="preserve"> </w:t>
      </w:r>
      <m:oMath>
        <m:r>
          <m:t>0.66</m:t>
        </m:r>
      </m:oMath>
      <w:r>
        <w:t xml:space="preserve"> / </w:t>
      </w:r>
      <m:oMath>
        <m:r>
          <m:t>0.68</m:t>
        </m:r>
      </m:oMath>
      <w:r>
        <w:t xml:space="preserve"> / </w:t>
      </w:r>
      <m:oMath>
        <m:r>
          <m:t>0.70</m:t>
        </m:r>
      </m:oMath>
      <w:r>
        <w:t xml:space="preserve"> </w:t>
      </w:r>
      <w:r>
        <w:t xml:space="preserve">(seeds</w:t>
      </w:r>
      <w:r>
        <w:t xml:space="preserve"> </w:t>
      </w:r>
      <m:oMath>
        <m:r>
          <m:t>0</m:t>
        </m:r>
      </m:oMath>
      <w:r>
        <w:t xml:space="preserve"> / </w:t>
      </w:r>
      <m:oMath>
        <m:r>
          <m:t>42</m:t>
        </m:r>
      </m:oMath>
      <w:r>
        <w:t xml:space="preserve"> / </w:t>
      </w:r>
      <m:oMath>
        <m:r>
          <m:t>7</m:t>
        </m:r>
      </m:oMath>
      <w:r>
        <w:t xml:space="preserve">): the feature</w:t>
      </w:r>
      <w:r>
        <w:t xml:space="preserve"> </w:t>
      </w:r>
      <w:r>
        <w:t xml:space="preserve">hierarchy is moderately stable but should not be over-interpreted given the poor</w:t>
      </w:r>
      <w:r>
        <w:t xml:space="preserve"> </w:t>
      </w:r>
      <w:r>
        <w:t xml:space="preserve">between-study predictive</w:t>
      </w:r>
      <w:r>
        <w:t xml:space="preserve"> </w:t>
      </w:r>
      <m:oMath>
        <m:sSup>
          <m:e>
            <m:r>
              <m:t>R</m:t>
            </m:r>
          </m:e>
          <m:sup>
            <m:r>
              <m:t>2</m:t>
            </m:r>
          </m:sup>
        </m:sSup>
      </m:oMath>
      <w:r>
        <w:t xml:space="preserve">.</w:t>
      </w:r>
    </w:p>
    <w:bookmarkEnd w:id="43"/>
    <w:bookmarkStart w:id="64" w:name="robustness-sensitivities"/>
    <w:p>
      <w:pPr>
        <w:pStyle w:val="Heading2"/>
      </w:pPr>
      <w:r>
        <w:t xml:space="preserve">Robustness sensitivities</w:t>
      </w:r>
    </w:p>
    <w:p>
      <w:pPr>
        <w:pStyle w:val="FirstParagraph"/>
      </w:pPr>
      <w:r>
        <w:t xml:space="preserve">Two pre-specified sensitivity checks were run to assess how robust the headline findings</w:t>
      </w:r>
      <w:r>
        <w:t xml:space="preserve"> </w:t>
      </w:r>
      <w:r>
        <w:t xml:space="preserve">are to study-quality cut and particle-size reporting.</w:t>
      </w:r>
    </w:p>
    <w:p>
      <w:pPr>
        <w:pStyle w:val="BodyText"/>
      </w:pPr>
      <w:r>
        <w:rPr>
          <w:b/>
          <w:bCs/>
        </w:rPr>
        <w:t xml:space="preserve">OA-subset (tier A+B only,</w:t>
      </w:r>
      <w:r>
        <w:rPr>
          <w:b/>
          <w:bCs/>
        </w:rPr>
        <w:t xml:space="preserve"> </w:t>
      </w:r>
      <m:oMath>
        <m:r>
          <m:t>n</m:t>
        </m:r>
        <m:r>
          <m:t>​</m:t>
        </m:r>
        <m:r>
          <m:rPr>
            <m:sty m:val="p"/>
          </m:rPr>
          <m:t>=</m:t>
        </m:r>
        <m:r>
          <m:t>​</m:t>
        </m:r>
        <m:r>
          <m:t>19</m:t>
        </m:r>
      </m:oMath>
      <w:r>
        <w:rPr>
          <w:b/>
          <w:bCs/>
        </w:rPr>
        <w:t xml:space="preserve">).</w:t>
      </w:r>
      <w:r>
        <w:t xml:space="preserve"> </w:t>
      </w:r>
      <w:r>
        <w:t xml:space="preserve">Restricting to the 19 studies rated tier A or B eliminates all 12 tier-C studies.</w:t>
      </w:r>
      <w:r>
        <w:t xml:space="preserve"> </w:t>
      </w:r>
      <w:r>
        <w:t xml:space="preserve">After this restriction:</w:t>
      </w:r>
      <w:r>
        <w:t xml:space="preserve"> </w:t>
      </w:r>
      <m:oMath>
        <m:sSubSup>
          <m:e>
            <m:r>
              <m:t>R</m:t>
            </m:r>
          </m:e>
          <m:sub>
            <m:r>
              <m:rPr>
                <m:nor/>
                <m:scr m:val="monospace"/>
                <m:sty m:val="p"/>
              </m:rPr>
              <m:t>system_class</m:t>
            </m:r>
          </m:sub>
          <m:sup>
            <m:r>
              <m:t>2</m:t>
            </m:r>
          </m:sup>
        </m:sSubSup>
        <m:r>
          <m:t>​</m:t>
        </m:r>
        <m:r>
          <m:rPr>
            <m:sty m:val="p"/>
          </m:rPr>
          <m:t>=</m:t>
        </m:r>
        <m:r>
          <m:t>​</m:t>
        </m:r>
        <m:r>
          <m:t>0.094</m:t>
        </m:r>
      </m:oMath>
      <w:r>
        <w:t xml:space="preserve"> </w:t>
      </w:r>
      <w:r>
        <w:t xml:space="preserve">(still low);</w:t>
      </w:r>
      <w:r>
        <w:t xml:space="preserve"> </w:t>
      </w:r>
      <m:oMath>
        <m:sSubSup>
          <m:e>
            <m:r>
              <m:t>R</m:t>
            </m:r>
          </m:e>
          <m:sub>
            <m:r>
              <m:rPr>
                <m:nor/>
                <m:scr m:val="monospace"/>
                <m:sty m:val="p"/>
              </m:rPr>
              <m:t>measurement_method</m:t>
            </m:r>
          </m:sub>
          <m:sup>
            <m:r>
              <m:t>2</m:t>
            </m:r>
          </m:sup>
        </m:sSubSup>
        <m:r>
          <m:t>​</m:t>
        </m:r>
        <m:r>
          <m:rPr>
            <m:sty m:val="p"/>
          </m:rPr>
          <m:t>=</m:t>
        </m:r>
        <m:r>
          <m:t>​</m:t>
        </m:r>
        <m:r>
          <m:t>0.073</m:t>
        </m:r>
      </m:oMath>
      <w:r>
        <w:t xml:space="preserve"> </w:t>
      </w:r>
      <w:r>
        <w:t xml:space="preserve">(drops substantially);</w:t>
      </w:r>
      <w:r>
        <w:t xml:space="preserve"> </w:t>
      </w:r>
      <m:oMath>
        <m:sSubSup>
          <m:e>
            <m:r>
              <m:t>R</m:t>
            </m:r>
          </m:e>
          <m:sub>
            <m:r>
              <m:rPr>
                <m:nor/>
                <m:scr m:val="monospace"/>
                <m:sty m:val="p"/>
              </m:rPr>
              <m:t>temperature_control</m:t>
            </m:r>
          </m:sub>
          <m:sup>
            <m:r>
              <m:t>2</m:t>
            </m:r>
          </m:sup>
        </m:sSubSup>
        <m:r>
          <m:t>​</m:t>
        </m:r>
        <m:r>
          <m:rPr>
            <m:sty m:val="p"/>
          </m:rPr>
          <m:t>=</m:t>
        </m:r>
        <m:r>
          <m:t>​</m:t>
        </m:r>
        <m:r>
          <m:t>0.065</m:t>
        </m:r>
      </m:oMath>
      <w:r>
        <w:t xml:space="preserve"> </w:t>
      </w:r>
      <w:r>
        <w:t xml:space="preserve">(also drops).</w:t>
      </w:r>
      <w:r>
        <w:t xml:space="preserve"> </w:t>
      </w:r>
      <w:r>
        <w:t xml:space="preserve">All individual predictors weaken, which is expected when the tier-C studies (which</w:t>
      </w:r>
      <w:r>
        <w:t xml:space="preserve"> </w:t>
      </w:r>
      <w:r>
        <w:t xml:space="preserve">include the lowest-yield and self-heating records) are removed, reducing between-study</w:t>
      </w:r>
      <w:r>
        <w:t xml:space="preserve"> </w:t>
      </w:r>
      <w:r>
        <w:t xml:space="preserve">spread. The headline direction (regime</w:t>
      </w:r>
      <w:r>
        <w:t xml:space="preserve"> </w:t>
      </w:r>
      <m:oMath>
        <m:r>
          <m:rPr>
            <m:sty m:val="p"/>
          </m:rPr>
          <m:t>&lt;</m:t>
        </m:r>
      </m:oMath>
      <w:r>
        <w:t xml:space="preserve"> </w:t>
      </w:r>
      <w:r>
        <w:t xml:space="preserve">methodological predictors) holds, but the</w:t>
      </w:r>
      <w:r>
        <w:t xml:space="preserve"> </w:t>
      </w:r>
      <w:r>
        <w:t xml:space="preserve">absolute magnitudes are sensitive to quality-tier inclusion; this is a legitimate</w:t>
      </w:r>
      <w:r>
        <w:t xml:space="preserve"> </w:t>
      </w:r>
      <w:r>
        <w:t xml:space="preserve">limitation of corpus size and tier composition.</w:t>
      </w:r>
    </w:p>
    <w:p>
      <w:pPr>
        <w:pStyle w:val="BodyText"/>
      </w:pPr>
      <w:r>
        <w:rPr>
          <w:b/>
          <w:bCs/>
        </w:rPr>
        <w:t xml:space="preserve">Particle-size reporting sensitivity.</w:t>
      </w:r>
      <w:r>
        <w:t xml:space="preserve"> </w:t>
      </w:r>
      <w:r>
        <w:t xml:space="preserve">Among studies that report particle size as an experimental variable (</w:t>
      </w:r>
      <m:oMath>
        <m:r>
          <m:t>n</m:t>
        </m:r>
        <m:r>
          <m:t>​</m:t>
        </m:r>
        <m:r>
          <m:rPr>
            <m:sty m:val="p"/>
          </m:rPr>
          <m:t>=</m:t>
        </m:r>
        <m:r>
          <m:t>​</m:t>
        </m:r>
        <m:r>
          <m:t>5</m:t>
        </m:r>
      </m:oMath>
      <w:r>
        <w:t xml:space="preserve"> </w:t>
      </w:r>
      <w:r>
        <w:t xml:space="preserve">of</w:t>
      </w:r>
      <w:r>
        <w:t xml:space="preserve"> </w:t>
      </w:r>
      <m:oMath>
        <m:r>
          <m:t>31</m:t>
        </m:r>
      </m:oMath>
      <w:r>
        <w:t xml:space="preserve">;</w:t>
      </w:r>
      <w:r>
        <w:t xml:space="preserve"> </w:t>
      </w:r>
      <m:oMath>
        <m:r>
          <m:t>59</m:t>
        </m:r>
        <m:r>
          <m:rPr>
            <m:sty m:val="p"/>
          </m:rPr>
          <m:t>/</m:t>
        </m:r>
        <m:r>
          <m:t>315</m:t>
        </m:r>
      </m:oMath>
      <w:r>
        <w:t xml:space="preserve"> </w:t>
      </w:r>
      <w:r>
        <w:t xml:space="preserve">rows), a Fisher’s exact test comparing studies that do vs. do not report</w:t>
      </w:r>
      <w:r>
        <w:t xml:space="preserve"> </w:t>
      </w:r>
      <w:r>
        <w:t xml:space="preserve">particle size finds no significant differences in quality-tier distribution</w:t>
      </w:r>
      <w:r>
        <w:t xml:space="preserve"> </w:t>
      </w:r>
      <w:r>
        <w:t xml:space="preserve">(</w:t>
      </w:r>
      <m:oMath>
        <m:r>
          <m:t>p</m:t>
        </m:r>
        <m:r>
          <m:t>​</m:t>
        </m:r>
        <m:r>
          <m:rPr>
            <m:sty m:val="p"/>
          </m:rPr>
          <m:t>=</m:t>
        </m:r>
        <m:r>
          <m:t>​</m:t>
        </m:r>
        <m:r>
          <m:t>0.35</m:t>
        </m:r>
      </m:oMath>
      <w:r>
        <w:t xml:space="preserve">) or temperature-control composition (</w:t>
      </w:r>
      <m:oMath>
        <m:r>
          <m:t>p</m:t>
        </m:r>
        <m:r>
          <m:t>​</m:t>
        </m:r>
        <m:r>
          <m:rPr>
            <m:sty m:val="p"/>
          </m:rPr>
          <m:t>=</m:t>
        </m:r>
        <m:r>
          <m:t>​</m:t>
        </m:r>
        <m:r>
          <m:t>0.61</m:t>
        </m:r>
      </m:oMath>
      <w:r>
        <w:t xml:space="preserve">), supporting the</w:t>
      </w:r>
      <w:r>
        <w:t xml:space="preserve"> </w:t>
      </w:r>
      <w:r>
        <w:t xml:space="preserve">generalisability of the within-study particle-size finding to the broader corpus.</w:t>
      </w:r>
    </w:p>
    <w:bookmarkStart w:id="47" w:name="fig:gap"/>
    <w:p>
      <w:pPr>
        <w:pStyle w:val="CaptionedFigure"/>
      </w:pPr>
      <w:r>
        <w:drawing>
          <wp:inline>
            <wp:extent cx="3492500" cy="2463800"/>
            <wp:effectExtent b="0" l="0" r="0" t="0"/>
            <wp:docPr descr="" title="" id="45" name="Picture"/>
            <a:graphic>
              <a:graphicData uri="http://schemas.openxmlformats.org/drawingml/2006/picture">
                <pic:pic>
                  <pic:nvPicPr>
                    <pic:cNvPr descr="fig1_optimism_gap.pdf" id="46" name="Picture"/>
                    <pic:cNvPicPr>
                      <a:picLocks noChangeArrowheads="1" noChangeAspect="1"/>
                    </pic:cNvPicPr>
                  </pic:nvPicPr>
                  <pic:blipFill>
                    <a:blip r:embed="rId44"/>
                    <a:stretch>
                      <a:fillRect/>
                    </a:stretch>
                  </pic:blipFill>
                  <pic:spPr bwMode="auto">
                    <a:xfrm>
                      <a:off x="0" y="0"/>
                      <a:ext cx="3492500" cy="2463800"/>
                    </a:xfrm>
                    <a:prstGeom prst="rect">
                      <a:avLst/>
                    </a:prstGeom>
                    <a:noFill/>
                    <a:ln w="9525">
                      <a:noFill/>
                      <a:headEnd/>
                      <a:tailEnd/>
                    </a:ln>
                  </pic:spPr>
                </pic:pic>
              </a:graphicData>
            </a:graphic>
          </wp:inline>
        </w:drawing>
      </w:r>
    </w:p>
    <w:p>
      <w:pPr>
        <w:pStyle w:val="ImageCaption"/>
      </w:pPr>
      <w:r>
        <w:rPr>
          <w:b/>
          <w:bCs/>
        </w:rPr>
        <w:t xml:space="preserve">Leakage control.</w:t>
      </w:r>
      <w:r>
        <w:t xml:space="preserve"> </w:t>
      </w:r>
      <w:r>
        <w:t xml:space="preserve">Each model is a dumbbell from its study-grouped cross-validated</w:t>
      </w:r>
      <w:r>
        <w:t xml:space="preserve"> </w:t>
      </w:r>
      <m:oMath>
        <m:sSup>
          <m:e>
            <m:r>
              <m:t>R</m:t>
            </m:r>
          </m:e>
          <m:sup>
            <m:r>
              <m:t>2</m:t>
            </m:r>
          </m:sup>
        </m:sSup>
      </m:oMath>
      <w:r>
        <w:t xml:space="preserve"> </w:t>
      </w:r>
      <w:r>
        <w:t xml:space="preserve">( </w:t>
      </w:r>
      <m:oMath>
        <m:r>
          <m:rPr>
            <m:sty m:val="p"/>
          </m:rPr>
          <m:t>•</m:t>
        </m:r>
      </m:oMath>
      <w:r>
        <w:t xml:space="preserve"> ) to its random-split</w:t>
      </w:r>
      <w:r>
        <w:t xml:space="preserve"> </w:t>
      </w:r>
      <m:oMath>
        <m:sSup>
          <m:e>
            <m:r>
              <m:t>R</m:t>
            </m:r>
          </m:e>
          <m:sup>
            <m:r>
              <m:t>2</m:t>
            </m:r>
          </m:sup>
        </m:sSup>
      </m:oMath>
      <w:r>
        <w:t xml:space="preserve"> </w:t>
      </w:r>
      <w:r>
        <w:t xml:space="preserve">( </w:t>
      </w:r>
      <m:oMath>
        <m:r>
          <m:rPr>
            <m:sty m:val="p"/>
          </m:rPr>
          <m:t>◼</m:t>
        </m:r>
      </m:oMath>
      <w:r>
        <w:t xml:space="preserve"> ); the open diamond is the</w:t>
      </w:r>
      <w:r>
        <w:t xml:space="preserve"> </w:t>
      </w:r>
      <w:r>
        <w:t xml:space="preserve">study-grouped</w:t>
      </w:r>
      <w:r>
        <w:t xml:space="preserve"> </w:t>
      </w:r>
      <m:oMath>
        <m:sSup>
          <m:e>
            <m:r>
              <m:t>R</m:t>
            </m:r>
          </m:e>
          <m:sup>
            <m:r>
              <m:t>2</m:t>
            </m:r>
          </m:sup>
        </m:sSup>
      </m:oMath>
      <w:r>
        <w:t xml:space="preserve"> </w:t>
      </w:r>
      <w:r>
        <w:t xml:space="preserve">after removing the single largest study (tree models only). Tree models reach</w:t>
      </w:r>
      <w:r>
        <w:t xml:space="preserve"> </w:t>
      </w:r>
      <m:oMath>
        <m:sSup>
          <m:e>
            <m:r>
              <m:t>R</m:t>
            </m:r>
          </m:e>
          <m:sup>
            <m:r>
              <m:t>2</m:t>
            </m:r>
          </m:sup>
        </m:sSup>
        <m:r>
          <m:t>​</m:t>
        </m:r>
        <m:r>
          <m:rPr>
            <m:sty m:val="p"/>
          </m:rPr>
          <m:t>≈</m:t>
        </m:r>
        <m:r>
          <m:t>​</m:t>
        </m:r>
        <m:r>
          <m:t>0.55</m:t>
        </m:r>
      </m:oMath>
      <w:r>
        <w:t xml:space="preserve"> </w:t>
      </w:r>
      <w:r>
        <w:t xml:space="preserve">under random splits but fall below zero under study-grouped cross-validation</w:t>
      </w:r>
      <w:r>
        <w:t xml:space="preserve"> </w:t>
      </w:r>
      <w:r>
        <w:t xml:space="preserve">(optimism gap</w:t>
      </w:r>
      <w:r>
        <w:t xml:space="preserve"> </w:t>
      </w:r>
      <m:oMath>
        <m:r>
          <m:t>0.62</m:t>
        </m:r>
      </m:oMath>
      <w:r>
        <w:t xml:space="preserve">–</w:t>
      </w:r>
      <m:oMath>
        <m:r>
          <m:t>0.85</m:t>
        </m:r>
      </m:oMath>
      <w:r>
        <w:t xml:space="preserve">): a model trained on some studies does not predict an unseen study.</w:t>
      </w:r>
    </w:p>
    <w:bookmarkEnd w:id="47"/>
    <w:bookmarkStart w:id="51" w:name="fig:variance"/>
    <w:p>
      <w:pPr>
        <w:pStyle w:val="CaptionedFigure"/>
      </w:pPr>
      <w:r>
        <w:drawing>
          <wp:inline>
            <wp:extent cx="4373880" cy="2494731"/>
            <wp:effectExtent b="0" l="0" r="0" t="0"/>
            <wp:docPr descr="" title="" id="49" name="Picture"/>
            <a:graphic>
              <a:graphicData uri="http://schemas.openxmlformats.org/drawingml/2006/picture">
                <pic:pic>
                  <pic:nvPicPr>
                    <pic:cNvPr descr="fig2_variance_decomposition.pdf" id="50" name="Picture"/>
                    <pic:cNvPicPr>
                      <a:picLocks noChangeArrowheads="1" noChangeAspect="1"/>
                    </pic:cNvPicPr>
                  </pic:nvPicPr>
                  <pic:blipFill>
                    <a:blip r:embed="rId48"/>
                    <a:stretch>
                      <a:fillRect/>
                    </a:stretch>
                  </pic:blipFill>
                  <pic:spPr bwMode="auto">
                    <a:xfrm>
                      <a:off x="0" y="0"/>
                      <a:ext cx="4373880" cy="2494731"/>
                    </a:xfrm>
                    <a:prstGeom prst="rect">
                      <a:avLst/>
                    </a:prstGeom>
                    <a:noFill/>
                    <a:ln w="9525">
                      <a:noFill/>
                      <a:headEnd/>
                      <a:tailEnd/>
                    </a:ln>
                  </pic:spPr>
                </pic:pic>
              </a:graphicData>
            </a:graphic>
          </wp:inline>
        </w:drawing>
      </w:r>
    </w:p>
    <w:p>
      <w:pPr>
        <w:pStyle w:val="ImageCaption"/>
      </w:pPr>
      <w:r>
        <w:rPr>
          <w:b/>
          <w:bCs/>
        </w:rPr>
        <w:t xml:space="preserve">Methodology, not physical regime, explains the between-study yield variance</w:t>
      </w:r>
      <w:r>
        <w:rPr>
          <w:b/>
          <w:bCs/>
        </w:rPr>
        <w:t xml:space="preserve"> </w:t>
      </w:r>
      <w:r>
        <w:rPr>
          <w:b/>
          <w:bCs/>
        </w:rPr>
        <w:t xml:space="preserve">(headline).</w:t>
      </w:r>
      <w:r>
        <w:t xml:space="preserve"> </w:t>
      </w:r>
      <w:r>
        <w:t xml:space="preserve">Between-study variance of study-mean yield explained (</w:t>
      </w:r>
      <m:oMath>
        <m:sSup>
          <m:e>
            <m:r>
              <m:t>R</m:t>
            </m:r>
          </m:e>
          <m:sup>
            <m:r>
              <m:t>2</m:t>
            </m:r>
          </m:sup>
        </m:sSup>
      </m:oMath>
      <w:r>
        <w:t xml:space="preserve">, dot) with a 95%</w:t>
      </w:r>
      <w:r>
        <w:t xml:space="preserve"> </w:t>
      </w:r>
      <w:r>
        <w:t xml:space="preserve">cluster-bootstrap confidence interval (bar), one row per predictor. The physico-chemical regime</w:t>
      </w:r>
      <w:r>
        <w:t xml:space="preserve"> </w:t>
      </w:r>
      <w:r>
        <w:t xml:space="preserve">label (</w:t>
      </w:r>
      <w:r>
        <w:rPr>
          <w:rStyle w:val="VerbatimChar"/>
        </w:rPr>
        <w:t xml:space="preserve">system_class</w:t>
      </w:r>
      <w:r>
        <w:t xml:space="preserve">) explains</w:t>
      </w:r>
      <w:r>
        <w:t xml:space="preserve"> </w:t>
      </w:r>
      <m:oMath>
        <m:r>
          <m:t>0.02</m:t>
        </m:r>
      </m:oMath>
      <w:r>
        <w:t xml:space="preserve">; all methodological covariates jointly explain</w:t>
      </w:r>
      <w:r>
        <w:t xml:space="preserve"> </w:t>
      </w:r>
      <m:oMath>
        <m:r>
          <m:t>0.72</m:t>
        </m:r>
      </m:oMath>
      <w:r>
        <w:t xml:space="preserve"> </w:t>
      </w:r>
      <w:r>
        <w:t xml:space="preserve">(</w:t>
      </w:r>
      <m:oMath>
        <m:r>
          <m:rPr>
            <m:sty m:val="p"/>
          </m:rPr>
          <m:t>≈</m:t>
        </m:r>
        <m:r>
          <m:t>​</m:t>
        </m:r>
        <m:r>
          <m:t>40</m:t>
        </m:r>
        <m:r>
          <m:rPr>
            <m:sty m:val="p"/>
          </m:rPr>
          <m:t>×</m:t>
        </m:r>
      </m:oMath>
      <w:r>
        <w:t xml:space="preserve">); hydrogen measurement apparatus (</w:t>
      </w:r>
      <m:oMath>
        <m:r>
          <m:t>0.43</m:t>
        </m:r>
      </m:oMath>
      <w:r>
        <w:t xml:space="preserve">,</w:t>
      </w:r>
      <w:r>
        <w:t xml:space="preserve"> </w:t>
      </w:r>
      <m:oMath>
        <m:r>
          <m:t>n</m:t>
        </m:r>
        <m:r>
          <m:t>​</m:t>
        </m:r>
        <m:r>
          <m:rPr>
            <m:sty m:val="p"/>
          </m:rPr>
          <m:t>=</m:t>
        </m:r>
        <m:r>
          <m:t>​</m:t>
        </m:r>
        <m:r>
          <m:t>25</m:t>
        </m:r>
      </m:oMath>
      <w:r>
        <w:t xml:space="preserve"> </w:t>
      </w:r>
      <w:r>
        <w:t xml:space="preserve">studies)</w:t>
      </w:r>
      <w:r>
        <w:t xml:space="preserve"> </w:t>
      </w:r>
      <w:r>
        <w:t xml:space="preserve">and temperature-control method (</w:t>
      </w:r>
      <m:oMath>
        <m:r>
          <m:t>0.08</m:t>
        </m:r>
      </m:oMath>
      <w:r>
        <w:t xml:space="preserve">) are the largest individual contributors.</w:t>
      </w:r>
      <w:r>
        <w:t xml:space="preserve"> </w:t>
      </w:r>
      <w:r>
        <w:t xml:space="preserve">Associational; measurement-method effect survives controlling for regime (incremental</w:t>
      </w:r>
      <w:r>
        <w:t xml:space="preserve"> </w:t>
      </w:r>
      <m:oMath>
        <m:sSup>
          <m:e>
            <m:r>
              <m:t>R</m:t>
            </m:r>
          </m:e>
          <m:sup>
            <m:r>
              <m:t>2</m:t>
            </m:r>
          </m:sup>
        </m:sSup>
        <m:r>
          <m:rPr>
            <m:sty m:val="p"/>
          </m:rPr>
          <m:t>=</m:t>
        </m:r>
        <m:r>
          <m:rPr>
            <m:sty m:val="p"/>
          </m:rPr>
          <m:t>+</m:t>
        </m:r>
        <m:r>
          <m:t>0.51</m:t>
        </m:r>
      </m:oMath>
      <w:r>
        <w:t xml:space="preserve">, bootstrap CI excludes</w:t>
      </w:r>
      <w:r>
        <w:t xml:space="preserve"> </w:t>
      </w:r>
      <m:oMath>
        <m:r>
          <m:t>0</m:t>
        </m:r>
      </m:oMath>
      <w:r>
        <w:t xml:space="preserve">).</w:t>
      </w:r>
    </w:p>
    <w:bookmarkEnd w:id="51"/>
    <w:bookmarkStart w:id="55" w:name="fig:ea"/>
    <w:p>
      <w:pPr>
        <w:pStyle w:val="CaptionedFigure"/>
      </w:pPr>
      <w:r>
        <w:drawing>
          <wp:inline>
            <wp:extent cx="3520440" cy="2257457"/>
            <wp:effectExtent b="0" l="0" r="0" t="0"/>
            <wp:docPr descr="" title="" id="53" name="Picture"/>
            <a:graphic>
              <a:graphicData uri="http://schemas.openxmlformats.org/drawingml/2006/picture">
                <pic:pic>
                  <pic:nvPicPr>
                    <pic:cNvPr descr="fig4_ea_spread.pdf" id="54" name="Picture"/>
                    <pic:cNvPicPr>
                      <a:picLocks noChangeArrowheads="1" noChangeAspect="1"/>
                    </pic:cNvPicPr>
                  </pic:nvPicPr>
                  <pic:blipFill>
                    <a:blip r:embed="rId52"/>
                    <a:stretch>
                      <a:fillRect/>
                    </a:stretch>
                  </pic:blipFill>
                  <pic:spPr bwMode="auto">
                    <a:xfrm>
                      <a:off x="0" y="0"/>
                      <a:ext cx="3520440" cy="2257457"/>
                    </a:xfrm>
                    <a:prstGeom prst="rect">
                      <a:avLst/>
                    </a:prstGeom>
                    <a:noFill/>
                    <a:ln w="9525">
                      <a:noFill/>
                      <a:headEnd/>
                      <a:tailEnd/>
                    </a:ln>
                  </pic:spPr>
                </pic:pic>
              </a:graphicData>
            </a:graphic>
          </wp:inline>
        </w:drawing>
      </w:r>
    </w:p>
    <w:p>
      <w:pPr>
        <w:pStyle w:val="ImageCaption"/>
      </w:pPr>
      <w:r>
        <w:rPr>
          <w:b/>
          <w:bCs/>
        </w:rPr>
        <w:t xml:space="preserve">Apparent activation energy does not organize by physical regime.</w:t>
      </w:r>
      <w:r>
        <w:t xml:space="preserve"> </w:t>
      </w:r>
      <w:r>
        <w:t xml:space="preserve">Per-study</w:t>
      </w:r>
      <w:r>
        <w:t xml:space="preserve"> </w:t>
      </w:r>
      <w:r>
        <w:t xml:space="preserve">apparent</w:t>
      </w:r>
      <w:r>
        <w:t xml:space="preserve"> </w:t>
      </w:r>
      <m:oMath>
        <m:sSub>
          <m:e>
            <m:r>
              <m:t>E</m:t>
            </m:r>
          </m:e>
          <m:sub>
            <m:r>
              <m:rPr>
                <m:sty m:val="p"/>
              </m:rPr>
              <m:t>a</m:t>
            </m:r>
          </m:sub>
        </m:sSub>
      </m:oMath>
      <w:r>
        <w:t xml:space="preserve"> </w:t>
      </w:r>
      <w:r>
        <w:t xml:space="preserve">(points) with a class-median bar per</w:t>
      </w:r>
      <w:r>
        <w:t xml:space="preserve"> </w:t>
      </w:r>
      <w:r>
        <w:rPr>
          <w:rStyle w:val="VerbatimChar"/>
        </w:rPr>
        <w:t xml:space="preserve">system_class</w:t>
      </w:r>
      <w:r>
        <w:t xml:space="preserve">; the shaded</w:t>
      </w:r>
      <w:r>
        <w:t xml:space="preserve"> </w:t>
      </w:r>
      <w:r>
        <w:t xml:space="preserve">band is the literature range</w:t>
      </w:r>
      <w:r>
        <w:t xml:space="preserve"> </w:t>
      </w:r>
      <m:oMath>
        <m:r>
          <m:t>3.5</m:t>
        </m:r>
      </m:oMath>
      <w:r>
        <w:t xml:space="preserve">–</w:t>
      </w:r>
      <m:oMath>
        <m:r>
          <m:t>102.6</m:t>
        </m:r>
      </m:oMath>
      <w:r>
        <w:t xml:space="preserve"> kJ mol</w:t>
      </w:r>
      <m:oMath>
        <m:sSup>
          <m:e>
            <m:r>
              <m:t>​</m:t>
            </m:r>
          </m:e>
          <m:sup>
            <m:r>
              <m:rPr>
                <m:sty m:val="p"/>
              </m:rPr>
              <m:t>−</m:t>
            </m:r>
            <m:r>
              <m:t>1</m:t>
            </m:r>
          </m:sup>
        </m:sSup>
      </m:oMath>
      <w:r>
        <w:t xml:space="preserve">. The within-regime spread is comparable</w:t>
      </w:r>
      <w:r>
        <w:t xml:space="preserve"> </w:t>
      </w:r>
      <w:r>
        <w:t xml:space="preserve">to the between-regime spread (</w:t>
      </w:r>
      <w:r>
        <w:rPr>
          <w:rStyle w:val="VerbatimChar"/>
        </w:rPr>
        <w:t xml:space="preserve">liquid_metal_activated</w:t>
      </w:r>
      <w:r>
        <w:t xml:space="preserve"> </w:t>
      </w:r>
      <w:r>
        <w:t xml:space="preserve">alone spans</w:t>
      </w:r>
      <w:r>
        <w:t xml:space="preserve"> </w:t>
      </w:r>
      <m:oMath>
        <m:r>
          <m:t>8.5</m:t>
        </m:r>
      </m:oMath>
      <w:r>
        <w:t xml:space="preserve">–</w:t>
      </w:r>
      <m:oMath>
        <m:r>
          <m:t>58</m:t>
        </m:r>
      </m:oMath>
      <w:r>
        <w:t xml:space="preserve"> kJ mol</w:t>
      </w:r>
      <m:oMath>
        <m:sSup>
          <m:e>
            <m:r>
              <m:t>​</m:t>
            </m:r>
          </m:e>
          <m:sup>
            <m:r>
              <m:rPr>
                <m:sty m:val="p"/>
              </m:rPr>
              <m:t>−</m:t>
            </m:r>
            <m:r>
              <m:t>1</m:t>
            </m:r>
          </m:sup>
        </m:sSup>
      </m:oMath>
      <w:r>
        <w:t xml:space="preserve">).</w:t>
      </w:r>
    </w:p>
    <w:bookmarkEnd w:id="55"/>
    <w:bookmarkStart w:id="59" w:name="fig:particle"/>
    <w:p>
      <w:pPr>
        <w:pStyle w:val="CaptionedFigure"/>
      </w:pPr>
      <w:r>
        <w:drawing>
          <wp:inline>
            <wp:extent cx="3111500" cy="2324100"/>
            <wp:effectExtent b="0" l="0" r="0" t="0"/>
            <wp:docPr descr="" title="" id="57" name="Picture"/>
            <a:graphic>
              <a:graphicData uri="http://schemas.openxmlformats.org/drawingml/2006/picture">
                <pic:pic>
                  <pic:nvPicPr>
                    <pic:cNvPr descr="fig3_particle_size_consistency.pdf" id="58" name="Picture"/>
                    <pic:cNvPicPr>
                      <a:picLocks noChangeArrowheads="1" noChangeAspect="1"/>
                    </pic:cNvPicPr>
                  </pic:nvPicPr>
                  <pic:blipFill>
                    <a:blip r:embed="rId56"/>
                    <a:stretch>
                      <a:fillRect/>
                    </a:stretch>
                  </pic:blipFill>
                  <pic:spPr bwMode="auto">
                    <a:xfrm>
                      <a:off x="0" y="0"/>
                      <a:ext cx="3111500" cy="2324100"/>
                    </a:xfrm>
                    <a:prstGeom prst="rect">
                      <a:avLst/>
                    </a:prstGeom>
                    <a:noFill/>
                    <a:ln w="9525">
                      <a:noFill/>
                      <a:headEnd/>
                      <a:tailEnd/>
                    </a:ln>
                  </pic:spPr>
                </pic:pic>
              </a:graphicData>
            </a:graphic>
          </wp:inline>
        </w:drawing>
      </w:r>
    </w:p>
    <w:p>
      <w:pPr>
        <w:pStyle w:val="ImageCaption"/>
      </w:pPr>
      <w:r>
        <w:rPr>
          <w:b/>
          <w:bCs/>
        </w:rPr>
        <w:t xml:space="preserve">The flagship particle-size contradiction is internally consistent.</w:t>
      </w:r>
      <w:r>
        <w:t xml:space="preserve"> </w:t>
      </w:r>
      <w:r>
        <w:t xml:space="preserve">Raw</w:t>
      </w:r>
      <w:r>
        <w:t xml:space="preserve"> </w:t>
      </w:r>
      <m:oMath>
        <m:r>
          <m:rPr>
            <m:sty m:val="p"/>
          </m:rPr>
          <m:t>(</m:t>
        </m:r>
        <m:sSub>
          <m:e>
            <m:r>
              <m:t>D</m:t>
            </m:r>
          </m:e>
          <m:sub>
            <m:r>
              <m:t>50</m:t>
            </m:r>
          </m:sub>
        </m:sSub>
        <m:r>
          <m:rPr>
            <m:sty m:val="p"/>
          </m:rPr>
          <m:t>,</m:t>
        </m:r>
        <m:r>
          <m:rPr>
            <m:nor/>
            <m:sty m:val="p"/>
          </m:rPr>
          <m:t>yield</m:t>
        </m:r>
        <m:r>
          <m:rPr>
            <m:sty m:val="p"/>
          </m:rPr>
          <m:t>)</m:t>
        </m:r>
      </m:oMath>
      <w:r>
        <w:t xml:space="preserve"> </w:t>
      </w:r>
      <w:r>
        <w:t xml:space="preserve">points per study (log</w:t>
      </w:r>
      <w:r>
        <w:t xml:space="preserve"> </w:t>
      </w:r>
      <m:oMath>
        <m:r>
          <m:t>x</m:t>
        </m:r>
      </m:oMath>
      <w:r>
        <w:t xml:space="preserve">) with a robust Theil–Sen trend line; the</w:t>
      </w:r>
      <w:r>
        <w:t xml:space="preserve"> </w:t>
      </w:r>
      <w:r>
        <w:t xml:space="preserve">per-study Spearman</w:t>
      </w:r>
      <w:r>
        <w:t xml:space="preserve"> </w:t>
      </w:r>
      <m:oMath>
        <m:r>
          <m:t>ρ</m:t>
        </m:r>
      </m:oMath>
      <w:r>
        <w:t xml:space="preserve"> </w:t>
      </w:r>
      <w:r>
        <w:t xml:space="preserve">is in the legend. All</w:t>
      </w:r>
      <w:r>
        <w:t xml:space="preserve"> </w:t>
      </w:r>
      <m:oMath>
        <m:r>
          <m:t>5</m:t>
        </m:r>
        <m:r>
          <m:rPr>
            <m:sty m:val="p"/>
          </m:rPr>
          <m:t>/</m:t>
        </m:r>
        <m:r>
          <m:t>5</m:t>
        </m:r>
      </m:oMath>
      <w:r>
        <w:t xml:space="preserve"> </w:t>
      </w:r>
      <w:r>
        <w:t xml:space="preserve">studies trend negative (smaller particle</w:t>
      </w:r>
      <w:r>
        <w:t xml:space="preserve"> </w:t>
      </w:r>
      <m:oMath>
        <m:r>
          <m:rPr>
            <m:sty m:val="p"/>
          </m:rPr>
          <m:t>⇒</m:t>
        </m:r>
      </m:oMath>
      <w:r>
        <w:t xml:space="preserve"> </w:t>
      </w:r>
      <w:r>
        <w:t xml:space="preserve">higher yield), so the literature-wide</w:t>
      </w:r>
      <w:r>
        <w:t xml:space="preserve"> </w:t>
      </w:r>
      <w:r>
        <w:t xml:space="preserve">“flip”</w:t>
      </w:r>
      <w:r>
        <w:t xml:space="preserve"> </w:t>
      </w:r>
      <w:r>
        <w:t xml:space="preserve">is a cross-study integration</w:t>
      </w:r>
      <w:r>
        <w:t xml:space="preserve"> </w:t>
      </w:r>
      <w:r>
        <w:t xml:space="preserve">artifact, not a within-study sign reversal.</w:t>
      </w:r>
    </w:p>
    <w:bookmarkEnd w:id="59"/>
    <w:bookmarkStart w:id="63" w:name="fig:surface"/>
    <w:p>
      <w:pPr>
        <w:pStyle w:val="CaptionedFigure"/>
      </w:pPr>
      <w:r>
        <w:drawing>
          <wp:inline>
            <wp:extent cx="5067300" cy="2593975"/>
            <wp:effectExtent b="0" l="0" r="0" t="0"/>
            <wp:docPr descr="" title="" id="61" name="Picture"/>
            <a:graphic>
              <a:graphicData uri="http://schemas.openxmlformats.org/drawingml/2006/picture">
                <pic:pic>
                  <pic:nvPicPr>
                    <pic:cNvPr descr="fig6_within_study_surface.pdf" id="62" name="Picture"/>
                    <pic:cNvPicPr>
                      <a:picLocks noChangeArrowheads="1" noChangeAspect="1"/>
                    </pic:cNvPicPr>
                  </pic:nvPicPr>
                  <pic:blipFill>
                    <a:blip r:embed="rId60"/>
                    <a:stretch>
                      <a:fillRect/>
                    </a:stretch>
                  </pic:blipFill>
                  <pic:spPr bwMode="auto">
                    <a:xfrm>
                      <a:off x="0" y="0"/>
                      <a:ext cx="5067300" cy="2593975"/>
                    </a:xfrm>
                    <a:prstGeom prst="rect">
                      <a:avLst/>
                    </a:prstGeom>
                    <a:noFill/>
                    <a:ln w="9525">
                      <a:noFill/>
                      <a:headEnd/>
                      <a:tailEnd/>
                    </a:ln>
                  </pic:spPr>
                </pic:pic>
              </a:graphicData>
            </a:graphic>
          </wp:inline>
        </w:drawing>
      </w:r>
    </w:p>
    <w:p>
      <w:pPr>
        <w:pStyle w:val="ImageCaption"/>
      </w:pPr>
      <w:r>
        <w:rPr>
          <w:b/>
          <w:bCs/>
        </w:rPr>
        <w:t xml:space="preserve">Within a single well-designed study the response is smooth.</w:t>
      </w:r>
      <w:r>
        <w:t xml:space="preserve"> </w:t>
      </w:r>
      <w:r>
        <w:t xml:space="preserve">[6]</w:t>
      </w:r>
      <w:r>
        <w:t xml:space="preserve"> </w:t>
      </w:r>
      <w:r>
        <w:t xml:space="preserve">[6]</w:t>
      </w:r>
      <w:r>
        <w:t xml:space="preserve"> </w:t>
      </w:r>
      <w:r>
        <w:t xml:space="preserve">(NaOH, foil) temperature </w:t>
      </w:r>
      <m:oMath>
        <m:r>
          <m:rPr>
            <m:sty m:val="p"/>
          </m:rPr>
          <m:t>×</m:t>
        </m:r>
      </m:oMath>
      <w:r>
        <w:t xml:space="preserve"> concentration factorial: (a) a 2D contour and (b) the same data</w:t>
      </w:r>
      <w:r>
        <w:t xml:space="preserve"> </w:t>
      </w:r>
      <w:r>
        <w:t xml:space="preserve">as a 3D surface. Within this study the yield rises smoothly and monotonically with both temperature</w:t>
      </w:r>
      <w:r>
        <w:t xml:space="preserve"> </w:t>
      </w:r>
      <w:r>
        <w:t xml:space="preserve">and alkali concentration; within-study data are clean, locating the contradictions in the</w:t>
      </w:r>
      <w:r>
        <w:t xml:space="preserve"> </w:t>
      </w:r>
      <w:r>
        <w:t xml:space="preserve">cross-study integration. (3D shown only here, where the data are an intrinsic response surface, and</w:t>
      </w:r>
      <w:r>
        <w:t xml:space="preserve"> </w:t>
      </w:r>
      <w:r>
        <w:t xml:space="preserve">always with the 2D companion.)</w:t>
      </w:r>
    </w:p>
    <w:bookmarkEnd w:id="63"/>
    <w:bookmarkEnd w:id="64"/>
    <w:bookmarkEnd w:id="65"/>
    <w:bookmarkStart w:id="81" w:name="discussion"/>
    <w:p>
      <w:pPr>
        <w:pStyle w:val="Heading1"/>
      </w:pPr>
      <w:r>
        <w:t xml:space="preserve">Discussion</w:t>
      </w:r>
    </w:p>
    <w:bookmarkStart w:id="66" w:name="what-the-contradictions-are-and-are-not"/>
    <w:p>
      <w:pPr>
        <w:pStyle w:val="Heading2"/>
      </w:pPr>
      <w:r>
        <w:t xml:space="preserve">What the contradictions are, and are not</w:t>
      </w:r>
    </w:p>
    <w:p>
      <w:pPr>
        <w:pStyle w:val="FirstParagraph"/>
      </w:pPr>
      <w:r>
        <w:t xml:space="preserve">Taken together, the results support a single claim: the apparent inter-study contradictions</w:t>
      </w:r>
      <w:r>
        <w:t xml:space="preserve"> </w:t>
      </w:r>
      <w:r>
        <w:t xml:space="preserve">in aluminum–water hydrolysis are</w:t>
      </w:r>
      <w:r>
        <w:t xml:space="preserve"> </w:t>
      </w:r>
      <w:r>
        <w:rPr>
          <w:i/>
          <w:iCs/>
        </w:rPr>
        <w:t xml:space="preserve">predominantly methodological</w:t>
      </w:r>
      <w:r>
        <w:t xml:space="preserve"> </w:t>
      </w:r>
      <w:r>
        <w:t xml:space="preserve">(though this attribution is observational and</w:t>
      </w:r>
      <w:r>
        <w:t xml:space="preserve"> </w:t>
      </w:r>
      <w:r>
        <w:t xml:space="preserve">may partly reflect unmeasured study-level factors). Naive pooling</w:t>
      </w:r>
      <w:r>
        <w:t xml:space="preserve"> </w:t>
      </w:r>
      <w:r>
        <w:t xml:space="preserve">overstates predictability by</w:t>
      </w:r>
      <w:r>
        <w:t xml:space="preserve"> </w:t>
      </w:r>
      <m:oMath>
        <m:r>
          <m:t>0.62</m:t>
        </m:r>
      </m:oMath>
      <w:r>
        <w:t xml:space="preserve">–</w:t>
      </w:r>
      <m:oMath>
        <m:r>
          <m:t>0.85</m:t>
        </m:r>
      </m:oMath>
      <w:r>
        <w:t xml:space="preserve"> </w:t>
      </w:r>
      <w:r>
        <w:t xml:space="preserve">in</w:t>
      </w:r>
      <w:r>
        <w:t xml:space="preserve"> </w:t>
      </w:r>
      <m:oMath>
        <m:sSup>
          <m:e>
            <m:r>
              <m:t>R</m:t>
            </m:r>
          </m:e>
          <m:sup>
            <m:r>
              <m:t>2</m:t>
            </m:r>
          </m:sup>
        </m:sSup>
      </m:oMath>
      <w:r>
        <w:t xml:space="preserve">; the physico-chemical regime label</w:t>
      </w:r>
      <w:r>
        <w:t xml:space="preserve"> </w:t>
      </w:r>
      <w:r>
        <w:t xml:space="preserve">explains</w:t>
      </w:r>
      <w:r>
        <w:t xml:space="preserve"> </w:t>
      </w:r>
      <m:oMath>
        <m:r>
          <m:rPr>
            <m:sty m:val="p"/>
          </m:rPr>
          <m:t>≈</m:t>
        </m:r>
        <m:r>
          <m:t>​</m:t>
        </m:r>
        <m:r>
          <m:t>2</m:t>
        </m:r>
        <m:r>
          <m:rPr>
            <m:sty m:val="p"/>
          </m:rPr>
          <m:t>%</m:t>
        </m:r>
      </m:oMath>
      <w:r>
        <w:t xml:space="preserve"> </w:t>
      </w:r>
      <w:r>
        <w:t xml:space="preserve">of between-study yield variance while methodological covariates</w:t>
      </w:r>
      <w:r>
        <w:t xml:space="preserve"> </w:t>
      </w:r>
      <w:r>
        <w:t xml:space="preserve">explain</w:t>
      </w:r>
      <w:r>
        <w:t xml:space="preserve"> </w:t>
      </w:r>
      <m:oMath>
        <m:r>
          <m:rPr>
            <m:sty m:val="p"/>
          </m:rPr>
          <m:t>≈</m:t>
        </m:r>
        <m:r>
          <m:t>​</m:t>
        </m:r>
        <m:r>
          <m:t>72</m:t>
        </m:r>
        <m:r>
          <m:rPr>
            <m:sty m:val="p"/>
          </m:rPr>
          <m:t>%</m:t>
        </m:r>
      </m:oMath>
      <w:r>
        <w:t xml:space="preserve">; the flagship particle-size contradiction dissolves. The practical</w:t>
      </w:r>
      <w:r>
        <w:t xml:space="preserve"> </w:t>
      </w:r>
      <w:r>
        <w:t xml:space="preserve">implication is direct: a hydrogen yield reported without its measurement protocol is only</w:t>
      </w:r>
      <w:r>
        <w:t xml:space="preserve"> </w:t>
      </w:r>
      <w:r>
        <w:t xml:space="preserve">weakly comparable across laboratories, and meta-analyses that pool raw yields inherit</w:t>
      </w:r>
      <w:r>
        <w:t xml:space="preserve"> </w:t>
      </w:r>
      <w:r>
        <w:t xml:space="preserve">methodological variance as if it were chemistry.</w:t>
      </w:r>
    </w:p>
    <w:p>
      <w:pPr>
        <w:pStyle w:val="BodyText"/>
      </w:pPr>
      <w:r>
        <w:t xml:space="preserve">These two analyses are complementary, not competing. The between-study variance</w:t>
      </w:r>
      <w:r>
        <w:t xml:space="preserve"> </w:t>
      </w:r>
      <w:r>
        <w:t xml:space="preserve">decomposition (T_B) is a study-level regression (</w:t>
      </w:r>
      <m:oMath>
        <m:r>
          <m:t>n</m:t>
        </m:r>
        <m:r>
          <m:t>​</m:t>
        </m:r>
        <m:r>
          <m:rPr>
            <m:sty m:val="p"/>
          </m:rPr>
          <m:t>=</m:t>
        </m:r>
        <m:r>
          <m:t>​</m:t>
        </m:r>
        <m:r>
          <m:t>31</m:t>
        </m:r>
      </m:oMath>
      <w:r>
        <w:t xml:space="preserve"> </w:t>
      </w:r>
      <w:r>
        <w:t xml:space="preserve">aggregated study rows) that</w:t>
      </w:r>
      <w:r>
        <w:t xml:space="preserve"> </w:t>
      </w:r>
      <w:r>
        <w:t xml:space="preserve">attributes study-mean yield differences to study-level covariates. The mixed-effects</w:t>
      </w:r>
      <w:r>
        <w:t xml:space="preserve"> </w:t>
      </w:r>
      <w:r>
        <w:t xml:space="preserve">meta-regression (H2) operates on row-level data (</w:t>
      </w:r>
      <m:oMath>
        <m:r>
          <m:t>n</m:t>
        </m:r>
        <m:r>
          <m:t>​</m:t>
        </m:r>
        <m:r>
          <m:rPr>
            <m:sty m:val="p"/>
          </m:rPr>
          <m:t>=</m:t>
        </m:r>
        <m:r>
          <m:t>​</m:t>
        </m:r>
        <m:r>
          <m:t>299</m:t>
        </m:r>
      </m:oMath>
      <w:r>
        <w:t xml:space="preserve">) with a random intercept</w:t>
      </w:r>
      <w:r>
        <w:t xml:space="preserve"> </w:t>
      </w:r>
      <w:r>
        <w:t xml:space="preserve">per study: that intercept absorbs all unmeasured between-study heterogeneity, including</w:t>
      </w:r>
      <w:r>
        <w:t xml:space="preserve"> </w:t>
      </w:r>
      <w:r>
        <w:t xml:space="preserve">methodology and study identity together, leaving regime as the sole tested fixed effect.</w:t>
      </w:r>
      <w:r>
        <w:t xml:space="preserve"> </w:t>
      </w:r>
      <w:r>
        <w:t xml:space="preserve">The variance decomposition answers</w:t>
      </w:r>
      <w:r>
        <w:t xml:space="preserve"> </w:t>
      </w:r>
      <w:r>
        <w:t xml:space="preserve">“what covariates explain why studies differ?”</w:t>
      </w:r>
      <w:r>
        <w:t xml:space="preserve">; the</w:t>
      </w:r>
      <w:r>
        <w:t xml:space="preserve"> </w:t>
      </w:r>
      <w:r>
        <w:t xml:space="preserve">mixed-effects model answers</w:t>
      </w:r>
      <w:r>
        <w:t xml:space="preserve"> </w:t>
      </w:r>
      <w:r>
        <w:t xml:space="preserve">“does regime moderate yield, after attributing all other</w:t>
      </w:r>
      <w:r>
        <w:t xml:space="preserve"> </w:t>
      </w:r>
      <w:r>
        <w:t xml:space="preserve">between-study variation to a random effect?”</w:t>
      </w:r>
      <w:r>
        <w:t xml:space="preserve"> </w:t>
      </w:r>
      <w:r>
        <w:t xml:space="preserve">Both reach the same conclusion: the</w:t>
      </w:r>
      <w:r>
        <w:t xml:space="preserve"> </w:t>
      </w:r>
      <w:r>
        <w:t xml:space="preserve">physico-chemical regime label carries weak explanatory power relative to study-level</w:t>
      </w:r>
      <w:r>
        <w:t xml:space="preserve"> </w:t>
      </w:r>
      <w:r>
        <w:t xml:space="preserve">methodological choices.</w:t>
      </w:r>
    </w:p>
    <w:p>
      <w:pPr>
        <w:pStyle w:val="BodyText"/>
      </w:pPr>
      <w:r>
        <w:t xml:space="preserve">Naming the specific apparent contradictions helps calibrate the claim. For activation</w:t>
      </w:r>
      <w:r>
        <w:t xml:space="preserve"> </w:t>
      </w:r>
      <w:r>
        <w:t xml:space="preserve">energy, the most striking contrast in the liquid-metal regime is between</w:t>
      </w:r>
      <w:r>
        <w:t xml:space="preserve"> </w:t>
      </w:r>
      <w:r>
        <w:t xml:space="preserve">[1]</w:t>
      </w:r>
      <w:r>
        <w:t xml:space="preserve"> </w:t>
      </w:r>
      <w:r>
        <w:t xml:space="preserve">[1]</w:t>
      </w:r>
      <w:r>
        <w:t xml:space="preserve"> </w:t>
      </w:r>
      <w:r>
        <w:t xml:space="preserve">(</w:t>
      </w:r>
      <m:oMath>
        <m:sSub>
          <m:e>
            <m:r>
              <m:t>E</m:t>
            </m:r>
          </m:e>
          <m:sub>
            <m:r>
              <m:rPr>
                <m:sty m:val="p"/>
              </m:rPr>
              <m:t>a</m:t>
            </m:r>
          </m:sub>
        </m:sSub>
        <m:r>
          <m:t>​</m:t>
        </m:r>
        <m:r>
          <m:rPr>
            <m:sty m:val="p"/>
          </m:rPr>
          <m:t>=</m:t>
        </m:r>
        <m:r>
          <m:t>​</m:t>
        </m:r>
        <m:r>
          <m:t>8.5</m:t>
        </m:r>
      </m:oMath>
      <w:r>
        <w:t xml:space="preserve"> kJ mol</w:t>
      </w:r>
      <m:oMath>
        <m:sSup>
          <m:e>
            <m:r>
              <m:t>​</m:t>
            </m:r>
          </m:e>
          <m:sup>
            <m:r>
              <m:rPr>
                <m:sty m:val="p"/>
              </m:rPr>
              <m:t>−</m:t>
            </m:r>
            <m:r>
              <m:t>1</m:t>
            </m:r>
          </m:sup>
        </m:sSup>
      </m:oMath>
      <w:r>
        <w:t xml:space="preserve">,</w:t>
      </w:r>
      <w:r>
        <w:t xml:space="preserve"> </w:t>
      </w:r>
      <w:r>
        <w:t xml:space="preserve">Ga–In eutectic, peak-rate proxy) and</w:t>
      </w:r>
      <w:r>
        <w:t xml:space="preserve"> </w:t>
      </w:r>
      <w:r>
        <w:t xml:space="preserve">[2]</w:t>
      </w:r>
      <w:r>
        <w:t xml:space="preserve"> </w:t>
      </w:r>
      <w:r>
        <w:t xml:space="preserve">[2]</w:t>
      </w:r>
      <w:r>
        <w:t xml:space="preserve"> </w:t>
      </w:r>
      <w:r>
        <w:t xml:space="preserve">(</w:t>
      </w:r>
      <m:oMath>
        <m:sSub>
          <m:e>
            <m:r>
              <m:t>E</m:t>
            </m:r>
          </m:e>
          <m:sub>
            <m:r>
              <m:rPr>
                <m:sty m:val="p"/>
              </m:rPr>
              <m:t>a</m:t>
            </m:r>
          </m:sub>
        </m:sSub>
        <m:r>
          <m:t>​</m:t>
        </m:r>
        <m:r>
          <m:rPr>
            <m:sty m:val="p"/>
          </m:rPr>
          <m:t>=</m:t>
        </m:r>
        <m:r>
          <m:t>​</m:t>
        </m:r>
        <m:r>
          <m:t>58.0</m:t>
        </m:r>
      </m:oMath>
      <w:r>
        <w:t xml:space="preserve"> kJ mol</w:t>
      </w:r>
      <m:oMath>
        <m:sSup>
          <m:e>
            <m:r>
              <m:t>​</m:t>
            </m:r>
          </m:e>
          <m:sup>
            <m:r>
              <m:rPr>
                <m:sty m:val="p"/>
              </m:rPr>
              <m:t>−</m:t>
            </m:r>
            <m:r>
              <m:t>1</m:t>
            </m:r>
          </m:sup>
        </m:sSup>
      </m:oMath>
      <w:r>
        <w:t xml:space="preserve">, Ga in KOH, tabulated rate): both are</w:t>
      </w:r>
      <w:r>
        <w:t xml:space="preserve"> </w:t>
      </w:r>
      <w:r>
        <w:t xml:space="preserve">liquid-metal-activated systems, yet they differ by nearly sevenfold. Our analysis does</w:t>
      </w:r>
      <w:r>
        <w:t xml:space="preserve"> </w:t>
      </w:r>
      <w:r>
        <w:t xml:space="preserve">not resolve whether this reflects different Ga/In loading, different activation proxies</w:t>
      </w:r>
      <w:r>
        <w:t xml:space="preserve"> </w:t>
      </w:r>
      <w:r>
        <w:t xml:space="preserve">(peak rate vs. initial rate), or different surface geometries; it demonstrates that the</w:t>
      </w:r>
      <w:r>
        <w:t xml:space="preserve"> </w:t>
      </w:r>
      <w:r>
        <w:t xml:space="preserve">current</w:t>
      </w:r>
      <w:r>
        <w:t xml:space="preserve"> </w:t>
      </w:r>
      <w:r>
        <w:t xml:space="preserve">“liquid_metal_activated”</w:t>
      </w:r>
      <w:r>
        <w:t xml:space="preserve"> </w:t>
      </w:r>
      <w:r>
        <w:t xml:space="preserve">label is too coarse to resolve this.</w:t>
      </w:r>
      <w:r>
        <w:t xml:space="preserve"> </w:t>
      </w:r>
      <w:r>
        <w:t xml:space="preserve">For particle size, cross-study comparisons are misleading because studies compare</w:t>
      </w:r>
      <w:r>
        <w:t xml:space="preserve"> </w:t>
      </w:r>
      <w:r>
        <w:t xml:space="preserve">incompatible size windows: one laboratory’s</w:t>
      </w:r>
      <w:r>
        <w:t xml:space="preserve"> </w:t>
      </w:r>
      <w:r>
        <w:t xml:space="preserve">“fine”</w:t>
      </w:r>
      <w:r>
        <w:t xml:space="preserve"> </w:t>
      </w:r>
      <w:r>
        <w:t xml:space="preserve">particles are another’s standard</w:t>
      </w:r>
      <w:r>
        <w:t xml:space="preserve"> </w:t>
      </w:r>
      <w:r>
        <w:t xml:space="preserve">size, and different regimes are mixed when averaging across studies. Within each of the</w:t>
      </w:r>
      <w:r>
        <w:t xml:space="preserve"> </w:t>
      </w:r>
      <w:r>
        <w:t xml:space="preserve">five studies that vary particle size, the effect is consistent and negative (smaller</w:t>
      </w:r>
      <w:r>
        <w:t xml:space="preserve"> </w:t>
      </w:r>
      <m:oMath>
        <m:r>
          <m:rPr>
            <m:sty m:val="p"/>
          </m:rPr>
          <m:t>→</m:t>
        </m:r>
      </m:oMath>
      <w:r>
        <w:t xml:space="preserve"> </w:t>
      </w:r>
      <w:r>
        <w:t xml:space="preserve">higher yield; Spearman</w:t>
      </w:r>
      <w:r>
        <w:t xml:space="preserve"> </w:t>
      </w:r>
      <m:oMath>
        <m:r>
          <m:t>ρ</m:t>
        </m:r>
        <m:r>
          <m:t>​</m:t>
        </m:r>
        <m:r>
          <m:rPr>
            <m:sty m:val="p"/>
          </m:rPr>
          <m:t>=</m:t>
        </m:r>
        <m:r>
          <m:t>​</m:t>
        </m:r>
        <m:r>
          <m:rPr>
            <m:sty m:val="p"/>
          </m:rPr>
          <m:t>−</m:t>
        </m:r>
        <m:r>
          <m:t>0.29</m:t>
        </m:r>
      </m:oMath>
      <w:r>
        <w:t xml:space="preserve"> </w:t>
      </w:r>
      <w:r>
        <w:t xml:space="preserve">to</w:t>
      </w:r>
      <w:r>
        <w:t xml:space="preserve"> </w:t>
      </w:r>
      <m:oMath>
        <m:r>
          <m:rPr>
            <m:sty m:val="p"/>
          </m:rPr>
          <m:t>−</m:t>
        </m:r>
        <m:r>
          <m:t>0.87</m:t>
        </m:r>
      </m:oMath>
      <w:r>
        <w:t xml:space="preserve"> </w:t>
      </w:r>
      <w:r>
        <w:t xml:space="preserve">in</w:t>
      </w:r>
      <w:r>
        <w:t xml:space="preserve"> </w:t>
      </w:r>
      <w:r>
        <w:t xml:space="preserve">[3–6,11]</w:t>
      </w:r>
      <w:r>
        <w:t xml:space="preserve">). The apparent cross-study flip is</w:t>
      </w:r>
      <w:r>
        <w:t xml:space="preserve"> </w:t>
      </w:r>
      <w:r>
        <w:t xml:space="preserve">thus an artifact of comparing different experimental windows, not a genuine physics</w:t>
      </w:r>
      <w:r>
        <w:t xml:space="preserve"> </w:t>
      </w:r>
      <w:r>
        <w:t xml:space="preserve">disagreement.</w:t>
      </w:r>
    </w:p>
    <w:bookmarkEnd w:id="66"/>
    <w:bookmarkStart w:id="67" w:name="X29a7779cf6ebe8afd89d374ffa8d5876dc81c96"/>
    <w:p>
      <w:pPr>
        <w:pStyle w:val="Heading2"/>
      </w:pPr>
      <w:r>
        <w:t xml:space="preserve">Why pooling fails: the cross-study evidence in context</w:t>
      </w:r>
    </w:p>
    <w:p>
      <w:pPr>
        <w:pStyle w:val="FirstParagraph"/>
      </w:pPr>
      <w:r>
        <w:t xml:space="preserve">The scale of the optimism gap (</w:t>
      </w:r>
      <m:oMath>
        <m:r>
          <m:t>0.62</m:t>
        </m:r>
      </m:oMath>
      <w:r>
        <w:t xml:space="preserve">–</w:t>
      </w:r>
      <m:oMath>
        <m:r>
          <m:t>0.85</m:t>
        </m:r>
      </m:oMath>
      <w:r>
        <w:t xml:space="preserve">) is consistent with what has been found</w:t>
      </w:r>
      <w:r>
        <w:t xml:space="preserve"> </w:t>
      </w:r>
      <w:r>
        <w:t xml:space="preserve">when grouped cross-validation is applied to other domains with hidden group structure</w:t>
      </w:r>
      <w:r>
        <w:t xml:space="preserve"> </w:t>
      </w:r>
      <w:r>
        <w:t xml:space="preserve">[35,36]</w:t>
      </w:r>
      <w:r>
        <w:t xml:space="preserve">. The closest published analogues for hydrogen generation</w:t>
      </w:r>
      <w:r>
        <w:t xml:space="preserve"> </w:t>
      </w:r>
      <w:r>
        <w:t xml:space="preserve">are the interlaboratory round-robin comparisons for MgH</w:t>
      </w:r>
      <m:oMath>
        <m:sSub>
          <m:e>
            <m:r>
              <m:t>​</m:t>
            </m:r>
          </m:e>
          <m:sub>
            <m:r>
              <m:t>2</m:t>
            </m:r>
          </m:sub>
        </m:sSub>
      </m:oMath>
      <w:r>
        <w:t xml:space="preserve"> </w:t>
      </w:r>
      <w:r>
        <w:t xml:space="preserve">storage</w:t>
      </w:r>
      <w:r>
        <w:t xml:space="preserve"> </w:t>
      </w:r>
      <w:r>
        <w:t xml:space="preserve">[44]</w:t>
      </w:r>
      <w:r>
        <w:t xml:space="preserve"> </w:t>
      </w:r>
      <w:r>
        <w:t xml:space="preserve">and</w:t>
      </w:r>
      <w:r>
        <w:t xml:space="preserve"> </w:t>
      </w:r>
      <w:r>
        <w:t xml:space="preserve">biohydrogen fermentation</w:t>
      </w:r>
      <w:r>
        <w:t xml:space="preserve"> </w:t>
      </w:r>
      <w:r>
        <w:t xml:space="preserve">[45]</w:t>
      </w:r>
      <w:r>
        <w:t xml:space="preserve">: in both cases, identical</w:t>
      </w:r>
      <w:r>
        <w:t xml:space="preserve"> </w:t>
      </w:r>
      <w:r>
        <w:t xml:space="preserve">“conditions”</w:t>
      </w:r>
      <w:r>
        <w:t xml:space="preserve"> </w:t>
      </w:r>
      <w:r>
        <w:t xml:space="preserve">in</w:t>
      </w:r>
      <w:r>
        <w:t xml:space="preserve"> </w:t>
      </w:r>
      <w:r>
        <w:t xml:space="preserve">different laboratories produced yields spanning roughly twofold, with the spread traced</w:t>
      </w:r>
      <w:r>
        <w:t xml:space="preserve"> </w:t>
      </w:r>
      <w:r>
        <w:t xml:space="preserve">primarily to measurement and protocol choices rather than to genuine material differences.</w:t>
      </w:r>
      <w:r>
        <w:t xml:space="preserve"> </w:t>
      </w:r>
      <w:r>
        <w:t xml:space="preserve">The present result, that measurement apparatus alone explains</w:t>
      </w:r>
      <w:r>
        <w:t xml:space="preserve"> </w:t>
      </w:r>
      <m:oMath>
        <m:r>
          <m:t>43</m:t>
        </m:r>
        <m:r>
          <m:rPr>
            <m:sty m:val="p"/>
          </m:rPr>
          <m:t>%</m:t>
        </m:r>
      </m:oMath>
      <w:r>
        <w:t xml:space="preserve"> </w:t>
      </w:r>
      <w:r>
        <w:t xml:space="preserve">and temperature</w:t>
      </w:r>
      <w:r>
        <w:t xml:space="preserve"> </w:t>
      </w:r>
      <w:r>
        <w:t xml:space="preserve">control explains</w:t>
      </w:r>
      <w:r>
        <w:t xml:space="preserve"> </w:t>
      </w:r>
      <m:oMath>
        <m:r>
          <m:t>8</m:t>
        </m:r>
        <m:r>
          <m:rPr>
            <m:sty m:val="p"/>
          </m:rPr>
          <m:t>%</m:t>
        </m:r>
      </m:oMath>
      <w:r>
        <w:t xml:space="preserve"> </w:t>
      </w:r>
      <w:r>
        <w:t xml:space="preserve">of between-study yield variance in aluminum hydrolysis, places</w:t>
      </w:r>
      <w:r>
        <w:t xml:space="preserve"> </w:t>
      </w:r>
      <w:r>
        <w:t xml:space="preserve">this field in the same category. The</w:t>
      </w:r>
      <w:r>
        <w:t xml:space="preserve"> </w:t>
      </w:r>
      <w:r>
        <w:t xml:space="preserve">leakage-controlled benchmark we release is designed to let future modeling efforts detect</w:t>
      </w:r>
      <w:r>
        <w:t xml:space="preserve"> </w:t>
      </w:r>
      <w:r>
        <w:t xml:space="preserve">the same failure mode: any model that achieves positive grouped</w:t>
      </w:r>
      <w:r>
        <w:t xml:space="preserve"> </w:t>
      </w:r>
      <m:oMath>
        <m:sSup>
          <m:e>
            <m:r>
              <m:t>R</m:t>
            </m:r>
          </m:e>
          <m:sup>
            <m:r>
              <m:t>2</m:t>
            </m:r>
          </m:sup>
        </m:sSup>
      </m:oMath>
      <w:r>
        <w:t xml:space="preserve"> </w:t>
      </w:r>
      <w:r>
        <w:t xml:space="preserve">on the provided</w:t>
      </w:r>
      <w:r>
        <w:t xml:space="preserve"> </w:t>
      </w:r>
      <w:r>
        <w:t xml:space="preserve">corpus under the study-grouped split would represent genuine cross-study generalization</w:t>
      </w:r>
      <w:r>
        <w:t xml:space="preserve"> </w:t>
      </w:r>
      <w:r>
        <w:t xml:space="preserve">beyond what the current literature supports.</w:t>
      </w:r>
    </w:p>
    <w:bookmarkEnd w:id="67"/>
    <w:bookmarkStart w:id="68" w:name="physics-is-not-absent"/>
    <w:p>
      <w:pPr>
        <w:pStyle w:val="Heading2"/>
      </w:pPr>
      <w:r>
        <w:t xml:space="preserve">Physics is not absent</w:t>
      </w:r>
    </w:p>
    <w:p>
      <w:pPr>
        <w:pStyle w:val="FirstParagraph"/>
      </w:pPr>
      <w:r>
        <w:t xml:space="preserve">“Predominantly methodological”</w:t>
      </w:r>
      <w:r>
        <w:t xml:space="preserve"> </w:t>
      </w:r>
      <w:r>
        <w:t xml:space="preserve">is not</w:t>
      </w:r>
      <w:r>
        <w:t xml:space="preserve"> </w:t>
      </w:r>
      <w:r>
        <w:t xml:space="preserve">“purely methodological.”</w:t>
      </w:r>
      <w:r>
        <w:t xml:space="preserve"> </w:t>
      </w:r>
      <w:r>
        <w:t xml:space="preserve">The regime label is</w:t>
      </w:r>
      <w:r>
        <w:t xml:space="preserve"> </w:t>
      </w:r>
      <w:r>
        <w:t xml:space="preserve">coarse; finer, particle-size-dependent kinetics (tunable between nano- and</w:t>
      </w:r>
      <w:r>
        <w:t xml:space="preserve"> </w:t>
      </w:r>
      <w:r>
        <w:t xml:space="preserve">micro-aluminium powders) genuinely shape the reaction</w:t>
      </w:r>
      <w:r>
        <w:t xml:space="preserve"> </w:t>
      </w:r>
      <w:r>
        <w:t xml:space="preserve">[58]</w:t>
      </w:r>
      <w:r>
        <w:t xml:space="preserve">, and such</w:t>
      </w:r>
      <w:r>
        <w:t xml:space="preserve"> </w:t>
      </w:r>
      <w:r>
        <w:t xml:space="preserve">physics operates</w:t>
      </w:r>
      <w:r>
        <w:t xml:space="preserve"> </w:t>
      </w:r>
      <w:r>
        <w:rPr>
          <w:i/>
          <w:iCs/>
        </w:rPr>
        <w:t xml:space="preserve">within</w:t>
      </w:r>
      <w:r>
        <w:t xml:space="preserve"> </w:t>
      </w:r>
      <w:r>
        <w:t xml:space="preserve">studies, below the resolution of a five-level label and</w:t>
      </w:r>
      <w:r>
        <w:t xml:space="preserve"> </w:t>
      </w:r>
      <w:r>
        <w:t xml:space="preserve">partly absorbed into the methodological covariates with which it co-varies. Incremental</w:t>
      </w:r>
      <w:r>
        <w:t xml:space="preserve"> </w:t>
      </w:r>
      <w:r>
        <w:t xml:space="preserve">regime variance (</w:t>
      </w:r>
      <m:oMath>
        <m:r>
          <m:rPr>
            <m:sty m:val="p"/>
          </m:rPr>
          <m:t>+</m:t>
        </m:r>
        <m:r>
          <m:t>0.15</m:t>
        </m:r>
      </m:oMath>
      <w:r>
        <w:t xml:space="preserve"> </w:t>
      </w:r>
      <w:r>
        <w:t xml:space="preserve">after controlling for method) is nonzero, though its precise</w:t>
      </w:r>
      <w:r>
        <w:t xml:space="preserve"> </w:t>
      </w:r>
      <w:r>
        <w:t xml:space="preserve">magnitude cannot be established reliably at</w:t>
      </w:r>
      <w:r>
        <w:t xml:space="preserve"> </w:t>
      </w:r>
      <m:oMath>
        <m:r>
          <m:t>n</m:t>
        </m:r>
        <m:r>
          <m:t>​</m:t>
        </m:r>
        <m:r>
          <m:rPr>
            <m:sty m:val="p"/>
          </m:rPr>
          <m:t>=</m:t>
        </m:r>
        <m:r>
          <m:t>​</m:t>
        </m:r>
        <m:r>
          <m:t>31</m:t>
        </m:r>
      </m:oMath>
      <w:r>
        <w:t xml:space="preserve"> </w:t>
      </w:r>
      <w:r>
        <w:t xml:space="preserve">studies.</w:t>
      </w:r>
      <w:r>
        <w:t xml:space="preserve"> </w:t>
      </w:r>
      <w:r>
        <w:t xml:space="preserve">Our attribution is also observational: because methodology is largely a study-level</w:t>
      </w:r>
      <w:r>
        <w:t xml:space="preserve"> </w:t>
      </w:r>
      <w:r>
        <w:t xml:space="preserve">attribute, the temperature-control association could be partly confounded with other</w:t>
      </w:r>
      <w:r>
        <w:t xml:space="preserve"> </w:t>
      </w:r>
      <w:r>
        <w:t xml:space="preserve">unmeasured study-level choices (principal investigator laboratory practice, instrument</w:t>
      </w:r>
      <w:r>
        <w:t xml:space="preserve"> </w:t>
      </w:r>
      <w:r>
        <w:t xml:space="preserve">calibration, student experience). We state the finding associationally and quantify,</w:t>
      </w:r>
      <w:r>
        <w:t xml:space="preserve"> </w:t>
      </w:r>
      <w:r>
        <w:t xml:space="preserve">rather than assert, its robustness.</w:t>
      </w:r>
    </w:p>
    <w:bookmarkEnd w:id="68"/>
    <w:bookmarkStart w:id="70" w:name="a-minimum-information-reporting-standard"/>
    <w:p>
      <w:pPr>
        <w:pStyle w:val="Heading2"/>
      </w:pPr>
      <w:r>
        <w:t xml:space="preserve">A minimum-information reporting standard</w:t>
      </w:r>
    </w:p>
    <w:p>
      <w:pPr>
        <w:pStyle w:val="FirstParagraph"/>
      </w:pPr>
      <w:r>
        <w:t xml:space="preserve">The remedy is standardization. Table </w:t>
      </w:r>
      <w:hyperlink w:anchor="tab:mireport">
        <w:r>
          <w:rPr>
            <w:rStyle w:val="Hyperlink"/>
          </w:rPr>
          <w:t xml:space="preserve">6</w:t>
        </w:r>
      </w:hyperlink>
      <w:r>
        <w:t xml:space="preserve"> </w:t>
      </w:r>
      <w:r>
        <w:t xml:space="preserve">lists the minimum information</w:t>
      </w:r>
      <w:r>
        <w:t xml:space="preserve"> </w:t>
      </w:r>
      <w:r>
        <w:t xml:space="preserve">needed to interpret a hydrogen yield across laboratories. The ordering reflects the</w:t>
      </w:r>
      <w:r>
        <w:t xml:space="preserve"> </w:t>
      </w:r>
      <w:r>
        <w:t xml:space="preserve">between-study variance contribution each field carried in our analysis: measurement</w:t>
      </w:r>
      <w:r>
        <w:t xml:space="preserve"> </w:t>
      </w:r>
      <w:r>
        <w:t xml:space="preserve">apparatus is listed first because it was the single largest source (</w:t>
      </w:r>
      <m:oMath>
        <m:sSup>
          <m:e>
            <m:r>
              <m:t>R</m:t>
            </m:r>
          </m:e>
          <m:sup>
            <m:r>
              <m:t>2</m:t>
            </m:r>
          </m:sup>
        </m:sSup>
        <m:r>
          <m:t>​</m:t>
        </m:r>
        <m:r>
          <m:rPr>
            <m:sty m:val="p"/>
          </m:rPr>
          <m:t>=</m:t>
        </m:r>
        <m:r>
          <m:t>​</m:t>
        </m:r>
        <m:r>
          <m:t>0.43</m:t>
        </m:r>
      </m:oMath>
      <w:r>
        <w:t xml:space="preserve">);</w:t>
      </w:r>
      <w:r>
        <w:t xml:space="preserve"> </w:t>
      </w:r>
      <w:r>
        <w:t xml:space="preserve">temperature control and water type follow because they contribute smaller but nonzero</w:t>
      </w:r>
      <w:r>
        <w:t xml:space="preserve"> </w:t>
      </w:r>
      <w:r>
        <w:t xml:space="preserve">shares. The remaining fields (alkali type and concentration, particle size, activation</w:t>
      </w:r>
      <w:r>
        <w:t xml:space="preserve"> </w:t>
      </w:r>
      <w:r>
        <w:t xml:space="preserve">route, yield basis, rate definition) carried detectable but weaker or less-covered</w:t>
      </w:r>
      <w:r>
        <w:t xml:space="preserve"> </w:t>
      </w:r>
      <w:r>
        <w:t xml:space="preserve">signal here, yet they are practically essential for reproducibility. Provenance (DOI,</w:t>
      </w:r>
      <w:r>
        <w:t xml:space="preserve"> </w:t>
      </w:r>
      <w:r>
        <w:t xml:space="preserve">condition count, replicate count) is necessary to build cumulative, poolable evidence.</w:t>
      </w:r>
    </w:p>
    <w:p>
      <w:pPr>
        <w:pStyle w:val="BodyText"/>
      </w:pPr>
      <w:r>
        <w:t xml:space="preserve">This template is modelled on reporting standards that successfully improved poolability</w:t>
      </w:r>
      <w:r>
        <w:t xml:space="preserve"> </w:t>
      </w:r>
      <w:r>
        <w:t xml:space="preserve">in related fields: round-robin-derived checklists for MgH</w:t>
      </w:r>
      <m:oMath>
        <m:sSub>
          <m:e>
            <m:r>
              <m:t>​</m:t>
            </m:r>
          </m:e>
          <m:sub>
            <m:r>
              <m:t>2</m:t>
            </m:r>
          </m:sub>
        </m:sSub>
      </m:oMath>
      <w:r>
        <w:t xml:space="preserve"> </w:t>
      </w:r>
      <w:r>
        <w:t xml:space="preserve">[44]</w:t>
      </w:r>
      <w:r>
        <w:t xml:space="preserve"> </w:t>
      </w:r>
      <w:r>
        <w:t xml:space="preserve">and</w:t>
      </w:r>
      <w:r>
        <w:t xml:space="preserve"> </w:t>
      </w:r>
      <w:r>
        <w:t xml:space="preserve">biohydrogen</w:t>
      </w:r>
      <w:r>
        <w:t xml:space="preserve"> </w:t>
      </w:r>
      <w:r>
        <w:t xml:space="preserve">[45]</w:t>
      </w:r>
      <w:r>
        <w:t xml:space="preserve"> </w:t>
      </w:r>
      <w:r>
        <w:t xml:space="preserve">both show that standardization shrinks interlaboratory</w:t>
      </w:r>
      <w:r>
        <w:t xml:space="preserve"> </w:t>
      </w:r>
      <w:r>
        <w:t xml:space="preserve">spread rather than eliminating it. We expect the same here: full compliance would not</w:t>
      </w:r>
      <w:r>
        <w:t xml:space="preserve"> </w:t>
      </w:r>
      <w:r>
        <w:t xml:space="preserve">remove between-study variance, but it would expose the remaining variance as physics</w:t>
      </w:r>
      <w:r>
        <w:t xml:space="preserve"> </w:t>
      </w:r>
      <w:r>
        <w:t xml:space="preserve">rather than protocol.</w:t>
      </w:r>
    </w:p>
    <w:bookmarkStart w:id="69" w:name="tab:mireport"/>
    <w:p>
      <w:pPr>
        <w:pStyle w:val="TableCaption"/>
      </w:pPr>
      <w:r>
        <w:t xml:space="preserve">Proposed minimum-information reporting standard for aluminum–water hydrolysis</w:t>
      </w:r>
      <w:r>
        <w:t xml:space="preserve"> </w:t>
      </w:r>
      <w:r>
        <w:t xml:space="preserve">hydrogen-yield studies. Items are ordered by the between-study yield variance each</w:t>
      </w:r>
      <w:r>
        <w:t xml:space="preserve"> </w:t>
      </w:r>
      <w:r>
        <w:t xml:space="preserve">carried here (Section </w:t>
      </w:r>
      <w:hyperlink w:anchor="sec:variance_decomp">
        <w:r>
          <w:rPr>
            <w:rStyle w:val="Hyperlink"/>
          </w:rPr>
          <w:t xml:space="preserve">3.4</w:t>
        </w:r>
      </w:hyperlink>
      <w:r>
        <w:t xml:space="preserve">); measurement apparatus is the largest</w:t>
      </w:r>
      <w:r>
        <w:t xml:space="preserve"> </w:t>
      </w:r>
      <w:r>
        <w:t xml:space="preserve">single source (</w:t>
      </w:r>
      <m:oMath>
        <m:sSup>
          <m:e>
            <m:r>
              <m:t>R</m:t>
            </m:r>
          </m:e>
          <m:sup>
            <m:r>
              <m:t>2</m:t>
            </m:r>
          </m:sup>
        </m:sSup>
        <m:r>
          <m:t>​</m:t>
        </m:r>
        <m:r>
          <m:rPr>
            <m:sty m:val="p"/>
          </m:rPr>
          <m:t>=</m:t>
        </m:r>
        <m:r>
          <m:t>​</m:t>
        </m:r>
        <m:r>
          <m:t>0.43</m:t>
        </m:r>
      </m:oMath>
      <w:r>
        <w:t xml:space="preserve">).</w:t>
      </w:r>
    </w:p>
    <w:tbl>
      <w:tblPr>
        <w:tblStyle w:val="Table"/>
        <w:tblW w:type="auto" w:w="0"/>
        <w:tblLook w:firstRow="1" w:lastRow="0" w:firstColumn="0" w:lastColumn="0" w:noHBand="0" w:noVBand="0" w:val="0020"/>
        <w:tblCaption w:val="Proposed minimum-information reporting standard for aluminum–water hydrolysis hydrogen-yield studies. Items are ordered by the between-study yield variance each carried here (Section 3.4); measurement apparatus is the largest single source (R^2\!=\!0.43)."/>
      </w:tblPr>
      <w:tblGrid>
        <w:gridCol w:w="2640"/>
        <w:gridCol w:w="2640"/>
        <w:gridCol w:w="2640"/>
      </w:tblGrid>
      <w:tr>
        <w:trPr>
          <w:tblHeader w:val="on"/>
        </w:trPr>
        <w:tc>
          <w:tcPr/>
          <w:p>
            <w:pPr>
              <w:pStyle w:val="Compact"/>
              <w:jc w:val="left"/>
            </w:pPr>
            <w:r>
              <w:t xml:space="preserve">Field</w:t>
            </w:r>
          </w:p>
        </w:tc>
        <w:tc>
          <w:tcPr/>
          <w:p>
            <w:pPr>
              <w:pStyle w:val="Compact"/>
              <w:jc w:val="left"/>
            </w:pPr>
            <w:r>
              <w:t xml:space="preserve">Report</w:t>
            </w:r>
          </w:p>
        </w:tc>
        <w:tc>
          <w:tcPr/>
          <w:p>
            <w:pPr>
              <w:pStyle w:val="Compact"/>
              <w:jc w:val="left"/>
            </w:pPr>
            <w:r>
              <w:t xml:space="preserve">Between-study</w:t>
            </w:r>
            <w:r>
              <w:t xml:space="preserve"> </w:t>
            </w:r>
            <m:oMath>
              <m:sSup>
                <m:e>
                  <m:r>
                    <m:t>R</m:t>
                  </m:r>
                </m:e>
                <m:sup>
                  <m:r>
                    <m:t>2</m:t>
                  </m:r>
                </m:sup>
              </m:sSup>
            </m:oMath>
            <w:r>
              <w:t xml:space="preserve"> </w:t>
            </w:r>
            <w:r>
              <w:t xml:space="preserve">here</w:t>
            </w:r>
          </w:p>
        </w:tc>
      </w:tr>
      <w:tr>
        <w:tc>
          <w:tcPr/>
          <w:p>
            <w:pPr>
              <w:pStyle w:val="Compact"/>
              <w:jc w:val="left"/>
            </w:pPr>
            <w:r>
              <w:t xml:space="preserve">Measurement method</w:t>
            </w:r>
          </w:p>
        </w:tc>
        <w:tc>
          <w:tcPr/>
          <w:p>
            <w:pPr>
              <w:pStyle w:val="Compact"/>
              <w:jc w:val="left"/>
            </w:pPr>
            <w:r>
              <w:t xml:space="preserve">water displacement / pressure / GC / mass-flow / other</w:t>
            </w:r>
          </w:p>
        </w:tc>
        <w:tc>
          <w:tcPr/>
          <w:p>
            <w:pPr>
              <w:pStyle w:val="Compact"/>
              <w:jc w:val="left"/>
            </w:pPr>
            <w:r>
              <w:t xml:space="preserve">0.43</w:t>
            </w:r>
          </w:p>
        </w:tc>
      </w:tr>
      <w:tr>
        <w:tc>
          <w:tcPr/>
          <w:p>
            <w:pPr>
              <w:pStyle w:val="Compact"/>
              <w:jc w:val="left"/>
            </w:pPr>
            <w:r>
              <w:t xml:space="preserve">Temperature control</w:t>
            </w:r>
          </w:p>
        </w:tc>
        <w:tc>
          <w:tcPr/>
          <w:p>
            <w:pPr>
              <w:pStyle w:val="Compact"/>
              <w:jc w:val="left"/>
            </w:pPr>
            <w:r>
              <w:t xml:space="preserve">method (isothermal bath / self-heating) + setpoint</w:t>
            </w:r>
          </w:p>
        </w:tc>
        <w:tc>
          <w:tcPr/>
          <w:p>
            <w:pPr>
              <w:pStyle w:val="Compact"/>
              <w:jc w:val="left"/>
            </w:pPr>
            <w:r>
              <w:t xml:space="preserve">0.08</w:t>
            </w:r>
          </w:p>
        </w:tc>
      </w:tr>
      <w:tr>
        <w:tc>
          <w:tcPr/>
          <w:p>
            <w:pPr>
              <w:pStyle w:val="Compact"/>
              <w:jc w:val="left"/>
            </w:pPr>
            <w:r>
              <w:t xml:space="preserve">Water type &amp; purity</w:t>
            </w:r>
          </w:p>
        </w:tc>
        <w:tc>
          <w:tcPr/>
          <w:p>
            <w:pPr>
              <w:pStyle w:val="Compact"/>
              <w:jc w:val="left"/>
            </w:pPr>
            <w:r>
              <w:t xml:space="preserve">DI / tap / alkaline / saline, with conductivity or grade</w:t>
            </w:r>
          </w:p>
        </w:tc>
        <w:tc>
          <w:tcPr/>
          <w:p>
            <w:pPr>
              <w:pStyle w:val="Compact"/>
              <w:jc w:val="left"/>
            </w:pPr>
            <w:r>
              <w:t xml:space="preserve">0.04</w:t>
            </w:r>
          </w:p>
        </w:tc>
      </w:tr>
      <w:tr>
        <w:tc>
          <w:tcPr/>
          <w:p>
            <w:pPr>
              <w:pStyle w:val="Compact"/>
              <w:jc w:val="left"/>
            </w:pPr>
            <w:r>
              <w:t xml:space="preserve">Quality / control</w:t>
            </w:r>
          </w:p>
        </w:tc>
        <w:tc>
          <w:tcPr/>
          <w:p>
            <w:pPr>
              <w:pStyle w:val="Compact"/>
              <w:jc w:val="left"/>
            </w:pPr>
            <w:r>
              <w:t xml:space="preserve">replication count; value reported vs. derived</w:t>
            </w:r>
          </w:p>
        </w:tc>
        <w:tc>
          <w:tcPr/>
          <w:p>
            <w:pPr>
              <w:pStyle w:val="Compact"/>
              <w:jc w:val="left"/>
            </w:pPr>
            <w:r>
              <w:t xml:space="preserve">0.04</w:t>
            </w:r>
          </w:p>
        </w:tc>
      </w:tr>
      <w:tr>
        <w:tc>
          <w:tcPr/>
          <w:p>
            <w:pPr>
              <w:pStyle w:val="Compact"/>
              <w:jc w:val="left"/>
            </w:pPr>
            <w:r>
              <w:t xml:space="preserve">Reaction vessel</w:t>
            </w:r>
          </w:p>
        </w:tc>
        <w:tc>
          <w:tcPr/>
          <w:p>
            <w:pPr>
              <w:pStyle w:val="Compact"/>
              <w:jc w:val="left"/>
            </w:pPr>
            <w:r>
              <w:t xml:space="preserve">open or closed; insulated?</w:t>
            </w:r>
          </w:p>
        </w:tc>
        <w:tc>
          <w:tcPr/>
          <w:p>
            <w:pPr>
              <w:pStyle w:val="Compact"/>
              <w:jc w:val="left"/>
            </w:pPr>
            <w:r>
              <w:t xml:space="preserve">0.02</w:t>
            </w:r>
          </w:p>
        </w:tc>
      </w:tr>
      <w:tr>
        <w:tc>
          <w:tcPr/>
          <w:p>
            <w:pPr>
              <w:pStyle w:val="Compact"/>
              <w:jc w:val="left"/>
            </w:pPr>
            <w:r>
              <w:t xml:space="preserve">Alkali</w:t>
            </w:r>
          </w:p>
        </w:tc>
        <w:tc>
          <w:tcPr/>
          <w:p>
            <w:pPr>
              <w:pStyle w:val="Compact"/>
              <w:jc w:val="left"/>
            </w:pPr>
            <w:r>
              <w:t xml:space="preserve">type (NaOH/KOH/none) + concentration (mol L</w:t>
            </w:r>
            <m:oMath>
              <m:sSup>
                <m:e>
                  <m:r>
                    <m:t>​</m:t>
                  </m:r>
                </m:e>
                <m:sup>
                  <m:r>
                    <m:rPr>
                      <m:sty m:val="p"/>
                    </m:rPr>
                    <m:t>−</m:t>
                  </m:r>
                  <m:r>
                    <m:t>1</m:t>
                  </m:r>
                </m:sup>
              </m:sSup>
            </m:oMath>
            <w:r>
              <w:t xml:space="preserve">)</w:t>
            </w:r>
          </w:p>
        </w:tc>
        <w:tc>
          <w:tcPr/>
          <w:p>
            <w:pPr>
              <w:pStyle w:val="Compact"/>
              <w:jc w:val="left"/>
            </w:pPr>
            <w:r>
              <w:t xml:space="preserve">—</w:t>
            </w:r>
          </w:p>
        </w:tc>
      </w:tr>
      <w:tr>
        <w:tc>
          <w:tcPr/>
          <w:p>
            <w:pPr>
              <w:pStyle w:val="Compact"/>
              <w:jc w:val="left"/>
            </w:pPr>
            <w:r>
              <w:t xml:space="preserve">Particle size</w:t>
            </w:r>
          </w:p>
        </w:tc>
        <w:tc>
          <w:tcPr/>
          <w:p>
            <w:pPr>
              <w:pStyle w:val="Compact"/>
              <w:jc w:val="left"/>
            </w:pPr>
            <m:oMath>
              <m:sSub>
                <m:e>
                  <m:r>
                    <m:t>D</m:t>
                  </m:r>
                </m:e>
                <m:sub>
                  <m:r>
                    <m:t>50</m:t>
                  </m:r>
                </m:sub>
              </m:sSub>
            </m:oMath>
            <w:r>
              <w:t xml:space="preserve"> </w:t>
            </w:r>
            <w:r>
              <w:t xml:space="preserve">(</w:t>
            </w:r>
            <m:oMath>
              <m:r>
                <m:t>μ</m:t>
              </m:r>
            </m:oMath>
            <w:r>
              <w:t xml:space="preserve">m) + sizing method</w:t>
            </w:r>
          </w:p>
        </w:tc>
        <w:tc>
          <w:tcPr/>
          <w:p>
            <w:pPr>
              <w:pStyle w:val="Compact"/>
              <w:jc w:val="left"/>
            </w:pPr>
            <w:r>
              <w:t xml:space="preserve">—</w:t>
            </w:r>
          </w:p>
        </w:tc>
      </w:tr>
      <w:tr>
        <w:tc>
          <w:tcPr/>
          <w:p>
            <w:pPr>
              <w:pStyle w:val="Compact"/>
              <w:jc w:val="left"/>
            </w:pPr>
            <w:r>
              <w:t xml:space="preserve">Activation route</w:t>
            </w:r>
          </w:p>
        </w:tc>
        <w:tc>
          <w:tcPr/>
          <w:p>
            <w:pPr>
              <w:pStyle w:val="Compact"/>
              <w:jc w:val="left"/>
            </w:pPr>
            <w:r>
              <w:t xml:space="preserve">pure / melt-alloyed / ball-milled / liquid-metal / waste</w:t>
            </w:r>
          </w:p>
        </w:tc>
        <w:tc>
          <w:tcPr/>
          <w:p>
            <w:pPr>
              <w:pStyle w:val="Compact"/>
              <w:jc w:val="left"/>
            </w:pPr>
            <w:r>
              <w:t xml:space="preserve">—</w:t>
            </w:r>
          </w:p>
        </w:tc>
      </w:tr>
      <w:tr>
        <w:tc>
          <w:tcPr/>
          <w:p>
            <w:pPr>
              <w:pStyle w:val="Compact"/>
              <w:jc w:val="left"/>
            </w:pPr>
            <w:r>
              <w:t xml:space="preserve">Yield basis</w:t>
            </w:r>
          </w:p>
        </w:tc>
        <w:tc>
          <w:tcPr/>
          <w:p>
            <w:pPr>
              <w:pStyle w:val="Compact"/>
              <w:jc w:val="left"/>
            </w:pPr>
            <w:r>
              <w:t xml:space="preserve">theoretical reference (mL g</w:t>
            </w:r>
            <m:oMath>
              <m:sSup>
                <m:e>
                  <m:r>
                    <m:t>​</m:t>
                  </m:r>
                </m:e>
                <m:sup>
                  <m:r>
                    <m:rPr>
                      <m:sty m:val="p"/>
                    </m:rPr>
                    <m:t>−</m:t>
                  </m:r>
                  <m:r>
                    <m:t>1</m:t>
                  </m:r>
                </m:sup>
              </m:sSup>
            </m:oMath>
            <w:r>
              <w:t xml:space="preserve">); % vs. volumetric</w:t>
            </w:r>
          </w:p>
        </w:tc>
        <w:tc>
          <w:tcPr/>
          <w:p>
            <w:pPr>
              <w:pStyle w:val="Compact"/>
              <w:jc w:val="left"/>
            </w:pPr>
            <w:r>
              <w:t xml:space="preserve">—</w:t>
            </w:r>
          </w:p>
        </w:tc>
      </w:tr>
      <w:tr>
        <w:tc>
          <w:tcPr/>
          <w:p>
            <w:pPr>
              <w:pStyle w:val="Compact"/>
              <w:jc w:val="left"/>
            </w:pPr>
            <w:r>
              <w:t xml:space="preserve">Rate definition</w:t>
            </w:r>
          </w:p>
        </w:tc>
        <w:tc>
          <w:tcPr/>
          <w:p>
            <w:pPr>
              <w:pStyle w:val="Compact"/>
              <w:jc w:val="left"/>
            </w:pPr>
            <w:r>
              <w:t xml:space="preserve">initial / maximum / average;</w:t>
            </w:r>
            <w:r>
              <w:t xml:space="preserve"> </w:t>
            </w:r>
            <m:oMath>
              <m:sSub>
                <m:e>
                  <m:r>
                    <m:t>t</m:t>
                  </m:r>
                </m:e>
                <m:sub>
                  <m:r>
                    <m:t>50</m:t>
                  </m:r>
                </m:sub>
              </m:sSub>
            </m:oMath>
            <w:r>
              <w:t xml:space="preserve">/</w:t>
            </w:r>
            <m:oMath>
              <m:sSub>
                <m:e>
                  <m:r>
                    <m:t>t</m:t>
                  </m:r>
                </m:e>
                <m:sub>
                  <m:r>
                    <m:t>80</m:t>
                  </m:r>
                </m:sub>
              </m:sSub>
            </m:oMath>
            <w:r>
              <w:t xml:space="preserve"> </w:t>
            </w:r>
            <w:r>
              <w:t xml:space="preserve">if rate is claimed</w:t>
            </w:r>
          </w:p>
        </w:tc>
        <w:tc>
          <w:tcPr/>
          <w:p>
            <w:pPr>
              <w:pStyle w:val="Compact"/>
              <w:jc w:val="left"/>
            </w:pPr>
            <w:r>
              <w:t xml:space="preserve">—</w:t>
            </w:r>
          </w:p>
        </w:tc>
      </w:tr>
      <w:tr>
        <w:tc>
          <w:tcPr/>
          <w:p>
            <w:pPr>
              <w:pStyle w:val="Compact"/>
              <w:jc w:val="left"/>
            </w:pPr>
            <w:r>
              <w:t xml:space="preserve">Provenance</w:t>
            </w:r>
          </w:p>
        </w:tc>
        <w:tc>
          <w:tcPr/>
          <w:p>
            <w:pPr>
              <w:pStyle w:val="Compact"/>
              <w:jc w:val="left"/>
            </w:pPr>
            <w:r>
              <w:t xml:space="preserve">study DOI, number of conditions, replicate count</w:t>
            </w:r>
          </w:p>
        </w:tc>
        <w:tc>
          <w:tcPr/>
          <w:p>
            <w:pPr>
              <w:pStyle w:val="Compact"/>
              <w:jc w:val="left"/>
            </w:pPr>
            <w:r>
              <w:t xml:space="preserve">—</w:t>
            </w:r>
          </w:p>
        </w:tc>
      </w:tr>
    </w:tbl>
    <w:bookmarkEnd w:id="69"/>
    <w:bookmarkEnd w:id="70"/>
    <w:bookmarkStart w:id="80" w:name="sec:limitations"/>
    <w:p>
      <w:pPr>
        <w:pStyle w:val="Heading2"/>
      </w:pPr>
      <w:r>
        <w:t xml:space="preserve">Limitations</w:t>
      </w:r>
    </w:p>
    <w:bookmarkStart w:id="71" w:name="sample-size-and-power."/>
    <w:p>
      <w:pPr>
        <w:pStyle w:val="Heading4"/>
      </w:pPr>
      <w:r>
        <w:t xml:space="preserve">Sample size and power.</w:t>
      </w:r>
    </w:p>
    <w:p>
      <w:pPr>
        <w:pStyle w:val="FirstParagraph"/>
      </w:pPr>
      <w:r>
        <w:t xml:space="preserve">The analysis rests on</w:t>
      </w:r>
      <w:r>
        <w:t xml:space="preserve"> </w:t>
      </w:r>
      <m:oMath>
        <m:r>
          <m:t>n</m:t>
        </m:r>
        <m:r>
          <m:t>​</m:t>
        </m:r>
        <m:r>
          <m:rPr>
            <m:sty m:val="p"/>
          </m:rPr>
          <m:t>≈</m:t>
        </m:r>
        <m:r>
          <m:t>​</m:t>
        </m:r>
        <m:r>
          <m:t>31</m:t>
        </m:r>
      </m:oMath>
      <w:r>
        <w:t xml:space="preserve"> </w:t>
      </w:r>
      <w:r>
        <w:t xml:space="preserve">studies (</w:t>
      </w:r>
      <m:oMath>
        <m:r>
          <m:t>3</m:t>
        </m:r>
      </m:oMath>
      <w:r>
        <w:t xml:space="preserve">–</w:t>
      </w:r>
      <m:oMath>
        <m:r>
          <m:t>9</m:t>
        </m:r>
      </m:oMath>
      <w:r>
        <w:t xml:space="preserve"> </w:t>
      </w:r>
      <w:r>
        <w:t xml:space="preserve">per regime). Null results</w:t>
      </w:r>
      <w:r>
        <w:t xml:space="preserve"> </w:t>
      </w:r>
      <w:r>
        <w:t xml:space="preserve">(no regime moderation of yield, H2; no regime structure in</w:t>
      </w:r>
      <w:r>
        <w:t xml:space="preserve"> </w:t>
      </w:r>
      <m:oMath>
        <m:sSub>
          <m:e>
            <m:r>
              <m:t>E</m:t>
            </m:r>
          </m:e>
          <m:sub>
            <m:r>
              <m:rPr>
                <m:sty m:val="p"/>
              </m:rPr>
              <m:t>a</m:t>
            </m:r>
          </m:sub>
        </m:sSub>
      </m:oMath>
      <w:r>
        <w:t xml:space="preserve">, H3;</w:t>
      </w:r>
      <w:r>
        <w:t xml:space="preserve"> </w:t>
      </w:r>
      <w:r>
        <w:t xml:space="preserve">heterogeneous within-study predictability, T_A) are reported as</w:t>
      </w:r>
      <w:r>
        <w:t xml:space="preserve"> </w:t>
      </w:r>
      <w:r>
        <w:t xml:space="preserve">“no detectable effect</w:t>
      </w:r>
      <w:r>
        <w:t xml:space="preserve"> </w:t>
      </w:r>
      <w:r>
        <w:t xml:space="preserve">at this sample size,”</w:t>
      </w:r>
      <w:r>
        <w:t xml:space="preserve"> </w:t>
      </w:r>
      <w:r>
        <w:t xml:space="preserve">not as proof of absence. Detection of small effects (</w:t>
      </w:r>
      <m:oMath>
        <m:sSup>
          <m:e>
            <m:r>
              <m:t>R</m:t>
            </m:r>
          </m:e>
          <m:sup>
            <m:r>
              <m:t>2</m:t>
            </m:r>
          </m:sup>
        </m:sSup>
        <m:r>
          <m:t>​</m:t>
        </m:r>
        <m:r>
          <m:rPr>
            <m:sty m:val="p"/>
          </m:rPr>
          <m:t>&lt;</m:t>
        </m:r>
        <m:r>
          <m:t>​</m:t>
        </m:r>
        <m:r>
          <m:t>0.10</m:t>
        </m:r>
      </m:oMath>
      <w:r>
        <w:t xml:space="preserve"> </w:t>
      </w:r>
      <w:r>
        <w:t xml:space="preserve">for regime) would</w:t>
      </w:r>
      <w:r>
        <w:t xml:space="preserve"> </w:t>
      </w:r>
      <w:r>
        <w:t xml:space="preserve">likely require a corpus substantially larger than</w:t>
      </w:r>
      <w:r>
        <w:t xml:space="preserve"> </w:t>
      </w:r>
      <m:oMath>
        <m:r>
          <m:t>n</m:t>
        </m:r>
        <m:r>
          <m:t>​</m:t>
        </m:r>
        <m:r>
          <m:rPr>
            <m:sty m:val="p"/>
          </m:rPr>
          <m:t>=</m:t>
        </m:r>
        <m:r>
          <m:t>​</m:t>
        </m:r>
        <m:r>
          <m:t>31</m:t>
        </m:r>
      </m:oMath>
      <w:r>
        <w:t xml:space="preserve"> </w:t>
      </w:r>
      <w:r>
        <w:t xml:space="preserve">studies.</w:t>
      </w:r>
      <w:r>
        <w:t xml:space="preserve"> </w:t>
      </w:r>
      <w:r>
        <w:t xml:space="preserve">The between-study variance decomposition</w:t>
      </w:r>
      <w:r>
        <w:t xml:space="preserve"> </w:t>
      </w:r>
      <w:r>
        <w:t xml:space="preserve">(T_B) has cluster-bootstrap confidence intervals that are wide at this</w:t>
      </w:r>
      <w:r>
        <w:t xml:space="preserve"> </w:t>
      </w:r>
      <m:oMath>
        <m:r>
          <m:t>n</m:t>
        </m:r>
      </m:oMath>
      <w:r>
        <w:t xml:space="preserve">; the lower</w:t>
      </w:r>
      <w:r>
        <w:t xml:space="preserve"> </w:t>
      </w:r>
      <w:r>
        <w:t xml:space="preserve">bound on method-joint</w:t>
      </w:r>
      <w:r>
        <w:t xml:space="preserve"> </w:t>
      </w:r>
      <m:oMath>
        <m:sSup>
          <m:e>
            <m:r>
              <m:t>R</m:t>
            </m:r>
          </m:e>
          <m:sup>
            <m:r>
              <m:t>2</m:t>
            </m:r>
          </m:sup>
        </m:sSup>
      </m:oMath>
      <w:r>
        <w:t xml:space="preserve"> </w:t>
      </w:r>
      <w:r>
        <w:t xml:space="preserve">(</w:t>
      </w:r>
      <m:oMath>
        <m:r>
          <m:t>0.44</m:t>
        </m:r>
      </m:oMath>
      <w:r>
        <w:t xml:space="preserve">) excludes zero but the upper bound (</w:t>
      </w:r>
      <m:oMath>
        <m:r>
          <m:t>1.00</m:t>
        </m:r>
      </m:oMath>
      <w:r>
        <w:t xml:space="preserve">) is</w:t>
      </w:r>
      <w:r>
        <w:t xml:space="preserve"> </w:t>
      </w:r>
      <w:r>
        <w:t xml:space="preserve">uninformative. Two regimes (</w:t>
      </w:r>
      <w:r>
        <w:rPr>
          <w:rStyle w:val="VerbatimChar"/>
        </w:rPr>
        <w:t xml:space="preserve">waste_al</w:t>
      </w:r>
      <w:r>
        <w:t xml:space="preserve">,</w:t>
      </w:r>
      <w:r>
        <w:t xml:space="preserve"> </w:t>
      </w:r>
      <w:r>
        <w:rPr>
          <w:rStyle w:val="VerbatimChar"/>
        </w:rPr>
        <w:t xml:space="preserve">liquid_metal_activated</w:t>
      </w:r>
      <w:r>
        <w:t xml:space="preserve">) have</w:t>
      </w:r>
      <w:r>
        <w:t xml:space="preserve"> </w:t>
      </w:r>
      <w:r>
        <w:t xml:space="preserve">fewer than</w:t>
      </w:r>
      <w:r>
        <w:t xml:space="preserve"> </w:t>
      </w:r>
      <m:oMath>
        <m:r>
          <m:t>40</m:t>
        </m:r>
      </m:oMath>
      <w:r>
        <w:t xml:space="preserve"> </w:t>
      </w:r>
      <w:r>
        <w:t xml:space="preserve">yield rows each; effect estimates for these classes are exploratory.</w:t>
      </w:r>
    </w:p>
    <w:bookmarkEnd w:id="71"/>
    <w:bookmarkStart w:id="72" w:name="associational-attribution."/>
    <w:p>
      <w:pPr>
        <w:pStyle w:val="Heading4"/>
      </w:pPr>
      <w:r>
        <w:t xml:space="preserve">Associational attribution.</w:t>
      </w:r>
    </w:p>
    <w:p>
      <w:pPr>
        <w:pStyle w:val="FirstParagraph"/>
      </w:pPr>
      <w:r>
        <w:t xml:space="preserve">All findings are associational, not causal. Because measurement apparatus and temperature-control</w:t>
      </w:r>
      <w:r>
        <w:t xml:space="preserve"> </w:t>
      </w:r>
      <w:r>
        <w:t xml:space="preserve">method are study-level attributes, their variance shares (</w:t>
      </w:r>
      <m:oMath>
        <m:r>
          <m:t>43</m:t>
        </m:r>
        <m:r>
          <m:rPr>
            <m:sty m:val="p"/>
          </m:rPr>
          <m:t>%</m:t>
        </m:r>
      </m:oMath>
      <w:r>
        <w:t xml:space="preserve"> </w:t>
      </w:r>
      <w:r>
        <w:t xml:space="preserve">and</w:t>
      </w:r>
      <w:r>
        <w:t xml:space="preserve"> </w:t>
      </w:r>
      <m:oMath>
        <m:r>
          <m:t>8</m:t>
        </m:r>
        <m:r>
          <m:rPr>
            <m:sty m:val="p"/>
          </m:rPr>
          <m:t>%</m:t>
        </m:r>
      </m:oMath>
      <w:r>
        <w:t xml:space="preserve"> </w:t>
      </w:r>
      <w:r>
        <w:t xml:space="preserve">respectively)</w:t>
      </w:r>
      <w:r>
        <w:t xml:space="preserve"> </w:t>
      </w:r>
      <w:r>
        <w:t xml:space="preserve">could partly reflect unmeasured study-level differences (equipment, calibration, laboratory</w:t>
      </w:r>
      <w:r>
        <w:t xml:space="preserve"> </w:t>
      </w:r>
      <w:r>
        <w:t xml:space="preserve">practice) that co-vary with protocol choice. We quantify the incremental contributions</w:t>
      </w:r>
      <w:r>
        <w:t xml:space="preserve"> </w:t>
      </w:r>
      <w:r>
        <w:t xml:space="preserve">(measurement method beyond regime:</w:t>
      </w:r>
      <w:r>
        <w:t xml:space="preserve"> </w:t>
      </w:r>
      <m:oMath>
        <m:r>
          <m:rPr>
            <m:sty m:val="p"/>
          </m:rPr>
          <m:t>+</m:t>
        </m:r>
        <m:r>
          <m:t>0.51</m:t>
        </m:r>
      </m:oMath>
      <w:r>
        <w:t xml:space="preserve">; temperature control beyond regime:</w:t>
      </w:r>
      <w:r>
        <w:t xml:space="preserve"> </w:t>
      </w:r>
      <m:oMath>
        <m:r>
          <m:rPr>
            <m:sty m:val="p"/>
          </m:rPr>
          <m:t>+</m:t>
        </m:r>
        <m:r>
          <m:t>0.11</m:t>
        </m:r>
      </m:oMath>
      <w:r>
        <w:t xml:space="preserve">;</w:t>
      </w:r>
      <w:r>
        <w:t xml:space="preserve"> </w:t>
      </w:r>
      <w:r>
        <w:t xml:space="preserve">regime beyond both:</w:t>
      </w:r>
      <w:r>
        <w:t xml:space="preserve"> </w:t>
      </w:r>
      <m:oMath>
        <m:r>
          <m:rPr>
            <m:sty m:val="p"/>
          </m:rPr>
          <m:t>+</m:t>
        </m:r>
        <m:r>
          <m:t>0.04</m:t>
        </m:r>
      </m:oMath>
      <w:r>
        <w:t xml:space="preserve">) but do not attribute a causal mechanism.</w:t>
      </w:r>
    </w:p>
    <w:bookmarkEnd w:id="72"/>
    <w:bookmarkStart w:id="73" w:name="Xf22783069ed1a759efb9d5a14ce07a26fa88536"/>
    <w:p>
      <w:pPr>
        <w:pStyle w:val="Heading4"/>
      </w:pPr>
      <w:r>
        <w:t xml:space="preserve">Single material system and open-access bias.</w:t>
      </w:r>
    </w:p>
    <w:p>
      <w:pPr>
        <w:pStyle w:val="FirstParagraph"/>
      </w:pPr>
      <w:r>
        <w:t xml:space="preserve">The dataset covers only aluminum–water hydrolysis; the leakage finding and the</w:t>
      </w:r>
      <w:r>
        <w:t xml:space="preserve"> </w:t>
      </w:r>
      <w:r>
        <w:t xml:space="preserve">methodological-heterogeneity finding may not transfer to other reaction systems, though</w:t>
      </w:r>
      <w:r>
        <w:t xml:space="preserve"> </w:t>
      </w:r>
      <w:r>
        <w:t xml:space="preserve">analogues exist in MgH</w:t>
      </w:r>
      <m:oMath>
        <m:sSub>
          <m:e>
            <m:r>
              <m:t>​</m:t>
            </m:r>
          </m:e>
          <m:sub>
            <m:r>
              <m:t>2</m:t>
            </m:r>
          </m:sub>
        </m:sSub>
      </m:oMath>
      <w:r>
        <w:t xml:space="preserve"> </w:t>
      </w:r>
      <w:r>
        <w:t xml:space="preserve">and biohydrogen</w:t>
      </w:r>
      <w:r>
        <w:t xml:space="preserve"> </w:t>
      </w:r>
      <w:r>
        <w:t xml:space="preserve">[44,45]</w:t>
      </w:r>
      <w:r>
        <w:t xml:space="preserve">. The 31 studies</w:t>
      </w:r>
      <w:r>
        <w:t xml:space="preserve"> </w:t>
      </w:r>
      <w:r>
        <w:t xml:space="preserve">are the open-access-reachable subset of the screened literature, not a complete or</w:t>
      </w:r>
      <w:r>
        <w:t xml:space="preserve"> </w:t>
      </w:r>
      <w:r>
        <w:t xml:space="preserve">random sample. Open-access status may correlate with publication venue prestige and</w:t>
      </w:r>
      <w:r>
        <w:t xml:space="preserve"> </w:t>
      </w:r>
      <w:r>
        <w:t xml:space="preserve">reporting completeness, but there is no clear mechanistic reason why it should</w:t>
      </w:r>
      <w:r>
        <w:t xml:space="preserve"> </w:t>
      </w:r>
      <w:r>
        <w:t xml:space="preserve">systematically predict which temperature-control method or measurement protocol a</w:t>
      </w:r>
      <w:r>
        <w:t xml:space="preserve"> </w:t>
      </w:r>
      <w:r>
        <w:t xml:space="preserve">laboratory adopts; the null expectation is therefore that OA-only retrieval does not</w:t>
      </w:r>
      <w:r>
        <w:t xml:space="preserve"> </w:t>
      </w:r>
      <w:r>
        <w:t xml:space="preserve">directionally bias the primary methodology-versus-regime finding. The direction of</w:t>
      </w:r>
      <w:r>
        <w:t xml:space="preserve"> </w:t>
      </w:r>
      <w:r>
        <w:t xml:space="preserve">residual bias cannot be verified from the current corpus; external validation using a</w:t>
      </w:r>
      <w:r>
        <w:t xml:space="preserve"> </w:t>
      </w:r>
      <w:r>
        <w:t xml:space="preserve">broader sample would resolve this.</w:t>
      </w:r>
    </w:p>
    <w:bookmarkEnd w:id="73"/>
    <w:bookmarkStart w:id="74" w:name="unvalidated-reporting-standard."/>
    <w:p>
      <w:pPr>
        <w:pStyle w:val="Heading4"/>
      </w:pPr>
      <w:r>
        <w:t xml:space="preserve">Unvalidated reporting standard.</w:t>
      </w:r>
    </w:p>
    <w:p>
      <w:pPr>
        <w:pStyle w:val="FirstParagraph"/>
      </w:pPr>
      <w:r>
        <w:t xml:space="preserve">The proposed minimum-information checklist (Table </w:t>
      </w:r>
      <w:hyperlink w:anchor="tab:mireport">
        <w:r>
          <w:rPr>
            <w:rStyle w:val="Hyperlink"/>
          </w:rPr>
          <w:t xml:space="preserve">6</w:t>
        </w:r>
      </w:hyperlink>
      <w:r>
        <w:t xml:space="preserve">) has not been</w:t>
      </w:r>
      <w:r>
        <w:t xml:space="preserve"> </w:t>
      </w:r>
      <w:r>
        <w:t xml:space="preserve">prospectively validated: we do not yet know how much of the residual between-study</w:t>
      </w:r>
      <w:r>
        <w:t xml:space="preserve"> </w:t>
      </w:r>
      <w:r>
        <w:t xml:space="preserve">variance it would remove in practice. It is a hypothesis about what would help, grounded</w:t>
      </w:r>
      <w:r>
        <w:t xml:space="preserve"> </w:t>
      </w:r>
      <w:r>
        <w:t xml:space="preserve">in our variance decomposition. Prospective validation would require a multi-laboratory</w:t>
      </w:r>
      <w:r>
        <w:t xml:space="preserve"> </w:t>
      </w:r>
      <w:r>
        <w:t xml:space="preserve">round-robin trial in which independent groups run the same experiment under the</w:t>
      </w:r>
      <w:r>
        <w:t xml:space="preserve"> </w:t>
      </w:r>
      <w:r>
        <w:t xml:space="preserve">standard’s reporting protocol</w:t>
      </w:r>
      <w:r>
        <w:t xml:space="preserve"> </w:t>
      </w:r>
      <w:r>
        <w:t xml:space="preserve">[analogous to those for MgH</w:t>
      </w:r>
      <m:oMath>
        <m:sSub>
          <m:e>
            <m:r>
              <m:t>​</m:t>
            </m:r>
          </m:e>
          <m:sub>
            <m:r>
              <m:t>2</m:t>
            </m:r>
          </m:sub>
        </m:sSub>
      </m:oMath>
      <w:r>
        <w:t xml:space="preserve"> </w:t>
      </w:r>
      <w:r>
        <w:t xml:space="preserve">and</w:t>
      </w:r>
      <w:r>
        <w:t xml:space="preserve"> </w:t>
      </w:r>
      <w:r>
        <w:t xml:space="preserve">biohydrogen; 44,45]</w:t>
      </w:r>
      <w:r>
        <w:t xml:space="preserve">; this is beyond the scope of the present work</w:t>
      </w:r>
      <w:r>
        <w:t xml:space="preserve"> </w:t>
      </w:r>
      <w:r>
        <w:t xml:space="preserve">but is a logical next step.</w:t>
      </w:r>
    </w:p>
    <w:bookmarkEnd w:id="74"/>
    <w:bookmarkStart w:id="75" w:name="single-author-and-ai-assisted-workflow."/>
    <w:p>
      <w:pPr>
        <w:pStyle w:val="Heading4"/>
      </w:pPr>
      <w:r>
        <w:t xml:space="preserve">Single-author and AI-assisted workflow.</w:t>
      </w:r>
    </w:p>
    <w:p>
      <w:pPr>
        <w:pStyle w:val="FirstParagraph"/>
      </w:pPr>
      <w:r>
        <w:t xml:space="preserve">All data extraction, curation, analysis, and writing were performed by a single author</w:t>
      </w:r>
      <w:r>
        <w:t xml:space="preserve"> </w:t>
      </w:r>
      <w:r>
        <w:t xml:space="preserve">with AI assistance (see Declaration of generative AI). Single-author extraction provides</w:t>
      </w:r>
      <w:r>
        <w:t xml:space="preserve"> </w:t>
      </w:r>
      <w:r>
        <w:t xml:space="preserve">intra-rater consistency evidence only, not inter-rater reliability: the double-extraction</w:t>
      </w:r>
      <w:r>
        <w:t xml:space="preserve"> </w:t>
      </w:r>
      <w:r>
        <w:t xml:space="preserve">check (</w:t>
      </w:r>
      <m:oMath>
        <m:r>
          <m:t>52</m:t>
        </m:r>
        <m:r>
          <m:rPr>
            <m:sty m:val="p"/>
          </m:rPr>
          <m:t>/</m:t>
        </m:r>
        <m:r>
          <m:t>52</m:t>
        </m:r>
      </m:oMath>
      <w:r>
        <w:t xml:space="preserve"> </w:t>
      </w:r>
      <w:r>
        <w:t xml:space="preserve">exact,</w:t>
      </w:r>
      <w:r>
        <w:t xml:space="preserve"> </w:t>
      </w:r>
      <m:oMath>
        <m:r>
          <m:t>52</m:t>
        </m:r>
        <m:r>
          <m:rPr>
            <m:sty m:val="p"/>
          </m:rPr>
          <m:t>/</m:t>
        </m:r>
        <m:r>
          <m:t>315</m:t>
        </m:r>
      </m:oMath>
      <w:r>
        <w:t xml:space="preserve"> </w:t>
      </w:r>
      <w:r>
        <w:t xml:space="preserve">rows,</w:t>
      </w:r>
      <w:r>
        <w:t xml:space="preserve"> </w:t>
      </w:r>
      <m:oMath>
        <m:r>
          <m:t>16</m:t>
        </m:r>
        <m:r>
          <m:rPr>
            <m:sty m:val="p"/>
          </m:rPr>
          <m:t>%</m:t>
        </m:r>
      </m:oMath>
      <w:r>
        <w:t xml:space="preserve">) repeated extraction by the same author on a</w:t>
      </w:r>
      <w:r>
        <w:t xml:space="preserve"> </w:t>
      </w:r>
      <w:r>
        <w:t xml:space="preserve">subset of rows, confirming self-consistency but not guarding against systematic extractor</w:t>
      </w:r>
      <w:r>
        <w:t xml:space="preserve"> </w:t>
      </w:r>
      <w:r>
        <w:t xml:space="preserve">bias shared across both passes. The remaining</w:t>
      </w:r>
      <w:r>
        <w:t xml:space="preserve"> </w:t>
      </w:r>
      <m:oMath>
        <m:r>
          <m:t>84</m:t>
        </m:r>
        <m:r>
          <m:rPr>
            <m:sty m:val="p"/>
          </m:rPr>
          <m:t>%</m:t>
        </m:r>
      </m:oMath>
      <w:r>
        <w:t xml:space="preserve"> </w:t>
      </w:r>
      <w:r>
        <w:t xml:space="preserve">of rows (</w:t>
      </w:r>
      <m:oMath>
        <m:r>
          <m:t>263</m:t>
        </m:r>
        <m:r>
          <m:rPr>
            <m:sty m:val="p"/>
          </m:rPr>
          <m:t>/</m:t>
        </m:r>
        <m:r>
          <m:t>315</m:t>
        </m:r>
      </m:oMath>
      <w:r>
        <w:t xml:space="preserve">) have no</w:t>
      </w:r>
      <w:r>
        <w:t xml:space="preserve"> </w:t>
      </w:r>
      <w:r>
        <w:t xml:space="preserve">independent extractor check. A post-hoc independent-agent IRR pass (Section </w:t>
      </w:r>
      <w:hyperlink w:anchor="sec:qc">
        <w:r>
          <w:rPr>
            <w:rStyle w:val="Hyperlink"/>
          </w:rPr>
          <w:t xml:space="preserve">3.2</w:t>
        </w:r>
      </w:hyperlink>
      <w:r>
        <w:t xml:space="preserve">)</w:t>
      </w:r>
      <w:r>
        <w:t xml:space="preserve"> </w:t>
      </w:r>
      <w:r>
        <w:t xml:space="preserve">identified three coding errors in the study-level metadata</w:t>
      </w:r>
      <w:r>
        <w:t xml:space="preserve"> </w:t>
      </w:r>
      <w:r>
        <w:t xml:space="preserve">(</w:t>
      </w:r>
      <w:r>
        <w:rPr>
          <w:rStyle w:val="VerbatimChar"/>
        </w:rPr>
        <w:t xml:space="preserve">temperature_control</w:t>
      </w:r>
      <w:r>
        <w:t xml:space="preserve"> </w:t>
      </w:r>
      <w:r>
        <w:t xml:space="preserve">and</w:t>
      </w:r>
      <w:r>
        <w:t xml:space="preserve"> </w:t>
      </w:r>
      <w:r>
        <w:rPr>
          <w:rStyle w:val="VerbatimChar"/>
        </w:rPr>
        <w:t xml:space="preserve">measurement_method</w:t>
      </w:r>
      <w:r>
        <w:t xml:space="preserve">)</w:t>
      </w:r>
      <w:r>
        <w:t xml:space="preserve"> </w:t>
      </w:r>
      <w:r>
        <w:t xml:space="preserve">that, after correction, meaningfully changed the variance decomposition numbers</w:t>
      </w:r>
      <w:r>
        <w:t xml:space="preserve"> </w:t>
      </w:r>
      <w:r>
        <w:t xml:space="preserve">(temperature control:</w:t>
      </w:r>
      <w:r>
        <w:t xml:space="preserve"> </w:t>
      </w:r>
      <m:oMath>
        <m:r>
          <m:t>0.332</m:t>
        </m:r>
        <m:r>
          <m:rPr>
            <m:sty m:val="p"/>
          </m:rPr>
          <m:t>→</m:t>
        </m:r>
        <m:r>
          <m:t>0.081</m:t>
        </m:r>
      </m:oMath>
      <w:r>
        <w:t xml:space="preserve">; measurement apparatus: nominally largest predictor,</w:t>
      </w:r>
      <w:r>
        <w:t xml:space="preserve"> </w:t>
      </w:r>
      <m:oMath>
        <m:r>
          <m:t>0.425</m:t>
        </m:r>
      </m:oMath>
      <w:r>
        <w:t xml:space="preserve">). This underscores that agent-assisted IRR can surface coding errors even when</w:t>
      </w:r>
      <w:r>
        <w:t xml:space="preserve"> </w:t>
      </w:r>
      <w:r>
        <w:t xml:space="preserve">the original pass was author-reviewed, and that the variance decomposition is sensitive</w:t>
      </w:r>
      <w:r>
        <w:t xml:space="preserve"> </w:t>
      </w:r>
      <w:r>
        <w:t xml:space="preserve">to the accuracy of study-level metadata labels. The IRR pass covers an accessible</w:t>
      </w:r>
      <w:r>
        <w:t xml:space="preserve"> </w:t>
      </w:r>
      <w:r>
        <w:t xml:space="preserve">subset (</w:t>
      </w:r>
      <m:oMath>
        <m:r>
          <m:t>8</m:t>
        </m:r>
        <m:r>
          <m:rPr>
            <m:sty m:val="p"/>
          </m:rPr>
          <m:t>/</m:t>
        </m:r>
        <m:r>
          <m:t>31</m:t>
        </m:r>
      </m:oMath>
      <w:r>
        <w:t xml:space="preserve"> </w:t>
      </w:r>
      <w:r>
        <w:t xml:space="preserve">openly reachable studies); systematic biases in the paywalled studies</w:t>
      </w:r>
      <w:r>
        <w:t xml:space="preserve"> </w:t>
      </w:r>
      <w:r>
        <w:t xml:space="preserve">(</w:t>
      </w:r>
      <m:oMath>
        <m:r>
          <m:t>n</m:t>
        </m:r>
        <m:r>
          <m:t>​</m:t>
        </m:r>
        <m:r>
          <m:rPr>
            <m:sty m:val="p"/>
          </m:rPr>
          <m:t>=</m:t>
        </m:r>
        <m:r>
          <m:t>​</m:t>
        </m:r>
        <m:r>
          <m:t>23</m:t>
        </m:r>
      </m:oMath>
      <w:r>
        <w:t xml:space="preserve">) cannot be ruled out. The agent-based IRR further shares a base model</w:t>
      </w:r>
      <w:r>
        <w:t xml:space="preserve"> </w:t>
      </w:r>
      <w:r>
        <w:t xml:space="preserve">(Anthropic Claude), so model-level systematic errors are not excluded; this is not</w:t>
      </w:r>
      <w:r>
        <w:t xml:space="preserve"> </w:t>
      </w:r>
      <w:r>
        <w:t xml:space="preserve">equivalent to human dual-coding. Readers should treat the results as a first</w:t>
      </w:r>
      <w:r>
        <w:t xml:space="preserve"> </w:t>
      </w:r>
      <w:r>
        <w:t xml:space="preserve">systematic synthesis requiring external validation rather than as an established consensus.</w:t>
      </w:r>
      <w:r>
        <w:t xml:space="preserve"> </w:t>
      </w:r>
      <w:r>
        <w:t xml:space="preserve">The curated data and analysis pipeline are released openly so that independent groups can</w:t>
      </w:r>
      <w:r>
        <w:t xml:space="preserve"> </w:t>
      </w:r>
      <w:r>
        <w:t xml:space="preserve">audit extraction quality and extend the corpus.</w:t>
      </w:r>
    </w:p>
    <w:bookmarkEnd w:id="75"/>
    <w:bookmarkStart w:id="76" w:name="particle-size-finding-scope."/>
    <w:p>
      <w:pPr>
        <w:pStyle w:val="Heading4"/>
      </w:pPr>
      <w:r>
        <w:t xml:space="preserve">Particle-size finding scope.</w:t>
      </w:r>
    </w:p>
    <w:p>
      <w:pPr>
        <w:pStyle w:val="FirstParagraph"/>
      </w:pPr>
      <w:r>
        <w:t xml:space="preserve">The resolution of the particle-size contradiction rests on</w:t>
      </w:r>
      <w:r>
        <w:t xml:space="preserve"> </w:t>
      </w:r>
      <m:oMath>
        <m:r>
          <m:t>n</m:t>
        </m:r>
        <m:r>
          <m:t>​</m:t>
        </m:r>
        <m:r>
          <m:rPr>
            <m:sty m:val="p"/>
          </m:rPr>
          <m:t>=</m:t>
        </m:r>
        <m:r>
          <m:t>​</m:t>
        </m:r>
        <m:r>
          <m:t>5</m:t>
        </m:r>
      </m:oMath>
      <w:r>
        <w:t xml:space="preserve"> </w:t>
      </w:r>
      <w:r>
        <w:t xml:space="preserve">studies</w:t>
      </w:r>
      <w:r>
        <w:t xml:space="preserve"> </w:t>
      </w:r>
      <w:r>
        <w:t xml:space="preserve">(</w:t>
      </w:r>
      <m:oMath>
        <m:r>
          <m:t>59</m:t>
        </m:r>
        <m:r>
          <m:rPr>
            <m:sty m:val="p"/>
          </m:rPr>
          <m:t>/</m:t>
        </m:r>
        <m:r>
          <m:t>315</m:t>
        </m:r>
      </m:oMath>
      <w:r>
        <w:t xml:space="preserve"> </w:t>
      </w:r>
      <w:r>
        <w:t xml:space="preserve">rows,</w:t>
      </w:r>
      <w:r>
        <w:t xml:space="preserve"> </w:t>
      </w:r>
      <m:oMath>
        <m:r>
          <m:t>19</m:t>
        </m:r>
        <m:r>
          <m:rPr>
            <m:sty m:val="p"/>
          </m:rPr>
          <m:t>%</m:t>
        </m:r>
      </m:oMath>
      <w:r>
        <w:t xml:space="preserve">) that systematically vary particle size. Two regimes</w:t>
      </w:r>
      <w:r>
        <w:t xml:space="preserve"> </w:t>
      </w:r>
      <w:r>
        <w:t xml:space="preserve">(</w:t>
      </w:r>
      <w:r>
        <w:rPr>
          <w:rStyle w:val="VerbatimChar"/>
        </w:rPr>
        <w:t xml:space="preserve">al_alloy</w:t>
      </w:r>
      <w:r>
        <w:t xml:space="preserve">,</w:t>
      </w:r>
      <w:r>
        <w:t xml:space="preserve"> </w:t>
      </w:r>
      <w:r>
        <w:rPr>
          <w:rStyle w:val="VerbatimChar"/>
        </w:rPr>
        <w:t xml:space="preserve">mechanically_activated</w:t>
      </w:r>
      <w:r>
        <w:t xml:space="preserve">) have zero particle-size entries.</w:t>
      </w:r>
      <w:r>
        <w:t xml:space="preserve"> </w:t>
      </w:r>
      <w:r>
        <w:t xml:space="preserve">The</w:t>
      </w:r>
      <w:r>
        <w:t xml:space="preserve"> </w:t>
      </w:r>
      <m:oMath>
        <m:r>
          <m:t>5</m:t>
        </m:r>
        <m:r>
          <m:rPr>
            <m:sty m:val="p"/>
          </m:rPr>
          <m:t>/</m:t>
        </m:r>
        <m:r>
          <m:t>5</m:t>
        </m:r>
      </m:oMath>
      <w:r>
        <w:t xml:space="preserve"> </w:t>
      </w:r>
      <w:r>
        <w:t xml:space="preserve">within-study consistency is a strong qualitative signal, but the</w:t>
      </w:r>
      <w:r>
        <w:t xml:space="preserve"> </w:t>
      </w:r>
      <m:oMath>
        <m:r>
          <m:t>26</m:t>
        </m:r>
      </m:oMath>
      <w:r>
        <w:t xml:space="preserve"> </w:t>
      </w:r>
      <w:r>
        <w:t xml:space="preserve">studies</w:t>
      </w:r>
      <w:r>
        <w:t xml:space="preserve"> </w:t>
      </w:r>
      <w:r>
        <w:t xml:space="preserve">that did not report particle size may differ systematically from those that did.</w:t>
      </w:r>
      <w:r>
        <w:t xml:space="preserve"> </w:t>
      </w:r>
      <w:r>
        <w:t xml:space="preserve">Whether the consistently-negative within-study effect generalises beyond the reporting</w:t>
      </w:r>
      <w:r>
        <w:t xml:space="preserve"> </w:t>
      </w:r>
      <w:r>
        <w:t xml:space="preserve">subset cannot be established from the current dataset.</w:t>
      </w:r>
    </w:p>
    <w:bookmarkEnd w:id="76"/>
    <w:bookmarkStart w:id="77" w:name="leakage-gap-as-a-conflated-signal."/>
    <w:p>
      <w:pPr>
        <w:pStyle w:val="Heading4"/>
      </w:pPr>
      <w:r>
        <w:t xml:space="preserve">Leakage gap as a conflated signal.</w:t>
      </w:r>
    </w:p>
    <w:p>
      <w:pPr>
        <w:pStyle w:val="FirstParagraph"/>
      </w:pPr>
      <w:r>
        <w:t xml:space="preserve">The optimism gap (</w:t>
      </w:r>
      <m:oMath>
        <m:r>
          <m:t>0.62</m:t>
        </m:r>
      </m:oMath>
      <w:r>
        <w:t xml:space="preserve">–</w:t>
      </w:r>
      <m:oMath>
        <m:r>
          <m:t>0.85</m:t>
        </m:r>
      </m:oMath>
      <w:r>
        <w:t xml:space="preserve"> </w:t>
      </w:r>
      <w:r>
        <w:t xml:space="preserve">for tree models) reflects two distinct phenomena:</w:t>
      </w:r>
      <w:r>
        <w:t xml:space="preserve"> </w:t>
      </w:r>
      <w:r>
        <w:t xml:space="preserve">between-study methodological heterogeneity and out-of-distribution extrapolation.</w:t>
      </w:r>
      <w:r>
        <w:t xml:space="preserve"> </w:t>
      </w:r>
      <w:r>
        <w:t xml:space="preserve">If the 31 studies explore non-overlapping regions of physicochemical parameter</w:t>
      </w:r>
      <w:r>
        <w:t xml:space="preserve"> </w:t>
      </w:r>
      <w:r>
        <w:t xml:space="preserve">space (plausible given five regimes with different activation methods, particle sizes,</w:t>
      </w:r>
      <w:r>
        <w:t xml:space="preserve"> </w:t>
      </w:r>
      <w:r>
        <w:t xml:space="preserve">and alkali types), a model trained on some studies will fail on others even under</w:t>
      </w:r>
      <w:r>
        <w:t xml:space="preserve"> </w:t>
      </w:r>
      <w:r>
        <w:t xml:space="preserve">identical measurement protocols, because the held-out study’s conditions are out of</w:t>
      </w:r>
      <w:r>
        <w:t xml:space="preserve"> </w:t>
      </w:r>
      <w:r>
        <w:t xml:space="preserve">distribution. We cannot currently separate these contributions quantitatively; the</w:t>
      </w:r>
      <w:r>
        <w:t xml:space="preserve"> </w:t>
      </w:r>
      <m:oMath>
        <m:r>
          <m:t>72</m:t>
        </m:r>
        <m:r>
          <m:rPr>
            <m:sty m:val="p"/>
          </m:rPr>
          <m:t>%</m:t>
        </m:r>
      </m:oMath>
      <w:r>
        <w:t xml:space="preserve"> </w:t>
      </w:r>
      <w:r>
        <w:t xml:space="preserve">methodology attribution addresses the heterogeneity component but does not</w:t>
      </w:r>
      <w:r>
        <w:t xml:space="preserve"> </w:t>
      </w:r>
      <w:r>
        <w:t xml:space="preserve">isolate it from extrapolation effects.</w:t>
      </w:r>
    </w:p>
    <w:bookmarkEnd w:id="77"/>
    <w:bookmarkStart w:id="78" w:name="mixed-effects-model-specification."/>
    <w:p>
      <w:pPr>
        <w:pStyle w:val="Heading4"/>
      </w:pPr>
      <w:r>
        <w:t xml:space="preserve">Mixed-effects model specification.</w:t>
      </w:r>
    </w:p>
    <w:p>
      <w:pPr>
        <w:pStyle w:val="FirstParagraph"/>
      </w:pPr>
      <w:r>
        <w:t xml:space="preserve">The mixed-effects meta-regression (H2) assumes homoscedastic within-study residual</w:t>
      </w:r>
      <w:r>
        <w:t xml:space="preserve"> </w:t>
      </w:r>
      <w:r>
        <w:t xml:space="preserve">variance. However, the within-study LOSO analysis (T_A) shows wide heterogeneity in</w:t>
      </w:r>
      <w:r>
        <w:t xml:space="preserve"> </w:t>
      </w:r>
      <w:r>
        <w:t xml:space="preserve">within-study predictability (</w:t>
      </w:r>
      <m:oMath>
        <m:sSubSup>
          <m:e>
            <m:r>
              <m:t>η</m:t>
            </m:r>
          </m:e>
          <m:sub>
            <m:r>
              <m:rPr>
                <m:nor/>
                <m:sty m:val="p"/>
              </m:rPr>
              <m:t>study</m:t>
            </m:r>
          </m:sub>
          <m:sup>
            <m:r>
              <m:t>2</m:t>
            </m:r>
          </m:sup>
        </m:sSubSup>
        <m:r>
          <m:t>​</m:t>
        </m:r>
        <m:r>
          <m:rPr>
            <m:sty m:val="p"/>
          </m:rPr>
          <m:t>=</m:t>
        </m:r>
        <m:r>
          <m:t>​</m:t>
        </m:r>
        <m:r>
          <m:t>0.496</m:t>
        </m:r>
      </m:oMath>
      <w:r>
        <w:t xml:space="preserve">). If residual variance</w:t>
      </w:r>
      <w:r>
        <w:t xml:space="preserve"> </w:t>
      </w:r>
      <w:r>
        <w:t xml:space="preserve">differs substantially across studies, REML estimates may be inefficient and fixed-effect</w:t>
      </w:r>
      <w:r>
        <w:t xml:space="preserve"> </w:t>
      </w:r>
      <w:r>
        <w:t xml:space="preserve">standard errors biased, making the null regime effect harder to interpret. Influence</w:t>
      </w:r>
      <w:r>
        <w:t xml:space="preserve"> </w:t>
      </w:r>
      <w:r>
        <w:t xml:space="preserve">diagnostics and heteroscedastic alternatives were not performed; the H2 null should be</w:t>
      </w:r>
      <w:r>
        <w:t xml:space="preserve"> </w:t>
      </w:r>
      <w:r>
        <w:t xml:space="preserve">replicated in a larger sample.</w:t>
      </w:r>
    </w:p>
    <w:bookmarkEnd w:id="78"/>
    <w:bookmarkStart w:id="79" w:name="laboratory-clustering."/>
    <w:p>
      <w:pPr>
        <w:pStyle w:val="Heading4"/>
      </w:pPr>
      <w:r>
        <w:t xml:space="preserve">Laboratory clustering.</w:t>
      </w:r>
    </w:p>
    <w:p>
      <w:pPr>
        <w:pStyle w:val="FirstParagraph"/>
      </w:pPr>
      <w:r>
        <w:t xml:space="preserve">The study-grouped cross-validation treats each DOI as an independent unit. Multiple</w:t>
      </w:r>
      <w:r>
        <w:t xml:space="preserve"> </w:t>
      </w:r>
      <w:r>
        <w:t xml:space="preserve">papers from the same laboratory or principal investigator may share unmeasured</w:t>
      </w:r>
      <w:r>
        <w:t xml:space="preserve"> </w:t>
      </w:r>
      <w:r>
        <w:t xml:space="preserve">similarities (equipment, protocols, calibration) that DOI-level grouping does not</w:t>
      </w:r>
      <w:r>
        <w:t xml:space="preserve"> </w:t>
      </w:r>
      <w:r>
        <w:t xml:space="preserve">capture. If studies cluster by laboratory, the observed</w:t>
      </w:r>
      <w:r>
        <w:t xml:space="preserve"> </w:t>
      </w:r>
      <m:oMath>
        <m:sSubSup>
          <m:e>
            <m:r>
              <m:t>R</m:t>
            </m:r>
          </m:e>
          <m:sub>
            <m:r>
              <m:rPr>
                <m:nor/>
                <m:sty m:val="p"/>
              </m:rPr>
              <m:t>grouped</m:t>
            </m:r>
          </m:sub>
          <m:sup>
            <m:r>
              <m:t>2</m:t>
            </m:r>
          </m:sup>
        </m:sSubSup>
      </m:oMath>
      <w:r>
        <w:t xml:space="preserve"> </w:t>
      </w:r>
      <w:r>
        <w:t xml:space="preserve">may</w:t>
      </w:r>
      <w:r>
        <w:t xml:space="preserve"> </w:t>
      </w:r>
      <w:r>
        <w:t xml:space="preserve">still overestimate true cross-laboratory generalization. A lab-grouped cross-validation</w:t>
      </w:r>
      <w:r>
        <w:t xml:space="preserve"> </w:t>
      </w:r>
      <w:r>
        <w:t xml:space="preserve">was not performed; future work should construct a study-to-laboratory mapping and</w:t>
      </w:r>
      <w:r>
        <w:t xml:space="preserve"> </w:t>
      </w:r>
      <w:r>
        <w:t xml:space="preserve">test whether the optimism gap widens under stricter grouping.</w:t>
      </w:r>
    </w:p>
    <w:bookmarkEnd w:id="79"/>
    <w:bookmarkEnd w:id="80"/>
    <w:bookmarkEnd w:id="81"/>
    <w:bookmarkStart w:id="82" w:name="conclusion"/>
    <w:p>
      <w:pPr>
        <w:pStyle w:val="Heading1"/>
      </w:pPr>
      <w:r>
        <w:t xml:space="preserve">Conclusion</w:t>
      </w:r>
    </w:p>
    <w:p>
      <w:pPr>
        <w:pStyle w:val="FirstParagraph"/>
      </w:pPr>
      <w:r>
        <w:t xml:space="preserve">We unified the scattered aluminum–water hydrolysis literature into a provenance-tracked,</w:t>
      </w:r>
      <w:r>
        <w:t xml:space="preserve"> </w:t>
      </w:r>
      <w:r>
        <w:t xml:space="preserve">quality-tiered open dataset and used leakage-controlled, pre-registered analysis to test</w:t>
      </w:r>
      <w:r>
        <w:t xml:space="preserve"> </w:t>
      </w:r>
      <w:r>
        <w:t xml:space="preserve">whether its long-documented contradictions are physical or methodological. The data answer</w:t>
      </w:r>
      <w:r>
        <w:t xml:space="preserve"> </w:t>
      </w:r>
      <w:r>
        <w:t xml:space="preserve">clearly, if associationally: under study-grouped evaluation naive pooling fails, the</w:t>
      </w:r>
      <w:r>
        <w:t xml:space="preserve"> </w:t>
      </w:r>
      <w:r>
        <w:t xml:space="preserve">physico-chemical regime explains</w:t>
      </w:r>
      <w:r>
        <w:t xml:space="preserve"> </w:t>
      </w:r>
      <m:oMath>
        <m:r>
          <m:rPr>
            <m:sty m:val="p"/>
          </m:rPr>
          <m:t>≈</m:t>
        </m:r>
        <m:r>
          <m:t>​</m:t>
        </m:r>
        <m:r>
          <m:t>2</m:t>
        </m:r>
        <m:r>
          <m:rPr>
            <m:sty m:val="p"/>
          </m:rPr>
          <m:t>%</m:t>
        </m:r>
      </m:oMath>
      <w:r>
        <w:t xml:space="preserve"> </w:t>
      </w:r>
      <w:r>
        <w:t xml:space="preserve">(bootstrap 95 % CI</w:t>
      </w:r>
      <w:r>
        <w:t xml:space="preserve"> </w:t>
      </w:r>
      <m:oMath>
        <m:r>
          <m:rPr>
            <m:sty m:val="p"/>
          </m:rPr>
          <m:t>[</m:t>
        </m:r>
        <m:r>
          <m:t>0.01</m:t>
        </m:r>
        <m:r>
          <m:rPr>
            <m:sty m:val="p"/>
          </m:rPr>
          <m:t>,</m:t>
        </m:r>
        <m:r>
          <m:t> </m:t>
        </m:r>
        <m:r>
          <m:t>0.37</m:t>
        </m:r>
        <m:r>
          <m:rPr>
            <m:sty m:val="p"/>
          </m:rPr>
          <m:t>]</m:t>
        </m:r>
      </m:oMath>
      <w:r>
        <w:t xml:space="preserve">) of the between-study yield variance while</w:t>
      </w:r>
      <w:r>
        <w:t xml:space="preserve"> </w:t>
      </w:r>
      <w:r>
        <w:t xml:space="preserve">methodological covariates explain</w:t>
      </w:r>
      <w:r>
        <w:t xml:space="preserve"> </w:t>
      </w:r>
      <m:oMath>
        <m:r>
          <m:rPr>
            <m:sty m:val="p"/>
          </m:rPr>
          <m:t>≈</m:t>
        </m:r>
        <m:r>
          <m:t>​</m:t>
        </m:r>
        <m:r>
          <m:t>72</m:t>
        </m:r>
        <m:r>
          <m:rPr>
            <m:sty m:val="p"/>
          </m:rPr>
          <m:t>%</m:t>
        </m:r>
      </m:oMath>
      <w:r>
        <w:t xml:space="preserve"> </w:t>
      </w:r>
      <w:r>
        <w:t xml:space="preserve">(hydrogen measurement apparatus alone</w:t>
      </w:r>
      <w:r>
        <w:t xml:space="preserve"> </w:t>
      </w:r>
      <m:oMath>
        <m:r>
          <m:rPr>
            <m:sty m:val="p"/>
          </m:rPr>
          <m:t>≈</m:t>
        </m:r>
        <m:r>
          <m:t>​</m:t>
        </m:r>
        <m:r>
          <m:t>43</m:t>
        </m:r>
        <m:r>
          <m:rPr>
            <m:sty m:val="p"/>
          </m:rPr>
          <m:t>%</m:t>
        </m:r>
      </m:oMath>
      <w:r>
        <w:t xml:space="preserve">;</w:t>
      </w:r>
      <w:r>
        <w:t xml:space="preserve"> </w:t>
      </w:r>
      <w:r>
        <w:t xml:space="preserve">temperature control</w:t>
      </w:r>
      <w:r>
        <w:t xml:space="preserve"> </w:t>
      </w:r>
      <m:oMath>
        <m:r>
          <m:rPr>
            <m:sty m:val="p"/>
          </m:rPr>
          <m:t>≈</m:t>
        </m:r>
        <m:r>
          <m:t>​</m:t>
        </m:r>
        <m:r>
          <m:t>8</m:t>
        </m:r>
        <m:r>
          <m:rPr>
            <m:sty m:val="p"/>
          </m:rPr>
          <m:t>%</m:t>
        </m:r>
      </m:oMath>
      <w:r>
        <w:t xml:space="preserve">),</w:t>
      </w:r>
      <w:r>
        <w:t xml:space="preserve"> </w:t>
      </w:r>
      <w:r>
        <w:t xml:space="preserve">and the flagship particle-size contradiction is consistent within studies. The contradictions</w:t>
      </w:r>
      <w:r>
        <w:t xml:space="preserve"> </w:t>
      </w:r>
      <w:r>
        <w:t xml:space="preserve">are predominantly an artifact of non-standardized measurement, not genuine regime</w:t>
      </w:r>
      <w:r>
        <w:t xml:space="preserve"> </w:t>
      </w:r>
      <w:r>
        <w:t xml:space="preserve">disagreement. Beyond the finding, the contribution is durable infrastructure: an open</w:t>
      </w:r>
      <w:r>
        <w:t xml:space="preserve"> </w:t>
      </w:r>
      <w:r>
        <w:t xml:space="preserve">dataset, a reproducible leakage-controlled benchmark, and a proposed minimum-information</w:t>
      </w:r>
      <w:r>
        <w:t xml:space="preserve"> </w:t>
      </w:r>
      <w:r>
        <w:t xml:space="preserve">reporting checklist that, if prospectively adopted and validated, could reduce methodological</w:t>
      </w:r>
      <w:r>
        <w:t xml:space="preserve"> </w:t>
      </w:r>
      <w:r>
        <w:t xml:space="preserve">variance and improve poolability.</w:t>
      </w:r>
    </w:p>
    <w:bookmarkEnd w:id="82"/>
    <w:bookmarkStart w:id="84" w:name="data-and-code-availability"/>
    <w:p>
      <w:pPr>
        <w:pStyle w:val="Heading1"/>
      </w:pPr>
      <w:r>
        <w:t xml:space="preserve">Data and code availability</w:t>
      </w:r>
    </w:p>
    <w:p>
      <w:pPr>
        <w:pStyle w:val="FirstParagraph"/>
      </w:pPr>
      <w:r>
        <w:t xml:space="preserve">The curated dataset (315 condition-level yield rows and the separate 76-row kinetic table), the</w:t>
      </w:r>
      <w:r>
        <w:t xml:space="preserve"> </w:t>
      </w:r>
      <w:r>
        <w:t xml:space="preserve">analysis pipeline, and the figure-generation scripts are released openly. The curated dataset is</w:t>
      </w:r>
      <w:r>
        <w:t xml:space="preserve"> </w:t>
      </w:r>
      <w:r>
        <w:t xml:space="preserve">openly available at Zenodo,</w:t>
      </w:r>
      <w:r>
        <w:t xml:space="preserve"> </w:t>
      </w:r>
      <w:hyperlink r:id="rId83">
        <w:r>
          <w:rPr>
            <w:rStyle w:val="Hyperlink"/>
          </w:rPr>
          <w:t xml:space="preserve">https://doi.org/10.5281/zenodo.20751918</w:t>
        </w:r>
      </w:hyperlink>
      <w:r>
        <w:t xml:space="preserve"> </w:t>
      </w:r>
      <w:r>
        <w:t xml:space="preserve">(CC-BY-4.0). The Zenodo</w:t>
      </w:r>
      <w:r>
        <w:t xml:space="preserve"> </w:t>
      </w:r>
      <w:r>
        <w:t xml:space="preserve">deposit comprises the curated dataset, analysis scripts, and figure-generation code only; draft</w:t>
      </w:r>
      <w:r>
        <w:t xml:space="preserve"> </w:t>
      </w:r>
      <w:r>
        <w:t xml:space="preserve">manuscripts, command history, and other internal workflow artifacts are excluded from the public</w:t>
      </w:r>
      <w:r>
        <w:t xml:space="preserve"> </w:t>
      </w:r>
      <w:r>
        <w:t xml:space="preserve">release. A dataset card documenting the schema, provenance, quality tiers, and scope accompanies</w:t>
      </w:r>
      <w:r>
        <w:t xml:space="preserve"> </w:t>
      </w:r>
      <w:r>
        <w:t xml:space="preserve">the deposit. Analysis code is available from the corresponding author on reasonable request.</w:t>
      </w:r>
    </w:p>
    <w:bookmarkEnd w:id="84"/>
    <w:bookmarkStart w:id="85" w:name="acknowledgements"/>
    <w:p>
      <w:pPr>
        <w:pStyle w:val="Heading1"/>
      </w:pPr>
      <w:r>
        <w:t xml:space="preserve">Acknowledgements</w:t>
      </w:r>
    </w:p>
    <w:p>
      <w:pPr>
        <w:pStyle w:val="FirstParagraph"/>
      </w:pPr>
      <w:r>
        <w:t xml:space="preserve">This research was not supported by external funding.</w:t>
      </w:r>
    </w:p>
    <w:bookmarkEnd w:id="85"/>
    <w:bookmarkStart w:id="86" w:name="declaration-of-competing-interest"/>
    <w:p>
      <w:pPr>
        <w:pStyle w:val="Heading1"/>
      </w:pPr>
      <w:r>
        <w:t xml:space="preserve">Declaration of competing interest</w:t>
      </w:r>
    </w:p>
    <w:p>
      <w:pPr>
        <w:pStyle w:val="FirstParagraph"/>
      </w:pPr>
      <w:r>
        <w:t xml:space="preserve">The author declares no competing financial or personal interests.</w:t>
      </w:r>
    </w:p>
    <w:bookmarkEnd w:id="86"/>
    <w:bookmarkStart w:id="87" w:name="credit-authorship-contribution-statement"/>
    <w:p>
      <w:pPr>
        <w:pStyle w:val="Heading1"/>
      </w:pPr>
      <w:r>
        <w:t xml:space="preserve">CRediT authorship contribution statement</w:t>
      </w:r>
    </w:p>
    <w:p>
      <w:pPr>
        <w:pStyle w:val="FirstParagraph"/>
      </w:pPr>
      <w:r>
        <w:rPr>
          <w:b/>
          <w:bCs/>
        </w:rPr>
        <w:t xml:space="preserve">Dogukan Unal:</w:t>
      </w:r>
      <w:r>
        <w:t xml:space="preserve"> </w:t>
      </w:r>
      <w:r>
        <w:t xml:space="preserve">Conceptualization, Methodology, Software, Formal analysis, Data curation,</w:t>
      </w:r>
      <w:r>
        <w:t xml:space="preserve"> </w:t>
      </w:r>
      <w:r>
        <w:t xml:space="preserve">Writing – original draft, Writing – review &amp; editing, Visualization. Single-author contribution encompasses all CRediT roles.</w:t>
      </w:r>
    </w:p>
    <w:bookmarkEnd w:id="87"/>
    <w:bookmarkStart w:id="88" w:name="Xfd35355eaff5be7167e13ac5f8f9ba5509cc5e8"/>
    <w:p>
      <w:pPr>
        <w:pStyle w:val="Heading1"/>
      </w:pPr>
      <w:r>
        <w:t xml:space="preserve">Declaration of generative AI and AI-assisted technologies</w:t>
      </w:r>
    </w:p>
    <w:p>
      <w:pPr>
        <w:pStyle w:val="FirstParagraph"/>
      </w:pPr>
      <w:r>
        <w:t xml:space="preserve">During the preparation of this work the author used generative AI agents (Anthropic’s Claude, via</w:t>
      </w:r>
      <w:r>
        <w:t xml:space="preserve"> </w:t>
      </w:r>
      <w:r>
        <w:t xml:space="preserve">the Claude Code environment) for literature triage, assistance with data extraction from source</w:t>
      </w:r>
      <w:r>
        <w:t xml:space="preserve"> </w:t>
      </w:r>
      <w:r>
        <w:t xml:space="preserve">papers, statistical analysis and analysis code, figure generation, and drafting of the manuscript.</w:t>
      </w:r>
      <w:r>
        <w:t xml:space="preserve"> </w:t>
      </w:r>
      <w:r>
        <w:t xml:space="preserve">All AI-assisted steps were carried out under the author’s direction. The author reviewed and verified</w:t>
      </w:r>
      <w:r>
        <w:t xml:space="preserve"> </w:t>
      </w:r>
      <w:r>
        <w:t xml:space="preserve">all extracted data, analyses, results, and claims, edited the AI output as needed, and takes full</w:t>
      </w:r>
      <w:r>
        <w:t xml:space="preserve"> </w:t>
      </w:r>
      <w:r>
        <w:t xml:space="preserve">responsibility for the content of this publication. The AI tools are not listed as authors and made</w:t>
      </w:r>
      <w:r>
        <w:t xml:space="preserve"> </w:t>
      </w:r>
      <w:r>
        <w:t xml:space="preserve">no independent scientific judgements.</w:t>
      </w:r>
    </w:p>
    <w:bookmarkEnd w:id="88"/>
    <w:bookmarkStart w:id="210" w:name="supplementary-material"/>
    <w:p>
      <w:pPr>
        <w:pStyle w:val="Heading1"/>
      </w:pPr>
      <w:r>
        <w:t xml:space="preserve">Supplementary Material</w:t>
      </w:r>
    </w:p>
    <w:p>
      <w:pPr>
        <w:pStyle w:val="FirstParagraph"/>
      </w:pPr>
      <w:r>
        <w:rPr>
          <w:b/>
          <w:bCs/>
        </w:rPr>
        <w:t xml:space="preserve">Contents:</w:t>
      </w:r>
      <w:r>
        <w:t xml:space="preserve"> </w:t>
      </w:r>
      <w:r>
        <w:t xml:space="preserve">SI-1: Complete 31-study data-source list (regime, row counts, DOI).</w:t>
      </w:r>
      <w:r>
        <w:t xml:space="preserve"> </w:t>
      </w:r>
      <w:r>
        <w:t xml:space="preserve">SI-2: Full random-forest permutation importance ranking (all 16 model features).</w:t>
      </w:r>
      <w:r>
        <w:t xml:space="preserve"> </w:t>
      </w:r>
      <w:r>
        <w:t xml:space="preserve">Full per-study Arrhenius activation energies (</w:t>
      </w:r>
      <m:oMath>
        <m:sSub>
          <m:e>
            <m:r>
              <m:t>E</m:t>
            </m:r>
          </m:e>
          <m:sub>
            <m:r>
              <m:rPr>
                <m:sty m:val="p"/>
              </m:rPr>
              <m:t>a</m:t>
            </m:r>
          </m:sub>
        </m:sSub>
      </m:oMath>
      <w:r>
        <w:t xml:space="preserve">), per-study within-study</w:t>
      </w:r>
      <w:r>
        <w:t xml:space="preserve"> </w:t>
      </w:r>
      <w:r>
        <w:t xml:space="preserve">LOSO skill values, and coverage tables are provided in the companion data release (</w:t>
      </w:r>
      <w:hyperlink r:id="rId83">
        <w:r>
          <w:rPr>
            <w:rStyle w:val="Hyperlink"/>
          </w:rPr>
          <w:t xml:space="preserve">https://doi.org/10.5281/zenodo.20751918</w:t>
        </w:r>
      </w:hyperlink>
      <w:r>
        <w:t xml:space="preserve">).</w:t>
      </w:r>
    </w:p>
    <w:bookmarkStart w:id="90" w:name="Xa9c3b58d9abd5cb8f772648c2f76997974e2040"/>
    <w:p>
      <w:pPr>
        <w:pStyle w:val="Heading2"/>
      </w:pPr>
      <w:r>
        <w:t xml:space="preserve">Table SI-1: Complete data-source study list</w:t>
      </w:r>
    </w:p>
    <w:bookmarkStart w:id="89" w:name="tab:si_sources"/>
    <w:p>
      <w:pPr>
        <w:pStyle w:val="TableCaption"/>
      </w:pPr>
      <w:r>
        <w:rPr>
          <w:b/>
          <w:bCs/>
        </w:rPr>
        <w:t xml:space="preserve">All 31 data-source studies, their physico-chemical regime, row counts,</w:t>
      </w:r>
      <w:r>
        <w:rPr>
          <w:b/>
          <w:bCs/>
        </w:rPr>
        <w:t xml:space="preserve"> </w:t>
      </w:r>
      <w:r>
        <w:rPr>
          <w:b/>
          <w:bCs/>
        </w:rPr>
        <w:t xml:space="preserve">and DOIs.</w:t>
      </w:r>
      <w:r>
        <w:t xml:space="preserve"> </w:t>
      </w:r>
      <w:r>
        <w:t xml:space="preserve">Studies are listed in order of first regime, then alphabetically by citekey.</w:t>
      </w:r>
      <w:r>
        <w:t xml:space="preserve"> </w:t>
      </w:r>
      <w:r>
        <w:t xml:space="preserve">“Yield rows”</w:t>
      </w:r>
      <w:r>
        <w:t xml:space="preserve"> </w:t>
      </w:r>
      <w:r>
        <w:t xml:space="preserve">are condition-level records in the hydrogen-yield dataset;</w:t>
      </w:r>
      <w:r>
        <w:t xml:space="preserve"> </w:t>
      </w:r>
      <w:r>
        <w:t xml:space="preserve">“kinetic rows”</w:t>
      </w:r>
      <w:r>
        <w:t xml:space="preserve"> </w:t>
      </w:r>
      <w:r>
        <w:t xml:space="preserve">are Arrhenius fits or tabulated rates in the separate kinetic table.</w:t>
      </w:r>
      <w:r>
        <w:t xml:space="preserve"> </w:t>
      </w:r>
      <w:r>
        <w:t xml:space="preserve">Full condition-range metadata (temperature, concentration, particle-size ranges) are in</w:t>
      </w:r>
      <w:r>
        <w:t xml:space="preserve"> </w:t>
      </w:r>
      <w:r>
        <w:t xml:space="preserve">the companion data release.</w:t>
      </w:r>
    </w:p>
    <w:tbl>
      <w:tblPr>
        <w:tblStyle w:val="Table"/>
        <w:tblW w:type="auto" w:w="0"/>
        <w:tblLook w:firstRow="1" w:lastRow="0" w:firstColumn="0" w:lastColumn="0" w:noHBand="0" w:noVBand="0" w:val="0020"/>
        <w:tblCaption w:val="All 31 data-source studies, their physico-chemical regime, row counts, and DOIs. Studies are listed in order of first regime, then alphabetically by citekey. “Yield rows” are condition-level records in the hydrogen-yield dataset; “kinetic rows” are Arrhenius fits or tabulated rates in the separate kinetic table. Full condition-range metadata (temperature, concentration, particle-size ranges) are in the companion data release."/>
      </w:tblPr>
      <w:tblGrid>
        <w:gridCol w:w="1584"/>
        <w:gridCol w:w="1584"/>
        <w:gridCol w:w="1584"/>
        <w:gridCol w:w="1584"/>
        <w:gridCol w:w="1584"/>
      </w:tblGrid>
      <w:tr>
        <w:trPr>
          <w:tblHeader w:val="on"/>
        </w:trPr>
        <w:tc>
          <w:tcPr/>
          <w:p>
            <w:pPr>
              <w:pStyle w:val="Compact"/>
              <w:jc w:val="left"/>
            </w:pPr>
            <w:r>
              <w:t xml:space="preserve">Citekey</w:t>
            </w:r>
          </w:p>
        </w:tc>
        <w:tc>
          <w:tcPr/>
          <w:p>
            <w:pPr>
              <w:pStyle w:val="Compact"/>
              <w:jc w:val="left"/>
            </w:pPr>
            <w:r>
              <w:t xml:space="preserve">Regime</w:t>
            </w:r>
          </w:p>
        </w:tc>
        <w:tc>
          <w:tcPr/>
          <w:p>
            <w:pPr>
              <w:pStyle w:val="Compact"/>
              <w:jc w:val="center"/>
            </w:pPr>
            <w:r>
              <w:t xml:space="preserve">Yield</w:t>
            </w:r>
          </w:p>
        </w:tc>
        <w:tc>
          <w:tcPr/>
          <w:p>
            <w:pPr>
              <w:pStyle w:val="Compact"/>
              <w:jc w:val="center"/>
            </w:pPr>
            <w:r>
              <w:t xml:space="preserve">Kinetic</w:t>
            </w:r>
          </w:p>
        </w:tc>
        <w:tc>
          <w:tcPr/>
          <w:p>
            <w:pPr>
              <w:pStyle w:val="Compact"/>
              <w:jc w:val="left"/>
            </w:pPr>
            <w:r>
              <w:t xml:space="preserve">DOI</w:t>
            </w:r>
          </w:p>
        </w:tc>
      </w:tr>
      <w:tr>
        <w:tc>
          <w:tcPr>
            <w:gridSpan w:val="5"/>
          </w:tcPr>
          <w:p>
            <w:pPr>
              <w:pStyle w:val="Compact"/>
              <w:jc w:val="left"/>
            </w:pPr>
            <w:r>
              <w:rPr>
                <w:i/>
                <w:iCs/>
              </w:rPr>
              <w:t xml:space="preserve">pure_al_alkali</w:t>
            </w:r>
            <w:r>
              <w:t xml:space="preserve"> </w:t>
            </w:r>
            <w:r>
              <w:t xml:space="preserve">(9 studies)</w:t>
            </w:r>
          </w:p>
        </w:tc>
      </w:tr>
      <w:tr>
        <w:tc>
          <w:tcPr/>
          <w:p>
            <w:pPr>
              <w:pStyle w:val="Compact"/>
              <w:jc w:val="left"/>
            </w:pPr>
            <w:r>
              <w:t xml:space="preserve">[11]</w:t>
            </w:r>
            <w:r>
              <w:t xml:space="preserve"> </w:t>
            </w:r>
            <w:r>
              <w:t xml:space="preserve">[11]</w:t>
            </w:r>
          </w:p>
        </w:tc>
        <w:tc>
          <w:tcPr/>
          <w:p>
            <w:pPr>
              <w:pStyle w:val="Compact"/>
              <w:jc w:val="left"/>
            </w:pPr>
            <w:r>
              <w:t xml:space="preserve">pure_al_alkali</w:t>
            </w:r>
          </w:p>
        </w:tc>
        <w:tc>
          <w:tcPr/>
          <w:p>
            <w:pPr>
              <w:pStyle w:val="Compact"/>
              <w:jc w:val="center"/>
            </w:pPr>
            <w:r>
              <w:t xml:space="preserve">1</w:t>
            </w:r>
          </w:p>
        </w:tc>
        <w:tc>
          <w:tcPr/>
          <w:p>
            <w:pPr>
              <w:pStyle w:val="Compact"/>
              <w:jc w:val="center"/>
            </w:pPr>
            <w:r>
              <w:t xml:space="preserve">1</w:t>
            </w:r>
          </w:p>
        </w:tc>
        <w:tc>
          <w:tcPr/>
          <w:p>
            <w:pPr>
              <w:pStyle w:val="Compact"/>
              <w:jc w:val="left"/>
            </w:pPr>
            <w:r>
              <w:t xml:space="preserve">10.1111/j.1551-2916.2010.03969.x</w:t>
            </w:r>
          </w:p>
        </w:tc>
      </w:tr>
      <w:tr>
        <w:tc>
          <w:tcPr/>
          <w:p>
            <w:pPr>
              <w:pStyle w:val="Compact"/>
              <w:jc w:val="left"/>
            </w:pPr>
            <w:r>
              <w:t xml:space="preserve">[6]</w:t>
            </w:r>
            <w:r>
              <w:t xml:space="preserve"> </w:t>
            </w:r>
            <w:r>
              <w:t xml:space="preserve">[6]</w:t>
            </w:r>
          </w:p>
        </w:tc>
        <w:tc>
          <w:tcPr/>
          <w:p>
            <w:pPr>
              <w:pStyle w:val="Compact"/>
              <w:jc w:val="left"/>
            </w:pPr>
            <w:r>
              <w:t xml:space="preserve">pure_al_alkali</w:t>
            </w:r>
          </w:p>
        </w:tc>
        <w:tc>
          <w:tcPr/>
          <w:p>
            <w:pPr>
              <w:pStyle w:val="Compact"/>
              <w:jc w:val="center"/>
            </w:pPr>
            <w:r>
              <w:t xml:space="preserve">120</w:t>
            </w:r>
          </w:p>
        </w:tc>
        <w:tc>
          <w:tcPr/>
          <w:p>
            <w:pPr>
              <w:pStyle w:val="Compact"/>
              <w:jc w:val="center"/>
            </w:pPr>
            <w:r>
              <w:t xml:space="preserve">7</w:t>
            </w:r>
          </w:p>
        </w:tc>
        <w:tc>
          <w:tcPr/>
          <w:p>
            <w:pPr>
              <w:pStyle w:val="Compact"/>
              <w:jc w:val="left"/>
            </w:pPr>
            <w:r>
              <w:t xml:space="preserve">10.1590/s0104-66322012000200014</w:t>
            </w:r>
          </w:p>
        </w:tc>
      </w:tr>
      <w:tr>
        <w:tc>
          <w:tcPr/>
          <w:p>
            <w:pPr>
              <w:pStyle w:val="Compact"/>
              <w:jc w:val="left"/>
            </w:pPr>
            <w:r>
              <w:t xml:space="preserve">[9]</w:t>
            </w:r>
            <w:r>
              <w:t xml:space="preserve"> </w:t>
            </w:r>
            <w:r>
              <w:t xml:space="preserve">[9]</w:t>
            </w:r>
          </w:p>
        </w:tc>
        <w:tc>
          <w:tcPr/>
          <w:p>
            <w:pPr>
              <w:pStyle w:val="Compact"/>
              <w:jc w:val="left"/>
            </w:pPr>
            <w:r>
              <w:t xml:space="preserve">pure_al_alkali</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10.1016/j.ijhydene.2013.09.070</w:t>
            </w:r>
          </w:p>
        </w:tc>
      </w:tr>
      <w:tr>
        <w:tc>
          <w:tcPr/>
          <w:p>
            <w:pPr>
              <w:pStyle w:val="Compact"/>
              <w:jc w:val="left"/>
            </w:pPr>
            <w:r>
              <w:t xml:space="preserve">[8]</w:t>
            </w:r>
            <w:r>
              <w:t xml:space="preserve"> </w:t>
            </w:r>
            <w:r>
              <w:t xml:space="preserve">[8]</w:t>
            </w:r>
          </w:p>
        </w:tc>
        <w:tc>
          <w:tcPr/>
          <w:p>
            <w:pPr>
              <w:pStyle w:val="Compact"/>
              <w:jc w:val="left"/>
            </w:pPr>
            <w:r>
              <w:t xml:space="preserve">pure_al_alkali</w:t>
            </w:r>
          </w:p>
        </w:tc>
        <w:tc>
          <w:tcPr/>
          <w:p>
            <w:pPr>
              <w:pStyle w:val="Compact"/>
              <w:jc w:val="center"/>
            </w:pPr>
            <w:r>
              <w:t xml:space="preserve">2</w:t>
            </w:r>
          </w:p>
        </w:tc>
        <w:tc>
          <w:tcPr/>
          <w:p>
            <w:pPr>
              <w:pStyle w:val="Compact"/>
              <w:jc w:val="center"/>
            </w:pPr>
            <w:r>
              <w:t xml:space="preserve">3</w:t>
            </w:r>
          </w:p>
        </w:tc>
        <w:tc>
          <w:tcPr/>
          <w:p>
            <w:pPr>
              <w:pStyle w:val="Compact"/>
              <w:jc w:val="left"/>
            </w:pPr>
            <w:r>
              <w:t xml:space="preserve">10.1016/j.energy.2017.05.031</w:t>
            </w:r>
          </w:p>
        </w:tc>
      </w:tr>
      <w:tr>
        <w:tc>
          <w:tcPr/>
          <w:p>
            <w:pPr>
              <w:pStyle w:val="Compact"/>
              <w:jc w:val="left"/>
            </w:pPr>
            <w:r>
              <w:t xml:space="preserve">[5]</w:t>
            </w:r>
            <w:r>
              <w:t xml:space="preserve"> </w:t>
            </w:r>
            <w:r>
              <w:t xml:space="preserve">[5]</w:t>
            </w:r>
          </w:p>
        </w:tc>
        <w:tc>
          <w:tcPr/>
          <w:p>
            <w:pPr>
              <w:pStyle w:val="Compact"/>
              <w:jc w:val="left"/>
            </w:pPr>
            <w:r>
              <w:t xml:space="preserve">pure_al_alkali</w:t>
            </w:r>
          </w:p>
        </w:tc>
        <w:tc>
          <w:tcPr/>
          <w:p>
            <w:pPr>
              <w:pStyle w:val="Compact"/>
              <w:jc w:val="center"/>
            </w:pPr>
            <w:r>
              <w:t xml:space="preserve">8</w:t>
            </w:r>
          </w:p>
        </w:tc>
        <w:tc>
          <w:tcPr/>
          <w:p>
            <w:pPr>
              <w:pStyle w:val="Compact"/>
              <w:jc w:val="center"/>
            </w:pPr>
            <w:r>
              <w:t xml:space="preserve">5</w:t>
            </w:r>
          </w:p>
        </w:tc>
        <w:tc>
          <w:tcPr/>
          <w:p>
            <w:pPr>
              <w:pStyle w:val="Compact"/>
              <w:jc w:val="left"/>
            </w:pPr>
            <w:r>
              <w:t xml:space="preserve">10.1002/er.3955</w:t>
            </w:r>
          </w:p>
        </w:tc>
      </w:tr>
      <w:tr>
        <w:tc>
          <w:tcPr/>
          <w:p>
            <w:pPr>
              <w:pStyle w:val="Compact"/>
              <w:jc w:val="left"/>
            </w:pPr>
            <w:r>
              <w:t xml:space="preserve">[12]</w:t>
            </w:r>
            <w:r>
              <w:t xml:space="preserve"> </w:t>
            </w:r>
            <w:r>
              <w:t xml:space="preserve">[12]</w:t>
            </w:r>
          </w:p>
        </w:tc>
        <w:tc>
          <w:tcPr/>
          <w:p>
            <w:pPr>
              <w:pStyle w:val="Compact"/>
              <w:jc w:val="left"/>
            </w:pPr>
            <w:r>
              <w:t xml:space="preserve">pure_al_alkali</w:t>
            </w:r>
          </w:p>
        </w:tc>
        <w:tc>
          <w:tcPr/>
          <w:p>
            <w:pPr>
              <w:pStyle w:val="Compact"/>
              <w:jc w:val="center"/>
            </w:pPr>
            <w:r>
              <w:t xml:space="preserve">9</w:t>
            </w:r>
          </w:p>
        </w:tc>
        <w:tc>
          <w:tcPr/>
          <w:p>
            <w:pPr>
              <w:pStyle w:val="Compact"/>
              <w:jc w:val="center"/>
            </w:pPr>
            <w:r>
              <w:t xml:space="preserve">2</w:t>
            </w:r>
          </w:p>
        </w:tc>
        <w:tc>
          <w:tcPr/>
          <w:p>
            <w:pPr>
              <w:pStyle w:val="Compact"/>
              <w:jc w:val="left"/>
            </w:pPr>
            <w:r>
              <w:t xml:space="preserve">10.1016/j.ijhydene.2021.06.101</w:t>
            </w:r>
          </w:p>
        </w:tc>
      </w:tr>
      <w:tr>
        <w:tc>
          <w:tcPr/>
          <w:p>
            <w:pPr>
              <w:pStyle w:val="Compact"/>
              <w:jc w:val="left"/>
            </w:pPr>
            <w:r>
              <w:t xml:space="preserve">[4]</w:t>
            </w:r>
            <w:r>
              <w:t xml:space="preserve"> </w:t>
            </w:r>
            <w:r>
              <w:t xml:space="preserve">[4]</w:t>
            </w:r>
          </w:p>
        </w:tc>
        <w:tc>
          <w:tcPr/>
          <w:p>
            <w:pPr>
              <w:pStyle w:val="Compact"/>
              <w:jc w:val="left"/>
            </w:pPr>
            <w:r>
              <w:t xml:space="preserve">pure_al_alkali</w:t>
            </w:r>
          </w:p>
        </w:tc>
        <w:tc>
          <w:tcPr/>
          <w:p>
            <w:pPr>
              <w:pStyle w:val="Compact"/>
              <w:jc w:val="center"/>
            </w:pPr>
            <w:r>
              <w:t xml:space="preserve">4</w:t>
            </w:r>
          </w:p>
        </w:tc>
        <w:tc>
          <w:tcPr/>
          <w:p>
            <w:pPr>
              <w:pStyle w:val="Compact"/>
              <w:jc w:val="center"/>
            </w:pPr>
            <w:r>
              <w:t xml:space="preserve">1</w:t>
            </w:r>
          </w:p>
        </w:tc>
        <w:tc>
          <w:tcPr/>
          <w:p>
            <w:pPr>
              <w:pStyle w:val="Compact"/>
              <w:jc w:val="left"/>
            </w:pPr>
            <w:r>
              <w:t xml:space="preserve">10.1002/er.6478</w:t>
            </w:r>
          </w:p>
        </w:tc>
      </w:tr>
      <w:tr>
        <w:tc>
          <w:tcPr/>
          <w:p>
            <w:pPr>
              <w:pStyle w:val="Compact"/>
              <w:jc w:val="left"/>
            </w:pPr>
            <w:r>
              <w:t xml:space="preserve">[10]</w:t>
            </w:r>
            <w:r>
              <w:t xml:space="preserve"> </w:t>
            </w:r>
            <w:r>
              <w:t xml:space="preserve">[10]</w:t>
            </w:r>
          </w:p>
        </w:tc>
        <w:tc>
          <w:tcPr/>
          <w:p>
            <w:pPr>
              <w:pStyle w:val="Compact"/>
              <w:jc w:val="left"/>
            </w:pPr>
            <w:r>
              <w:t xml:space="preserve">pure_al_alkali</w:t>
            </w:r>
          </w:p>
        </w:tc>
        <w:tc>
          <w:tcPr/>
          <w:p>
            <w:pPr>
              <w:pStyle w:val="Compact"/>
              <w:jc w:val="center"/>
            </w:pPr>
            <w:r>
              <w:t xml:space="preserve">5</w:t>
            </w:r>
          </w:p>
        </w:tc>
        <w:tc>
          <w:tcPr/>
          <w:p>
            <w:pPr>
              <w:pStyle w:val="Compact"/>
              <w:jc w:val="center"/>
            </w:pPr>
            <w:r>
              <w:t xml:space="preserve">1</w:t>
            </w:r>
          </w:p>
        </w:tc>
        <w:tc>
          <w:tcPr/>
          <w:p>
            <w:pPr>
              <w:pStyle w:val="Compact"/>
              <w:jc w:val="left"/>
            </w:pPr>
            <w:r>
              <w:t xml:space="preserve">10.1039/d2ra01231f</w:t>
            </w:r>
          </w:p>
        </w:tc>
      </w:tr>
      <w:tr>
        <w:tc>
          <w:tcPr/>
          <w:p>
            <w:pPr>
              <w:pStyle w:val="Compact"/>
              <w:jc w:val="left"/>
            </w:pPr>
            <w:r>
              <w:t xml:space="preserve">[3]</w:t>
            </w:r>
            <w:r>
              <w:t xml:space="preserve"> </w:t>
            </w:r>
            <w:r>
              <w:t xml:space="preserve">[3]</w:t>
            </w:r>
          </w:p>
        </w:tc>
        <w:tc>
          <w:tcPr/>
          <w:p>
            <w:pPr>
              <w:pStyle w:val="Compact"/>
              <w:jc w:val="left"/>
            </w:pPr>
            <w:r>
              <w:t xml:space="preserve">pure_al_alkali</w:t>
            </w:r>
          </w:p>
        </w:tc>
        <w:tc>
          <w:tcPr/>
          <w:p>
            <w:pPr>
              <w:pStyle w:val="Compact"/>
              <w:jc w:val="center"/>
            </w:pPr>
            <w:r>
              <w:t xml:space="preserve">10</w:t>
            </w:r>
          </w:p>
        </w:tc>
        <w:tc>
          <w:tcPr/>
          <w:p>
            <w:pPr>
              <w:pStyle w:val="Compact"/>
              <w:jc w:val="center"/>
            </w:pPr>
            <w:r>
              <w:t xml:space="preserve">4</w:t>
            </w:r>
          </w:p>
        </w:tc>
        <w:tc>
          <w:tcPr/>
          <w:p>
            <w:pPr>
              <w:pStyle w:val="Compact"/>
              <w:jc w:val="left"/>
            </w:pPr>
            <w:r>
              <w:t xml:space="preserve">10.3389/fenrg.2024.1441155</w:t>
            </w:r>
          </w:p>
        </w:tc>
      </w:tr>
      <w:tr>
        <w:tc>
          <w:tcPr>
            <w:gridSpan w:val="5"/>
          </w:tcPr>
          <w:p>
            <w:pPr>
              <w:pStyle w:val="Compact"/>
              <w:jc w:val="left"/>
            </w:pPr>
            <w:r>
              <w:rPr>
                <w:i/>
                <w:iCs/>
              </w:rPr>
              <w:t xml:space="preserve">al_alloy</w:t>
            </w:r>
            <w:r>
              <w:t xml:space="preserve"> </w:t>
            </w:r>
            <w:r>
              <w:t xml:space="preserve">(3 studies)</w:t>
            </w:r>
          </w:p>
        </w:tc>
      </w:tr>
      <w:tr>
        <w:tc>
          <w:tcPr/>
          <w:p>
            <w:pPr>
              <w:pStyle w:val="Compact"/>
              <w:jc w:val="left"/>
            </w:pPr>
            <w:r>
              <w:t xml:space="preserve">[19]</w:t>
            </w:r>
            <w:r>
              <w:t xml:space="preserve"> </w:t>
            </w:r>
            <w:r>
              <w:t xml:space="preserve">[19]</w:t>
            </w:r>
          </w:p>
        </w:tc>
        <w:tc>
          <w:tcPr/>
          <w:p>
            <w:pPr>
              <w:pStyle w:val="Compact"/>
              <w:jc w:val="left"/>
            </w:pPr>
            <w:r>
              <w:t xml:space="preserve">al_alloy</w:t>
            </w:r>
          </w:p>
        </w:tc>
        <w:tc>
          <w:tcPr/>
          <w:p>
            <w:pPr>
              <w:pStyle w:val="Compact"/>
              <w:jc w:val="center"/>
            </w:pPr>
            <w:r>
              <w:t xml:space="preserve">16</w:t>
            </w:r>
          </w:p>
        </w:tc>
        <w:tc>
          <w:tcPr/>
          <w:p>
            <w:pPr>
              <w:pStyle w:val="Compact"/>
              <w:jc w:val="center"/>
            </w:pPr>
            <w:r>
              <w:t xml:space="preserve">1</w:t>
            </w:r>
          </w:p>
        </w:tc>
        <w:tc>
          <w:tcPr/>
          <w:p>
            <w:pPr>
              <w:pStyle w:val="Compact"/>
              <w:jc w:val="left"/>
            </w:pPr>
            <w:r>
              <w:t xml:space="preserve">10.1016/j.ijhydene.2017.02.205</w:t>
            </w:r>
          </w:p>
        </w:tc>
      </w:tr>
      <w:tr>
        <w:tc>
          <w:tcPr/>
          <w:p>
            <w:pPr>
              <w:pStyle w:val="Compact"/>
              <w:jc w:val="left"/>
            </w:pPr>
            <w:r>
              <w:t xml:space="preserve">[20]</w:t>
            </w:r>
            <w:r>
              <w:t xml:space="preserve"> </w:t>
            </w:r>
            <w:r>
              <w:t xml:space="preserve">[20]</w:t>
            </w:r>
          </w:p>
        </w:tc>
        <w:tc>
          <w:tcPr/>
          <w:p>
            <w:pPr>
              <w:pStyle w:val="Compact"/>
              <w:jc w:val="left"/>
            </w:pPr>
            <w:r>
              <w:t xml:space="preserve">al_alloy</w:t>
            </w:r>
          </w:p>
        </w:tc>
        <w:tc>
          <w:tcPr/>
          <w:p>
            <w:pPr>
              <w:pStyle w:val="Compact"/>
              <w:jc w:val="center"/>
            </w:pPr>
            <w:r>
              <w:t xml:space="preserve">28</w:t>
            </w:r>
          </w:p>
        </w:tc>
        <w:tc>
          <w:tcPr/>
          <w:p>
            <w:pPr>
              <w:pStyle w:val="Compact"/>
              <w:jc w:val="center"/>
            </w:pPr>
            <w:r>
              <w:t xml:space="preserve">1</w:t>
            </w:r>
          </w:p>
        </w:tc>
        <w:tc>
          <w:tcPr/>
          <w:p>
            <w:pPr>
              <w:pStyle w:val="Compact"/>
              <w:jc w:val="left"/>
            </w:pPr>
            <w:r>
              <w:t xml:space="preserve">10.1016/j.ijhydene.2018.12.124</w:t>
            </w:r>
          </w:p>
        </w:tc>
      </w:tr>
      <w:tr>
        <w:tc>
          <w:tcPr/>
          <w:p>
            <w:pPr>
              <w:pStyle w:val="Compact"/>
              <w:jc w:val="left"/>
            </w:pPr>
            <w:r>
              <w:t xml:space="preserve">[21]</w:t>
            </w:r>
            <w:r>
              <w:t xml:space="preserve"> </w:t>
            </w:r>
            <w:r>
              <w:t xml:space="preserve">[21]</w:t>
            </w:r>
          </w:p>
        </w:tc>
        <w:tc>
          <w:tcPr/>
          <w:p>
            <w:pPr>
              <w:pStyle w:val="Compact"/>
              <w:jc w:val="left"/>
            </w:pPr>
            <w:r>
              <w:t xml:space="preserve">al_alloy</w:t>
            </w:r>
          </w:p>
        </w:tc>
        <w:tc>
          <w:tcPr/>
          <w:p>
            <w:pPr>
              <w:pStyle w:val="Compact"/>
              <w:jc w:val="center"/>
            </w:pPr>
            <w:r>
              <w:t xml:space="preserve">1</w:t>
            </w:r>
          </w:p>
        </w:tc>
        <w:tc>
          <w:tcPr/>
          <w:p>
            <w:pPr>
              <w:pStyle w:val="Compact"/>
              <w:jc w:val="center"/>
            </w:pPr>
            <w:r>
              <w:t xml:space="preserve">1</w:t>
            </w:r>
          </w:p>
        </w:tc>
        <w:tc>
          <w:tcPr/>
          <w:p>
            <w:pPr>
              <w:pStyle w:val="Compact"/>
              <w:jc w:val="left"/>
            </w:pPr>
            <w:r>
              <w:t xml:space="preserve">10.1016/j.ijhydene.2022.09.127</w:t>
            </w:r>
          </w:p>
        </w:tc>
      </w:tr>
      <w:tr>
        <w:tc>
          <w:tcPr>
            <w:gridSpan w:val="5"/>
          </w:tcPr>
          <w:p>
            <w:pPr>
              <w:pStyle w:val="Compact"/>
              <w:jc w:val="left"/>
            </w:pPr>
            <w:r>
              <w:rPr>
                <w:i/>
                <w:iCs/>
              </w:rPr>
              <w:t xml:space="preserve">mechanically_activated</w:t>
            </w:r>
            <w:r>
              <w:t xml:space="preserve"> </w:t>
            </w:r>
            <w:r>
              <w:t xml:space="preserve">(6 studies)</w:t>
            </w:r>
          </w:p>
        </w:tc>
      </w:tr>
      <w:tr>
        <w:tc>
          <w:tcPr/>
          <w:p>
            <w:pPr>
              <w:pStyle w:val="Compact"/>
              <w:jc w:val="left"/>
            </w:pPr>
            <w:r>
              <w:t xml:space="preserve">[13]</w:t>
            </w:r>
            <w:r>
              <w:t xml:space="preserve"> </w:t>
            </w:r>
            <w:r>
              <w:t xml:space="preserve">[13]</w:t>
            </w:r>
          </w:p>
        </w:tc>
        <w:tc>
          <w:tcPr/>
          <w:p>
            <w:pPr>
              <w:pStyle w:val="Compact"/>
              <w:jc w:val="left"/>
            </w:pPr>
            <w:r>
              <w:t xml:space="preserve">mechanically_activated</w:t>
            </w:r>
          </w:p>
        </w:tc>
        <w:tc>
          <w:tcPr/>
          <w:p>
            <w:pPr>
              <w:pStyle w:val="Compact"/>
              <w:jc w:val="center"/>
            </w:pPr>
            <w:r>
              <w:t xml:space="preserve">4</w:t>
            </w:r>
          </w:p>
        </w:tc>
        <w:tc>
          <w:tcPr/>
          <w:p>
            <w:pPr>
              <w:pStyle w:val="Compact"/>
              <w:jc w:val="center"/>
            </w:pPr>
            <w:r>
              <w:t xml:space="preserve">2</w:t>
            </w:r>
          </w:p>
        </w:tc>
        <w:tc>
          <w:tcPr/>
          <w:p>
            <w:pPr>
              <w:pStyle w:val="Compact"/>
              <w:jc w:val="left"/>
            </w:pPr>
            <w:r>
              <w:t xml:space="preserve">10.1016/j.energy.2018.05.201</w:t>
            </w:r>
          </w:p>
        </w:tc>
      </w:tr>
      <w:tr>
        <w:tc>
          <w:tcPr/>
          <w:p>
            <w:pPr>
              <w:pStyle w:val="Compact"/>
              <w:jc w:val="left"/>
            </w:pPr>
            <w:r>
              <w:t xml:space="preserve">[14]</w:t>
            </w:r>
            <w:r>
              <w:t xml:space="preserve"> </w:t>
            </w:r>
            <w:r>
              <w:t xml:space="preserve">[14]</w:t>
            </w:r>
          </w:p>
        </w:tc>
        <w:tc>
          <w:tcPr/>
          <w:p>
            <w:pPr>
              <w:pStyle w:val="Compact"/>
              <w:jc w:val="left"/>
            </w:pPr>
            <w:r>
              <w:t xml:space="preserve">mechanically_activated</w:t>
            </w:r>
          </w:p>
        </w:tc>
        <w:tc>
          <w:tcPr/>
          <w:p>
            <w:pPr>
              <w:pStyle w:val="Compact"/>
              <w:jc w:val="center"/>
            </w:pPr>
            <w:r>
              <w:t xml:space="preserve">28</w:t>
            </w:r>
          </w:p>
        </w:tc>
        <w:tc>
          <w:tcPr/>
          <w:p>
            <w:pPr>
              <w:pStyle w:val="Compact"/>
              <w:jc w:val="center"/>
            </w:pPr>
            <w:r>
              <w:t xml:space="preserve">2</w:t>
            </w:r>
          </w:p>
        </w:tc>
        <w:tc>
          <w:tcPr/>
          <w:p>
            <w:pPr>
              <w:pStyle w:val="Compact"/>
              <w:jc w:val="left"/>
            </w:pPr>
            <w:r>
              <w:t xml:space="preserve">10.1016/j.energy.2019.116107</w:t>
            </w:r>
          </w:p>
        </w:tc>
      </w:tr>
      <w:tr>
        <w:tc>
          <w:tcPr/>
          <w:p>
            <w:pPr>
              <w:pStyle w:val="Compact"/>
              <w:jc w:val="left"/>
            </w:pPr>
            <w:r>
              <w:t xml:space="preserve">[15]</w:t>
            </w:r>
            <w:r>
              <w:t xml:space="preserve"> </w:t>
            </w:r>
            <w:r>
              <w:t xml:space="preserve">[15]</w:t>
            </w:r>
          </w:p>
        </w:tc>
        <w:tc>
          <w:tcPr/>
          <w:p>
            <w:pPr>
              <w:pStyle w:val="Compact"/>
              <w:jc w:val="left"/>
            </w:pPr>
            <w:r>
              <w:t xml:space="preserve">mechanically_activated</w:t>
            </w:r>
          </w:p>
        </w:tc>
        <w:tc>
          <w:tcPr/>
          <w:p>
            <w:pPr>
              <w:pStyle w:val="Compact"/>
              <w:jc w:val="center"/>
            </w:pPr>
            <w:r>
              <w:t xml:space="preserve">16</w:t>
            </w:r>
          </w:p>
        </w:tc>
        <w:tc>
          <w:tcPr/>
          <w:p>
            <w:pPr>
              <w:pStyle w:val="Compact"/>
              <w:jc w:val="center"/>
            </w:pPr>
            <w:r>
              <w:t xml:space="preserve">1</w:t>
            </w:r>
          </w:p>
        </w:tc>
        <w:tc>
          <w:tcPr/>
          <w:p>
            <w:pPr>
              <w:pStyle w:val="Compact"/>
              <w:jc w:val="left"/>
            </w:pPr>
            <w:r>
              <w:t xml:space="preserve">10.1016/j.ijhydene.2018.09.133</w:t>
            </w:r>
          </w:p>
        </w:tc>
      </w:tr>
      <w:tr>
        <w:tc>
          <w:tcPr/>
          <w:p>
            <w:pPr>
              <w:pStyle w:val="Compact"/>
              <w:jc w:val="left"/>
            </w:pPr>
            <w:r>
              <w:t xml:space="preserve">[16]</w:t>
            </w:r>
            <w:r>
              <w:t xml:space="preserve"> </w:t>
            </w:r>
            <w:r>
              <w:t xml:space="preserve">[16]</w:t>
            </w:r>
          </w:p>
        </w:tc>
        <w:tc>
          <w:tcPr/>
          <w:p>
            <w:pPr>
              <w:pStyle w:val="Compact"/>
              <w:jc w:val="left"/>
            </w:pPr>
            <w:r>
              <w:t xml:space="preserve">mechanically_activated</w:t>
            </w:r>
          </w:p>
        </w:tc>
        <w:tc>
          <w:tcPr/>
          <w:p>
            <w:pPr>
              <w:pStyle w:val="Compact"/>
              <w:jc w:val="center"/>
            </w:pPr>
            <w:r>
              <w:t xml:space="preserve">4</w:t>
            </w:r>
          </w:p>
        </w:tc>
        <w:tc>
          <w:tcPr/>
          <w:p>
            <w:pPr>
              <w:pStyle w:val="Compact"/>
              <w:jc w:val="center"/>
            </w:pPr>
            <w:r>
              <w:t xml:space="preserve">3</w:t>
            </w:r>
          </w:p>
        </w:tc>
        <w:tc>
          <w:tcPr/>
          <w:p>
            <w:pPr>
              <w:pStyle w:val="Compact"/>
              <w:jc w:val="left"/>
            </w:pPr>
            <w:r>
              <w:t xml:space="preserve">10.1016/j.ijhydene.2020.03.027</w:t>
            </w:r>
          </w:p>
        </w:tc>
      </w:tr>
      <w:tr>
        <w:tc>
          <w:tcPr/>
          <w:p>
            <w:pPr>
              <w:pStyle w:val="Compact"/>
              <w:jc w:val="left"/>
            </w:pPr>
            <w:r>
              <w:t xml:space="preserve">[17]</w:t>
            </w:r>
            <w:r>
              <w:t xml:space="preserve"> </w:t>
            </w:r>
            <w:r>
              <w:t xml:space="preserve">[17]</w:t>
            </w:r>
          </w:p>
        </w:tc>
        <w:tc>
          <w:tcPr/>
          <w:p>
            <w:pPr>
              <w:pStyle w:val="Compact"/>
              <w:jc w:val="left"/>
            </w:pPr>
            <w:r>
              <w:t xml:space="preserve">mechanically_activated</w:t>
            </w:r>
          </w:p>
        </w:tc>
        <w:tc>
          <w:tcPr/>
          <w:p>
            <w:pPr>
              <w:pStyle w:val="Compact"/>
              <w:jc w:val="center"/>
            </w:pPr>
            <w:r>
              <w:t xml:space="preserve">7</w:t>
            </w:r>
          </w:p>
        </w:tc>
        <w:tc>
          <w:tcPr/>
          <w:p>
            <w:pPr>
              <w:pStyle w:val="Compact"/>
              <w:jc w:val="center"/>
            </w:pPr>
            <w:r>
              <w:t xml:space="preserve">7</w:t>
            </w:r>
          </w:p>
        </w:tc>
        <w:tc>
          <w:tcPr/>
          <w:p>
            <w:pPr>
              <w:pStyle w:val="Compact"/>
              <w:jc w:val="left"/>
            </w:pPr>
            <w:r>
              <w:t xml:space="preserve">10.1016/j.jallcom.2019.152800</w:t>
            </w:r>
          </w:p>
        </w:tc>
      </w:tr>
      <w:tr>
        <w:tc>
          <w:tcPr/>
          <w:p>
            <w:pPr>
              <w:pStyle w:val="Compact"/>
              <w:jc w:val="left"/>
            </w:pPr>
            <w:r>
              <w:t xml:space="preserve">[18]</w:t>
            </w:r>
            <w:r>
              <w:t xml:space="preserve"> </w:t>
            </w:r>
            <w:r>
              <w:t xml:space="preserve">[18]</w:t>
            </w:r>
          </w:p>
        </w:tc>
        <w:tc>
          <w:tcPr/>
          <w:p>
            <w:pPr>
              <w:pStyle w:val="Compact"/>
              <w:jc w:val="left"/>
            </w:pPr>
            <w:r>
              <w:t xml:space="preserve">mechanically_activated</w:t>
            </w:r>
          </w:p>
        </w:tc>
        <w:tc>
          <w:tcPr/>
          <w:p>
            <w:pPr>
              <w:pStyle w:val="Compact"/>
              <w:jc w:val="center"/>
            </w:pPr>
            <w:r>
              <w:t xml:space="preserve">10</w:t>
            </w:r>
          </w:p>
        </w:tc>
        <w:tc>
          <w:tcPr/>
          <w:p>
            <w:pPr>
              <w:pStyle w:val="Compact"/>
              <w:jc w:val="center"/>
            </w:pPr>
            <w:r>
              <w:t xml:space="preserve">1</w:t>
            </w:r>
          </w:p>
        </w:tc>
        <w:tc>
          <w:tcPr/>
          <w:p>
            <w:pPr>
              <w:pStyle w:val="Compact"/>
              <w:jc w:val="left"/>
            </w:pPr>
            <w:r>
              <w:t xml:space="preserve">10.3390/ma15031197</w:t>
            </w:r>
          </w:p>
        </w:tc>
      </w:tr>
      <w:tr>
        <w:tc>
          <w:tcPr>
            <w:gridSpan w:val="5"/>
          </w:tcPr>
          <w:p>
            <w:pPr>
              <w:pStyle w:val="Compact"/>
              <w:jc w:val="left"/>
            </w:pPr>
            <w:r>
              <w:rPr>
                <w:i/>
                <w:iCs/>
              </w:rPr>
              <w:t xml:space="preserve">liquid_metal_activated</w:t>
            </w:r>
            <w:r>
              <w:t xml:space="preserve"> </w:t>
            </w:r>
            <w:r>
              <w:t xml:space="preserve">(5 studies)</w:t>
            </w:r>
          </w:p>
        </w:tc>
      </w:tr>
      <w:tr>
        <w:tc>
          <w:tcPr/>
          <w:p>
            <w:pPr>
              <w:pStyle w:val="Compact"/>
              <w:jc w:val="left"/>
            </w:pPr>
            <w:r>
              <w:t xml:space="preserve">[1]</w:t>
            </w:r>
            <w:r>
              <w:t xml:space="preserve"> </w:t>
            </w:r>
            <w:r>
              <w:t xml:space="preserve">[1]</w:t>
            </w:r>
          </w:p>
        </w:tc>
        <w:tc>
          <w:tcPr/>
          <w:p>
            <w:pPr>
              <w:pStyle w:val="Compact"/>
              <w:jc w:val="left"/>
            </w:pPr>
            <w:r>
              <w:t xml:space="preserve">liquid_metal_activated</w:t>
            </w:r>
          </w:p>
        </w:tc>
        <w:tc>
          <w:tcPr/>
          <w:p>
            <w:pPr>
              <w:pStyle w:val="Compact"/>
              <w:jc w:val="center"/>
            </w:pPr>
            <w:r>
              <w:t xml:space="preserve">5</w:t>
            </w:r>
          </w:p>
        </w:tc>
        <w:tc>
          <w:tcPr/>
          <w:p>
            <w:pPr>
              <w:pStyle w:val="Compact"/>
              <w:jc w:val="center"/>
            </w:pPr>
            <w:r>
              <w:t xml:space="preserve">2</w:t>
            </w:r>
          </w:p>
        </w:tc>
        <w:tc>
          <w:tcPr/>
          <w:p>
            <w:pPr>
              <w:pStyle w:val="Compact"/>
              <w:jc w:val="left"/>
            </w:pPr>
            <w:r>
              <w:t xml:space="preserve">10.1016/j.ijhydene.2012.02.175</w:t>
            </w:r>
          </w:p>
        </w:tc>
      </w:tr>
      <w:tr>
        <w:tc>
          <w:tcPr/>
          <w:p>
            <w:pPr>
              <w:pStyle w:val="Compact"/>
              <w:jc w:val="left"/>
            </w:pPr>
            <w:r>
              <w:t xml:space="preserve">[2]</w:t>
            </w:r>
            <w:r>
              <w:t xml:space="preserve"> </w:t>
            </w:r>
            <w:r>
              <w:t xml:space="preserve">[2]</w:t>
            </w:r>
          </w:p>
        </w:tc>
        <w:tc>
          <w:tcPr/>
          <w:p>
            <w:pPr>
              <w:pStyle w:val="Compact"/>
              <w:jc w:val="left"/>
            </w:pPr>
            <w:r>
              <w:t xml:space="preserve">liquid_metal_activated</w:t>
            </w:r>
          </w:p>
        </w:tc>
        <w:tc>
          <w:tcPr/>
          <w:p>
            <w:pPr>
              <w:pStyle w:val="Compact"/>
              <w:jc w:val="center"/>
            </w:pPr>
            <w:r>
              <w:t xml:space="preserve">6</w:t>
            </w:r>
          </w:p>
        </w:tc>
        <w:tc>
          <w:tcPr/>
          <w:p>
            <w:pPr>
              <w:pStyle w:val="Compact"/>
              <w:jc w:val="center"/>
            </w:pPr>
            <w:r>
              <w:t xml:space="preserve">5</w:t>
            </w:r>
          </w:p>
        </w:tc>
        <w:tc>
          <w:tcPr/>
          <w:p>
            <w:pPr>
              <w:pStyle w:val="Compact"/>
              <w:jc w:val="left"/>
            </w:pPr>
            <w:r>
              <w:t xml:space="preserve">10.1016/j.ijhydene.2015.11.122</w:t>
            </w:r>
          </w:p>
        </w:tc>
      </w:tr>
      <w:tr>
        <w:tc>
          <w:tcPr/>
          <w:p>
            <w:pPr>
              <w:pStyle w:val="Compact"/>
              <w:jc w:val="left"/>
            </w:pPr>
            <w:r>
              <w:t xml:space="preserve">[24]</w:t>
            </w:r>
            <w:r>
              <w:t xml:space="preserve"> </w:t>
            </w:r>
            <w:r>
              <w:t xml:space="preserve">[24]</w:t>
            </w:r>
          </w:p>
        </w:tc>
        <w:tc>
          <w:tcPr/>
          <w:p>
            <w:pPr>
              <w:pStyle w:val="Compact"/>
              <w:jc w:val="left"/>
            </w:pPr>
            <w:r>
              <w:t xml:space="preserve">liquid_metal_activated</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10.1016/j.ijhydene.2020.04.161</w:t>
            </w:r>
          </w:p>
        </w:tc>
      </w:tr>
      <w:tr>
        <w:tc>
          <w:tcPr/>
          <w:p>
            <w:pPr>
              <w:pStyle w:val="Compact"/>
              <w:jc w:val="left"/>
            </w:pPr>
            <w:r>
              <w:t xml:space="preserve">[23]</w:t>
            </w:r>
            <w:r>
              <w:t xml:space="preserve"> </w:t>
            </w:r>
            <w:r>
              <w:t xml:space="preserve">[23]</w:t>
            </w:r>
          </w:p>
        </w:tc>
        <w:tc>
          <w:tcPr/>
          <w:p>
            <w:pPr>
              <w:pStyle w:val="Compact"/>
              <w:jc w:val="left"/>
            </w:pPr>
            <w:r>
              <w:t xml:space="preserve">liquid_metal_activated</w:t>
            </w:r>
          </w:p>
        </w:tc>
        <w:tc>
          <w:tcPr/>
          <w:p>
            <w:pPr>
              <w:pStyle w:val="Compact"/>
              <w:jc w:val="center"/>
            </w:pPr>
            <w:r>
              <w:t xml:space="preserve">1</w:t>
            </w:r>
          </w:p>
        </w:tc>
        <w:tc>
          <w:tcPr/>
          <w:p>
            <w:pPr>
              <w:pStyle w:val="Compact"/>
              <w:jc w:val="center"/>
            </w:pPr>
            <w:r>
              <w:t xml:space="preserve">1</w:t>
            </w:r>
          </w:p>
        </w:tc>
        <w:tc>
          <w:tcPr/>
          <w:p>
            <w:pPr>
              <w:pStyle w:val="Compact"/>
              <w:jc w:val="left"/>
            </w:pPr>
            <w:r>
              <w:t xml:space="preserve">10.1039/c7ra01839h</w:t>
            </w:r>
          </w:p>
        </w:tc>
      </w:tr>
      <w:tr>
        <w:tc>
          <w:tcPr/>
          <w:p>
            <w:pPr>
              <w:pStyle w:val="Compact"/>
              <w:jc w:val="left"/>
            </w:pPr>
            <w:r>
              <w:t xml:space="preserve">[22]</w:t>
            </w:r>
            <w:r>
              <w:t xml:space="preserve"> </w:t>
            </w:r>
            <w:r>
              <w:t xml:space="preserve">[22]</w:t>
            </w:r>
          </w:p>
        </w:tc>
        <w:tc>
          <w:tcPr/>
          <w:p>
            <w:pPr>
              <w:pStyle w:val="Compact"/>
              <w:jc w:val="left"/>
            </w:pPr>
            <w:r>
              <w:t xml:space="preserve">liquid_metal_activated</w:t>
            </w:r>
          </w:p>
        </w:tc>
        <w:tc>
          <w:tcPr/>
          <w:p>
            <w:pPr>
              <w:pStyle w:val="Compact"/>
              <w:jc w:val="center"/>
            </w:pPr>
            <w:r>
              <w:t xml:space="preserve">6</w:t>
            </w:r>
          </w:p>
        </w:tc>
        <w:tc>
          <w:tcPr/>
          <w:p>
            <w:pPr>
              <w:pStyle w:val="Compact"/>
              <w:jc w:val="center"/>
            </w:pPr>
            <w:r>
              <w:t xml:space="preserve">2</w:t>
            </w:r>
          </w:p>
        </w:tc>
        <w:tc>
          <w:tcPr/>
          <w:p>
            <w:pPr>
              <w:pStyle w:val="Compact"/>
              <w:jc w:val="left"/>
            </w:pPr>
            <w:r>
              <w:t xml:space="preserve">10.4236/epe.2015.79041</w:t>
            </w:r>
          </w:p>
        </w:tc>
      </w:tr>
      <w:tr>
        <w:tc>
          <w:tcPr>
            <w:gridSpan w:val="5"/>
          </w:tcPr>
          <w:p>
            <w:pPr>
              <w:pStyle w:val="Compact"/>
              <w:jc w:val="left"/>
            </w:pPr>
            <w:r>
              <w:rPr>
                <w:i/>
                <w:iCs/>
              </w:rPr>
              <w:t xml:space="preserve">waste_al</w:t>
            </w:r>
            <w:r>
              <w:t xml:space="preserve"> </w:t>
            </w:r>
            <w:r>
              <w:t xml:space="preserve">(8 studies)</w:t>
            </w:r>
          </w:p>
        </w:tc>
      </w:tr>
      <w:tr>
        <w:tc>
          <w:tcPr/>
          <w:p>
            <w:pPr>
              <w:pStyle w:val="Compact"/>
              <w:jc w:val="left"/>
            </w:pPr>
            <w:r>
              <w:t xml:space="preserve">[26]</w:t>
            </w:r>
            <w:r>
              <w:t xml:space="preserve"> </w:t>
            </w:r>
            <w:r>
              <w:t xml:space="preserve">[26]</w:t>
            </w:r>
          </w:p>
        </w:tc>
        <w:tc>
          <w:tcPr/>
          <w:p>
            <w:pPr>
              <w:pStyle w:val="Compact"/>
              <w:jc w:val="left"/>
            </w:pPr>
            <w:r>
              <w:t xml:space="preserve">waste_al</w:t>
            </w:r>
          </w:p>
        </w:tc>
        <w:tc>
          <w:tcPr/>
          <w:p>
            <w:pPr>
              <w:pStyle w:val="Compact"/>
              <w:jc w:val="center"/>
            </w:pPr>
            <w:r>
              <w:t xml:space="preserve">1</w:t>
            </w:r>
          </w:p>
        </w:tc>
        <w:tc>
          <w:tcPr/>
          <w:p>
            <w:pPr>
              <w:pStyle w:val="Compact"/>
              <w:jc w:val="center"/>
            </w:pPr>
            <w:r>
              <w:t xml:space="preserve">2</w:t>
            </w:r>
          </w:p>
        </w:tc>
        <w:tc>
          <w:tcPr/>
          <w:p>
            <w:pPr>
              <w:pStyle w:val="Compact"/>
              <w:jc w:val="left"/>
            </w:pPr>
            <w:r>
              <w:t xml:space="preserve">10.1016/j.ijhydene.2015.11.083</w:t>
            </w:r>
          </w:p>
        </w:tc>
      </w:tr>
      <w:tr>
        <w:tc>
          <w:tcPr/>
          <w:p>
            <w:pPr>
              <w:pStyle w:val="Compact"/>
              <w:jc w:val="left"/>
            </w:pPr>
            <w:r>
              <w:t xml:space="preserve">[25]</w:t>
            </w:r>
            <w:r>
              <w:t xml:space="preserve"> </w:t>
            </w:r>
            <w:r>
              <w:t xml:space="preserve">[25]</w:t>
            </w:r>
          </w:p>
        </w:tc>
        <w:tc>
          <w:tcPr/>
          <w:p>
            <w:pPr>
              <w:pStyle w:val="Compact"/>
              <w:jc w:val="left"/>
            </w:pPr>
            <w:r>
              <w:t xml:space="preserve">waste_al</w:t>
            </w:r>
          </w:p>
        </w:tc>
        <w:tc>
          <w:tcPr/>
          <w:p>
            <w:pPr>
              <w:pStyle w:val="Compact"/>
              <w:jc w:val="center"/>
            </w:pPr>
            <w:r>
              <w:t xml:space="preserve">1</w:t>
            </w:r>
          </w:p>
        </w:tc>
        <w:tc>
          <w:tcPr/>
          <w:p>
            <w:pPr>
              <w:pStyle w:val="Compact"/>
              <w:jc w:val="center"/>
            </w:pPr>
            <w:r>
              <w:t xml:space="preserve">4</w:t>
            </w:r>
          </w:p>
        </w:tc>
        <w:tc>
          <w:tcPr/>
          <w:p>
            <w:pPr>
              <w:pStyle w:val="Compact"/>
              <w:jc w:val="left"/>
            </w:pPr>
            <w:r>
              <w:t xml:space="preserve">10.1007/s40243-024-00287-2</w:t>
            </w:r>
          </w:p>
        </w:tc>
      </w:tr>
      <w:tr>
        <w:tc>
          <w:tcPr/>
          <w:p>
            <w:pPr>
              <w:pStyle w:val="Compact"/>
              <w:jc w:val="left"/>
            </w:pPr>
            <w:r>
              <w:t xml:space="preserve">[28]</w:t>
            </w:r>
            <w:r>
              <w:t xml:space="preserve"> </w:t>
            </w:r>
            <w:r>
              <w:t xml:space="preserve">[28]</w:t>
            </w:r>
          </w:p>
        </w:tc>
        <w:tc>
          <w:tcPr/>
          <w:p>
            <w:pPr>
              <w:pStyle w:val="Compact"/>
              <w:jc w:val="left"/>
            </w:pPr>
            <w:r>
              <w:t xml:space="preserve">waste_al</w:t>
            </w:r>
          </w:p>
        </w:tc>
        <w:tc>
          <w:tcPr/>
          <w:p>
            <w:pPr>
              <w:pStyle w:val="Compact"/>
              <w:jc w:val="center"/>
            </w:pPr>
            <w:r>
              <w:t xml:space="preserve">1</w:t>
            </w:r>
          </w:p>
        </w:tc>
        <w:tc>
          <w:tcPr/>
          <w:p>
            <w:pPr>
              <w:pStyle w:val="Compact"/>
              <w:jc w:val="center"/>
            </w:pPr>
            <w:r>
              <w:t xml:space="preserve">2</w:t>
            </w:r>
          </w:p>
        </w:tc>
        <w:tc>
          <w:tcPr/>
          <w:p>
            <w:pPr>
              <w:pStyle w:val="Compact"/>
              <w:jc w:val="left"/>
            </w:pPr>
            <w:r>
              <w:t xml:space="preserve">10.3390/en16145554</w:t>
            </w:r>
          </w:p>
        </w:tc>
      </w:tr>
      <w:tr>
        <w:tc>
          <w:tcPr/>
          <w:p>
            <w:pPr>
              <w:pStyle w:val="Compact"/>
              <w:jc w:val="left"/>
            </w:pPr>
            <w:r>
              <w:t xml:space="preserve">[29]</w:t>
            </w:r>
            <w:r>
              <w:t xml:space="preserve"> </w:t>
            </w:r>
            <w:r>
              <w:t xml:space="preserve">[29]</w:t>
            </w:r>
          </w:p>
        </w:tc>
        <w:tc>
          <w:tcPr/>
          <w:p>
            <w:pPr>
              <w:pStyle w:val="Compact"/>
              <w:jc w:val="left"/>
            </w:pPr>
            <w:r>
              <w:t xml:space="preserve">waste_al</w:t>
            </w:r>
          </w:p>
        </w:tc>
        <w:tc>
          <w:tcPr/>
          <w:p>
            <w:pPr>
              <w:pStyle w:val="Compact"/>
              <w:jc w:val="center"/>
            </w:pPr>
            <w:r>
              <w:t xml:space="preserve">3</w:t>
            </w:r>
          </w:p>
        </w:tc>
        <w:tc>
          <w:tcPr/>
          <w:p>
            <w:pPr>
              <w:pStyle w:val="Compact"/>
              <w:jc w:val="center"/>
            </w:pPr>
            <w:r>
              <w:t xml:space="preserve">4</w:t>
            </w:r>
          </w:p>
        </w:tc>
        <w:tc>
          <w:tcPr/>
          <w:p>
            <w:pPr>
              <w:pStyle w:val="Compact"/>
              <w:jc w:val="left"/>
            </w:pPr>
            <w:r>
              <w:t xml:space="preserve">10.3390/hydrogen7020055</w:t>
            </w:r>
          </w:p>
        </w:tc>
      </w:tr>
      <w:tr>
        <w:tc>
          <w:tcPr/>
          <w:p>
            <w:pPr>
              <w:pStyle w:val="Compact"/>
              <w:jc w:val="left"/>
            </w:pPr>
            <w:r>
              <w:t xml:space="preserve">[27]</w:t>
            </w:r>
            <w:r>
              <w:t xml:space="preserve"> </w:t>
            </w:r>
            <w:r>
              <w:t xml:space="preserve">[27]</w:t>
            </w:r>
          </w:p>
        </w:tc>
        <w:tc>
          <w:tcPr/>
          <w:p>
            <w:pPr>
              <w:pStyle w:val="Compact"/>
              <w:jc w:val="left"/>
            </w:pPr>
            <w:r>
              <w:t xml:space="preserve">waste_al</w:t>
            </w:r>
          </w:p>
        </w:tc>
        <w:tc>
          <w:tcPr/>
          <w:p>
            <w:pPr>
              <w:pStyle w:val="Compact"/>
              <w:jc w:val="center"/>
            </w:pPr>
            <w:r>
              <w:t xml:space="preserve">4</w:t>
            </w:r>
          </w:p>
        </w:tc>
        <w:tc>
          <w:tcPr/>
          <w:p>
            <w:pPr>
              <w:pStyle w:val="Compact"/>
              <w:jc w:val="center"/>
            </w:pPr>
            <w:r>
              <w:t xml:space="preserve">4</w:t>
            </w:r>
          </w:p>
        </w:tc>
        <w:tc>
          <w:tcPr/>
          <w:p>
            <w:pPr>
              <w:pStyle w:val="Compact"/>
              <w:jc w:val="left"/>
            </w:pPr>
            <w:r>
              <w:t xml:space="preserve">10.3390/app15052640</w:t>
            </w:r>
          </w:p>
        </w:tc>
      </w:tr>
      <w:tr>
        <w:tc>
          <w:tcPr/>
          <w:p>
            <w:pPr>
              <w:pStyle w:val="Compact"/>
              <w:jc w:val="left"/>
            </w:pPr>
            <w:r>
              <w:t xml:space="preserve">[30]</w:t>
            </w:r>
            <w:r>
              <w:t xml:space="preserve"> </w:t>
            </w:r>
            <w:r>
              <w:t xml:space="preserve">[30]</w:t>
            </w:r>
          </w:p>
        </w:tc>
        <w:tc>
          <w:tcPr/>
          <w:p>
            <w:pPr>
              <w:pStyle w:val="Compact"/>
              <w:jc w:val="left"/>
            </w:pPr>
            <w:r>
              <w:t xml:space="preserve">waste_al</w:t>
            </w:r>
          </w:p>
        </w:tc>
        <w:tc>
          <w:tcPr/>
          <w:p>
            <w:pPr>
              <w:pStyle w:val="Compact"/>
              <w:jc w:val="center"/>
            </w:pPr>
            <w:r>
              <w:t xml:space="preserve">6</w:t>
            </w:r>
          </w:p>
        </w:tc>
        <w:tc>
          <w:tcPr/>
          <w:p>
            <w:pPr>
              <w:pStyle w:val="Compact"/>
              <w:jc w:val="center"/>
            </w:pPr>
            <w:r>
              <w:t xml:space="preserve">3</w:t>
            </w:r>
          </w:p>
        </w:tc>
        <w:tc>
          <w:tcPr/>
          <w:p>
            <w:pPr>
              <w:pStyle w:val="Compact"/>
              <w:jc w:val="left"/>
            </w:pPr>
            <w:r>
              <w:t xml:space="preserve">10.3390/met13020185</w:t>
            </w:r>
          </w:p>
        </w:tc>
      </w:tr>
      <w:tr>
        <w:tc>
          <w:tcPr/>
          <w:p>
            <w:pPr>
              <w:pStyle w:val="Compact"/>
              <w:jc w:val="left"/>
            </w:pPr>
            <w:r>
              <w:t xml:space="preserve">[31]</w:t>
            </w:r>
            <w:r>
              <w:t xml:space="preserve"> </w:t>
            </w:r>
            <w:r>
              <w:t xml:space="preserve">[31]</w:t>
            </w:r>
          </w:p>
        </w:tc>
        <w:tc>
          <w:tcPr/>
          <w:p>
            <w:pPr>
              <w:pStyle w:val="Compact"/>
              <w:jc w:val="left"/>
            </w:pPr>
            <w:r>
              <w:t xml:space="preserve">waste_al</w:t>
            </w:r>
          </w:p>
        </w:tc>
        <w:tc>
          <w:tcPr/>
          <w:p>
            <w:pPr>
              <w:pStyle w:val="Compact"/>
              <w:jc w:val="center"/>
            </w:pPr>
            <w:r>
              <w:t xml:space="preserve">2</w:t>
            </w:r>
          </w:p>
        </w:tc>
        <w:tc>
          <w:tcPr/>
          <w:p>
            <w:pPr>
              <w:pStyle w:val="Compact"/>
              <w:jc w:val="center"/>
            </w:pPr>
            <w:r>
              <w:t xml:space="preserve">1</w:t>
            </w:r>
          </w:p>
        </w:tc>
        <w:tc>
          <w:tcPr/>
          <w:p>
            <w:pPr>
              <w:pStyle w:val="Compact"/>
              <w:jc w:val="left"/>
            </w:pPr>
            <w:r>
              <w:t xml:space="preserve">10.3390/ma17112637</w:t>
            </w:r>
          </w:p>
        </w:tc>
      </w:tr>
      <w:tr>
        <w:tc>
          <w:tcPr/>
          <w:p>
            <w:pPr>
              <w:pStyle w:val="Compact"/>
              <w:jc w:val="left"/>
            </w:pPr>
            <w:r>
              <w:t xml:space="preserve">[32]</w:t>
            </w:r>
            <w:r>
              <w:t xml:space="preserve"> </w:t>
            </w:r>
            <w:r>
              <w:t xml:space="preserve">[32]</w:t>
            </w:r>
          </w:p>
        </w:tc>
        <w:tc>
          <w:tcPr/>
          <w:p>
            <w:pPr>
              <w:pStyle w:val="Compact"/>
              <w:jc w:val="left"/>
            </w:pPr>
            <w:r>
              <w:t xml:space="preserve">waste_al</w:t>
            </w:r>
          </w:p>
        </w:tc>
        <w:tc>
          <w:tcPr/>
          <w:p>
            <w:pPr>
              <w:pStyle w:val="Compact"/>
              <w:jc w:val="center"/>
            </w:pPr>
            <w:r>
              <w:t xml:space="preserve">2</w:t>
            </w:r>
          </w:p>
        </w:tc>
        <w:tc>
          <w:tcPr/>
          <w:p>
            <w:pPr>
              <w:pStyle w:val="Compact"/>
              <w:jc w:val="center"/>
            </w:pPr>
            <w:r>
              <w:t xml:space="preserve">1</w:t>
            </w:r>
          </w:p>
        </w:tc>
        <w:tc>
          <w:tcPr/>
          <w:p>
            <w:pPr>
              <w:pStyle w:val="Compact"/>
              <w:jc w:val="left"/>
            </w:pPr>
            <w:r>
              <w:t xml:space="preserve">10.9767/bcrec.20041</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315</w:t>
            </w:r>
          </w:p>
        </w:tc>
        <w:tc>
          <w:tcPr/>
          <w:p>
            <w:pPr>
              <w:pStyle w:val="Compact"/>
              <w:jc w:val="center"/>
            </w:pPr>
            <w:r>
              <w:rPr>
                <w:b/>
                <w:bCs/>
              </w:rPr>
              <w:t xml:space="preserve">76</w:t>
            </w:r>
          </w:p>
        </w:tc>
        <w:tc>
          <w:tcPr/>
          <w:p>
            <w:pPr>
              <w:pStyle w:val="Compact"/>
            </w:pPr>
          </w:p>
        </w:tc>
      </w:tr>
    </w:tbl>
    <w:bookmarkEnd w:id="89"/>
    <w:bookmarkEnd w:id="90"/>
    <w:bookmarkStart w:id="209" w:name="X24062c73f475a9049b1d4b16e83655fb497e037"/>
    <w:p>
      <w:pPr>
        <w:pStyle w:val="Heading2"/>
      </w:pPr>
      <w:r>
        <w:t xml:space="preserve">Table SI-2: Full random-forest permutation importance</w:t>
      </w:r>
    </w:p>
    <w:bookmarkStart w:id="91" w:name="tab:si_perm_imp"/>
    <w:p>
      <w:pPr>
        <w:pStyle w:val="TableCaption"/>
      </w:pPr>
      <w:r>
        <w:rPr>
          <w:b/>
          <w:bCs/>
        </w:rPr>
        <w:t xml:space="preserve">Random-forest permutation importance for all 16 model features.</w:t>
      </w:r>
      <w:r>
        <w:t xml:space="preserve"> </w:t>
      </w:r>
      <w:r>
        <w:t xml:space="preserve">In-sample fit on 315 yield rows; used descriptively only (grouped</w:t>
      </w:r>
      <w:r>
        <w:t xml:space="preserve"> </w:t>
      </w:r>
      <m:oMath>
        <m:sSup>
          <m:e>
            <m:r>
              <m:t>R</m:t>
            </m:r>
          </m:e>
          <m:sup>
            <m:r>
              <m:t>2</m:t>
            </m:r>
          </m:sup>
        </m:sSup>
        <m:r>
          <m:rPr>
            <m:sty m:val="p"/>
          </m:rPr>
          <m:t>&lt;</m:t>
        </m:r>
        <m:r>
          <m:t>0</m:t>
        </m:r>
      </m:oMath>
      <w:r>
        <w:t xml:space="preserve">, so the</w:t>
      </w:r>
      <w:r>
        <w:t xml:space="preserve"> </w:t>
      </w:r>
      <w:r>
        <w:t xml:space="preserve">model is not a validated predictor). Feature names follow the dataset schema.</w:t>
      </w:r>
      <w:r>
        <w:t xml:space="preserve"> </w:t>
      </w:r>
      <w:r>
        <w:t xml:space="preserve">Source:</w:t>
      </w:r>
      <w:r>
        <w:t xml:space="preserve"> </w:t>
      </w:r>
      <w:r>
        <w:rPr>
          <w:rStyle w:val="VerbatimChar"/>
        </w:rPr>
        <w:t xml:space="preserve">results/real_v1/tables/permutation_importance.csv</w:t>
      </w:r>
      <w:r>
        <w:t xml:space="preserve">.</w:t>
      </w:r>
    </w:p>
    <w:tbl>
      <w:tblPr>
        <w:tblStyle w:val="Table"/>
        <w:tblW w:type="auto" w:w="0"/>
        <w:tblLook w:firstRow="1" w:lastRow="0" w:firstColumn="0" w:lastColumn="0" w:noHBand="0" w:noVBand="0" w:val="0020"/>
        <w:tblCaption w:val="Random-forest permutation importance for all 16 model features. In-sample fit on 315 yield rows; used descriptively only (grouped R^2 &lt; 0, so the model is not a validated predictor). Feature names follow the dataset schema. Source: results/real_v1/tables/permutation_importance.csv."/>
      </w:tblPr>
      <w:tblGrid>
        <w:gridCol w:w="2640"/>
        <w:gridCol w:w="2640"/>
        <w:gridCol w:w="2640"/>
      </w:tblGrid>
      <w:tr>
        <w:trPr>
          <w:tblHeader w:val="on"/>
        </w:trPr>
        <w:tc>
          <w:tcPr/>
          <w:p>
            <w:pPr>
              <w:pStyle w:val="Compact"/>
              <w:jc w:val="left"/>
            </w:pPr>
            <w:r>
              <w:t xml:space="preserve">Rank</w:t>
            </w:r>
          </w:p>
        </w:tc>
        <w:tc>
          <w:tcPr/>
          <w:p>
            <w:pPr>
              <w:pStyle w:val="Compact"/>
              <w:jc w:val="left"/>
            </w:pPr>
            <w:r>
              <w:t xml:space="preserve">Feature</w:t>
            </w:r>
          </w:p>
        </w:tc>
        <w:tc>
          <w:tcPr/>
          <w:p>
            <w:pPr>
              <w:pStyle w:val="Compact"/>
              <w:jc w:val="right"/>
            </w:pPr>
            <w:r>
              <w:t xml:space="preserve">Permutation importance</w:t>
            </w:r>
          </w:p>
        </w:tc>
      </w:tr>
      <w:tr>
        <w:tc>
          <w:tcPr/>
          <w:p>
            <w:pPr>
              <w:pStyle w:val="Compact"/>
              <w:jc w:val="left"/>
            </w:pPr>
            <w:r>
              <w:t xml:space="preserve">1</w:t>
            </w:r>
          </w:p>
        </w:tc>
        <w:tc>
          <w:tcPr/>
          <w:p>
            <w:pPr>
              <w:pStyle w:val="Compact"/>
              <w:jc w:val="left"/>
            </w:pPr>
            <w:r>
              <w:rPr>
                <w:rStyle w:val="VerbatimChar"/>
              </w:rPr>
              <w:t xml:space="preserve">particle_size_d50_um</w:t>
            </w:r>
          </w:p>
        </w:tc>
        <w:tc>
          <w:tcPr/>
          <w:p>
            <w:pPr>
              <w:pStyle w:val="Compact"/>
              <w:jc w:val="right"/>
            </w:pPr>
            <w:r>
              <w:t xml:space="preserve">0.597</w:t>
            </w:r>
          </w:p>
        </w:tc>
      </w:tr>
      <w:tr>
        <w:tc>
          <w:tcPr/>
          <w:p>
            <w:pPr>
              <w:pStyle w:val="Compact"/>
              <w:jc w:val="left"/>
            </w:pPr>
            <w:r>
              <w:t xml:space="preserve">2</w:t>
            </w:r>
          </w:p>
        </w:tc>
        <w:tc>
          <w:tcPr/>
          <w:p>
            <w:pPr>
              <w:pStyle w:val="Compact"/>
              <w:jc w:val="left"/>
            </w:pPr>
            <w:r>
              <w:rPr>
                <w:rStyle w:val="VerbatimChar"/>
              </w:rPr>
              <w:t xml:space="preserve">in_wt_pct</w:t>
            </w:r>
            <w:r>
              <w:t xml:space="preserve"> </w:t>
            </w:r>
            <w:r>
              <w:t xml:space="preserve">(indium loading)</w:t>
            </w:r>
          </w:p>
        </w:tc>
        <w:tc>
          <w:tcPr/>
          <w:p>
            <w:pPr>
              <w:pStyle w:val="Compact"/>
              <w:jc w:val="right"/>
            </w:pPr>
            <w:r>
              <w:t xml:space="preserve">0.488</w:t>
            </w:r>
          </w:p>
        </w:tc>
      </w:tr>
      <w:tr>
        <w:tc>
          <w:tcPr/>
          <w:p>
            <w:pPr>
              <w:pStyle w:val="Compact"/>
              <w:jc w:val="left"/>
            </w:pPr>
            <w:r>
              <w:t xml:space="preserve">3</w:t>
            </w:r>
          </w:p>
        </w:tc>
        <w:tc>
          <w:tcPr/>
          <w:p>
            <w:pPr>
              <w:pStyle w:val="Compact"/>
              <w:jc w:val="left"/>
            </w:pPr>
            <w:r>
              <w:rPr>
                <w:rStyle w:val="VerbatimChar"/>
              </w:rPr>
              <w:t xml:space="preserve">temperature_k</w:t>
            </w:r>
          </w:p>
        </w:tc>
        <w:tc>
          <w:tcPr/>
          <w:p>
            <w:pPr>
              <w:pStyle w:val="Compact"/>
              <w:jc w:val="right"/>
            </w:pPr>
            <w:r>
              <w:t xml:space="preserve">0.269</w:t>
            </w:r>
          </w:p>
        </w:tc>
      </w:tr>
      <w:tr>
        <w:tc>
          <w:tcPr/>
          <w:p>
            <w:pPr>
              <w:pStyle w:val="Compact"/>
              <w:jc w:val="left"/>
            </w:pPr>
            <w:r>
              <w:t xml:space="preserve">4</w:t>
            </w:r>
          </w:p>
        </w:tc>
        <w:tc>
          <w:tcPr/>
          <w:p>
            <w:pPr>
              <w:pStyle w:val="Compact"/>
              <w:jc w:val="left"/>
            </w:pPr>
            <w:r>
              <w:rPr>
                <w:rStyle w:val="VerbatimChar"/>
              </w:rPr>
              <w:t xml:space="preserve">ga_wt_pct</w:t>
            </w:r>
            <w:r>
              <w:t xml:space="preserve"> </w:t>
            </w:r>
            <w:r>
              <w:t xml:space="preserve">(gallium loading)</w:t>
            </w:r>
          </w:p>
        </w:tc>
        <w:tc>
          <w:tcPr/>
          <w:p>
            <w:pPr>
              <w:pStyle w:val="Compact"/>
              <w:jc w:val="right"/>
            </w:pPr>
            <w:r>
              <w:t xml:space="preserve">0.240</w:t>
            </w:r>
          </w:p>
        </w:tc>
      </w:tr>
      <w:tr>
        <w:tc>
          <w:tcPr/>
          <w:p>
            <w:pPr>
              <w:pStyle w:val="Compact"/>
              <w:jc w:val="left"/>
            </w:pPr>
            <w:r>
              <w:t xml:space="preserve">5</w:t>
            </w:r>
          </w:p>
        </w:tc>
        <w:tc>
          <w:tcPr/>
          <w:p>
            <w:pPr>
              <w:pStyle w:val="Compact"/>
              <w:jc w:val="left"/>
            </w:pPr>
            <w:r>
              <w:rPr>
                <w:rStyle w:val="VerbatimChar"/>
              </w:rPr>
              <w:t xml:space="preserve">al_wt_pct</w:t>
            </w:r>
            <w:r>
              <w:t xml:space="preserve"> </w:t>
            </w:r>
            <w:r>
              <w:t xml:space="preserve">(aluminium purity)</w:t>
            </w:r>
          </w:p>
        </w:tc>
        <w:tc>
          <w:tcPr/>
          <w:p>
            <w:pPr>
              <w:pStyle w:val="Compact"/>
              <w:jc w:val="right"/>
            </w:pPr>
            <w:r>
              <w:t xml:space="preserve">0.139</w:t>
            </w:r>
          </w:p>
        </w:tc>
      </w:tr>
      <w:tr>
        <w:tc>
          <w:tcPr/>
          <w:p>
            <w:pPr>
              <w:pStyle w:val="Compact"/>
              <w:jc w:val="left"/>
            </w:pPr>
            <w:r>
              <w:t xml:space="preserve">6</w:t>
            </w:r>
          </w:p>
        </w:tc>
        <w:tc>
          <w:tcPr/>
          <w:p>
            <w:pPr>
              <w:pStyle w:val="Compact"/>
              <w:jc w:val="left"/>
            </w:pPr>
            <w:r>
              <w:rPr>
                <w:rStyle w:val="VerbatimChar"/>
              </w:rPr>
              <w:t xml:space="preserve">sn_wt_pct</w:t>
            </w:r>
            <w:r>
              <w:t xml:space="preserve"> </w:t>
            </w:r>
            <w:r>
              <w:t xml:space="preserve">(tin loading)</w:t>
            </w:r>
          </w:p>
        </w:tc>
        <w:tc>
          <w:tcPr/>
          <w:p>
            <w:pPr>
              <w:pStyle w:val="Compact"/>
              <w:jc w:val="right"/>
            </w:pPr>
            <w:r>
              <w:t xml:space="preserve">0.076</w:t>
            </w:r>
          </w:p>
        </w:tc>
      </w:tr>
      <w:tr>
        <w:tc>
          <w:tcPr/>
          <w:p>
            <w:pPr>
              <w:pStyle w:val="Compact"/>
              <w:jc w:val="left"/>
            </w:pPr>
            <w:r>
              <w:t xml:space="preserve">7</w:t>
            </w:r>
          </w:p>
        </w:tc>
        <w:tc>
          <w:tcPr/>
          <w:p>
            <w:pPr>
              <w:pStyle w:val="Compact"/>
              <w:jc w:val="left"/>
            </w:pPr>
            <w:r>
              <w:rPr>
                <w:rStyle w:val="VerbatimChar"/>
              </w:rPr>
              <w:t xml:space="preserve">activator_ratio</w:t>
            </w:r>
          </w:p>
        </w:tc>
        <w:tc>
          <w:tcPr/>
          <w:p>
            <w:pPr>
              <w:pStyle w:val="Compact"/>
              <w:jc w:val="right"/>
            </w:pPr>
            <w:r>
              <w:t xml:space="preserve">0.035</w:t>
            </w:r>
          </w:p>
        </w:tc>
      </w:tr>
      <w:tr>
        <w:tc>
          <w:tcPr/>
          <w:p>
            <w:pPr>
              <w:pStyle w:val="Compact"/>
              <w:jc w:val="left"/>
            </w:pPr>
            <w:r>
              <w:t xml:space="preserve">8</w:t>
            </w:r>
          </w:p>
        </w:tc>
        <w:tc>
          <w:tcPr/>
          <w:p>
            <w:pPr>
              <w:pStyle w:val="Compact"/>
              <w:jc w:val="left"/>
            </w:pPr>
            <w:r>
              <w:rPr>
                <w:rStyle w:val="VerbatimChar"/>
              </w:rPr>
              <w:t xml:space="preserve">morphology_flag</w:t>
            </w:r>
          </w:p>
        </w:tc>
        <w:tc>
          <w:tcPr/>
          <w:p>
            <w:pPr>
              <w:pStyle w:val="Compact"/>
              <w:jc w:val="right"/>
            </w:pPr>
            <w:r>
              <w:t xml:space="preserve">0.035</w:t>
            </w:r>
          </w:p>
        </w:tc>
      </w:tr>
      <w:tr>
        <w:tc>
          <w:tcPr/>
          <w:p>
            <w:pPr>
              <w:pStyle w:val="Compact"/>
              <w:jc w:val="left"/>
            </w:pPr>
            <w:r>
              <w:t xml:space="preserve">9</w:t>
            </w:r>
          </w:p>
        </w:tc>
        <w:tc>
          <w:tcPr/>
          <w:p>
            <w:pPr>
              <w:pStyle w:val="Compact"/>
              <w:jc w:val="left"/>
            </w:pPr>
            <w:r>
              <w:rPr>
                <w:rStyle w:val="VerbatimChar"/>
              </w:rPr>
              <w:t xml:space="preserve">bi_wt_pct</w:t>
            </w:r>
            <w:r>
              <w:t xml:space="preserve"> </w:t>
            </w:r>
            <w:r>
              <w:t xml:space="preserve">(bismuth loading)</w:t>
            </w:r>
          </w:p>
        </w:tc>
        <w:tc>
          <w:tcPr/>
          <w:p>
            <w:pPr>
              <w:pStyle w:val="Compact"/>
              <w:jc w:val="right"/>
            </w:pPr>
            <w:r>
              <w:t xml:space="preserve">0.034</w:t>
            </w:r>
          </w:p>
        </w:tc>
      </w:tr>
      <w:tr>
        <w:tc>
          <w:tcPr/>
          <w:p>
            <w:pPr>
              <w:pStyle w:val="Compact"/>
              <w:jc w:val="left"/>
            </w:pPr>
            <w:r>
              <w:t xml:space="preserve">10</w:t>
            </w:r>
          </w:p>
        </w:tc>
        <w:tc>
          <w:tcPr/>
          <w:p>
            <w:pPr>
              <w:pStyle w:val="Compact"/>
              <w:jc w:val="left"/>
            </w:pPr>
            <w:r>
              <w:rPr>
                <w:rStyle w:val="VerbatimChar"/>
              </w:rPr>
              <w:t xml:space="preserve">system_class</w:t>
            </w:r>
          </w:p>
        </w:tc>
        <w:tc>
          <w:tcPr/>
          <w:p>
            <w:pPr>
              <w:pStyle w:val="Compact"/>
              <w:jc w:val="right"/>
            </w:pPr>
            <w:r>
              <w:t xml:space="preserve">0.032</w:t>
            </w:r>
          </w:p>
        </w:tc>
      </w:tr>
      <w:tr>
        <w:tc>
          <w:tcPr/>
          <w:p>
            <w:pPr>
              <w:pStyle w:val="Compact"/>
              <w:jc w:val="left"/>
            </w:pPr>
            <w:r>
              <w:t xml:space="preserve">11</w:t>
            </w:r>
          </w:p>
        </w:tc>
        <w:tc>
          <w:tcPr/>
          <w:p>
            <w:pPr>
              <w:pStyle w:val="Compact"/>
              <w:jc w:val="left"/>
            </w:pPr>
            <w:r>
              <w:rPr>
                <w:rStyle w:val="VerbatimChar"/>
              </w:rPr>
              <w:t xml:space="preserve">mg_wt_pct</w:t>
            </w:r>
            <w:r>
              <w:t xml:space="preserve"> </w:t>
            </w:r>
            <w:r>
              <w:t xml:space="preserve">(magnesium loading)</w:t>
            </w:r>
          </w:p>
        </w:tc>
        <w:tc>
          <w:tcPr/>
          <w:p>
            <w:pPr>
              <w:pStyle w:val="Compact"/>
              <w:jc w:val="right"/>
            </w:pPr>
            <w:r>
              <w:t xml:space="preserve">0.023</w:t>
            </w:r>
          </w:p>
        </w:tc>
      </w:tr>
      <w:tr>
        <w:tc>
          <w:tcPr/>
          <w:p>
            <w:pPr>
              <w:pStyle w:val="Compact"/>
              <w:jc w:val="left"/>
            </w:pPr>
            <w:r>
              <w:t xml:space="preserve">12</w:t>
            </w:r>
          </w:p>
        </w:tc>
        <w:tc>
          <w:tcPr/>
          <w:p>
            <w:pPr>
              <w:pStyle w:val="Compact"/>
              <w:jc w:val="left"/>
            </w:pPr>
            <w:r>
              <w:rPr>
                <w:rStyle w:val="VerbatimChar"/>
              </w:rPr>
              <w:t xml:space="preserve">water_type</w:t>
            </w:r>
          </w:p>
        </w:tc>
        <w:tc>
          <w:tcPr/>
          <w:p>
            <w:pPr>
              <w:pStyle w:val="Compact"/>
              <w:jc w:val="right"/>
            </w:pPr>
            <w:r>
              <w:t xml:space="preserve">0.017</w:t>
            </w:r>
          </w:p>
        </w:tc>
      </w:tr>
      <w:tr>
        <w:tc>
          <w:tcPr/>
          <w:p>
            <w:pPr>
              <w:pStyle w:val="Compact"/>
              <w:jc w:val="left"/>
            </w:pPr>
            <w:r>
              <w:t xml:space="preserve">13</w:t>
            </w:r>
          </w:p>
        </w:tc>
        <w:tc>
          <w:tcPr/>
          <w:p>
            <w:pPr>
              <w:pStyle w:val="Compact"/>
              <w:jc w:val="left"/>
            </w:pPr>
            <w:r>
              <w:rPr>
                <w:rStyle w:val="VerbatimChar"/>
              </w:rPr>
              <w:t xml:space="preserve">zn_wt_pct</w:t>
            </w:r>
            <w:r>
              <w:t xml:space="preserve"> </w:t>
            </w:r>
            <w:r>
              <w:t xml:space="preserve">(zinc loading)</w:t>
            </w:r>
          </w:p>
        </w:tc>
        <w:tc>
          <w:tcPr/>
          <w:p>
            <w:pPr>
              <w:pStyle w:val="Compact"/>
              <w:jc w:val="right"/>
            </w:pPr>
            <w:r>
              <w:t xml:space="preserve">0.011</w:t>
            </w:r>
          </w:p>
        </w:tc>
      </w:tr>
      <w:tr>
        <w:tc>
          <w:tcPr/>
          <w:p>
            <w:pPr>
              <w:pStyle w:val="Compact"/>
              <w:jc w:val="left"/>
            </w:pPr>
            <w:r>
              <w:t xml:space="preserve">14</w:t>
            </w:r>
          </w:p>
        </w:tc>
        <w:tc>
          <w:tcPr/>
          <w:p>
            <w:pPr>
              <w:pStyle w:val="Compact"/>
              <w:jc w:val="left"/>
            </w:pPr>
            <w:r>
              <w:rPr>
                <w:rStyle w:val="VerbatimChar"/>
              </w:rPr>
              <w:t xml:space="preserve">alkali_conc_mol_l</w:t>
            </w:r>
          </w:p>
        </w:tc>
        <w:tc>
          <w:tcPr/>
          <w:p>
            <w:pPr>
              <w:pStyle w:val="Compact"/>
              <w:jc w:val="right"/>
            </w:pPr>
            <w:r>
              <w:t xml:space="preserve">0.009</w:t>
            </w:r>
          </w:p>
        </w:tc>
      </w:tr>
      <w:tr>
        <w:tc>
          <w:tcPr/>
          <w:p>
            <w:pPr>
              <w:pStyle w:val="Compact"/>
              <w:jc w:val="left"/>
            </w:pPr>
            <w:r>
              <w:t xml:space="preserve">15</w:t>
            </w:r>
          </w:p>
        </w:tc>
        <w:tc>
          <w:tcPr/>
          <w:p>
            <w:pPr>
              <w:pStyle w:val="Compact"/>
              <w:jc w:val="left"/>
            </w:pPr>
            <w:r>
              <w:rPr>
                <w:rStyle w:val="VerbatimChar"/>
              </w:rPr>
              <w:t xml:space="preserve">alkali_type</w:t>
            </w:r>
          </w:p>
        </w:tc>
        <w:tc>
          <w:tcPr/>
          <w:p>
            <w:pPr>
              <w:pStyle w:val="Compact"/>
              <w:jc w:val="right"/>
            </w:pPr>
            <w:r>
              <w:t xml:space="preserve">0.004</w:t>
            </w:r>
          </w:p>
        </w:tc>
      </w:tr>
      <w:tr>
        <w:tc>
          <w:tcPr/>
          <w:p>
            <w:pPr>
              <w:pStyle w:val="Compact"/>
              <w:jc w:val="left"/>
            </w:pPr>
            <w:r>
              <w:t xml:space="preserve">16</w:t>
            </w:r>
          </w:p>
        </w:tc>
        <w:tc>
          <w:tcPr/>
          <w:p>
            <w:pPr>
              <w:pStyle w:val="Compact"/>
              <w:jc w:val="left"/>
            </w:pPr>
            <w:r>
              <w:rPr>
                <w:rStyle w:val="VerbatimChar"/>
              </w:rPr>
              <w:t xml:space="preserve">activation_method</w:t>
            </w:r>
          </w:p>
        </w:tc>
        <w:tc>
          <w:tcPr/>
          <w:p>
            <w:pPr>
              <w:pStyle w:val="Compact"/>
              <w:jc w:val="right"/>
            </w:pPr>
            <w:r>
              <w:t xml:space="preserve">0.002</w:t>
            </w:r>
          </w:p>
        </w:tc>
      </w:tr>
    </w:tbl>
    <w:bookmarkEnd w:id="91"/>
    <w:bookmarkStart w:id="208" w:name="refs"/>
    <w:bookmarkStart w:id="93" w:name="ref-ilyukhina2012"/>
    <w:p>
      <w:pPr>
        <w:pStyle w:val="Bibliography"/>
      </w:pPr>
      <w:r>
        <w:t xml:space="preserve">[1]</w:t>
      </w:r>
      <w:r>
        <w:t xml:space="preserve"> </w:t>
      </w:r>
      <w:r>
        <w:t xml:space="preserve">	</w:t>
      </w:r>
      <w:r>
        <w:t xml:space="preserve">Ilyukhina AV, Ilyukhin AS, Shkolnikov EI. Hydrogen generation from water by means of activated aluminum. International Journal of Hydrogen Energy 2012;37:16382–7.</w:t>
      </w:r>
      <w:r>
        <w:t xml:space="preserve"> </w:t>
      </w:r>
      <w:hyperlink r:id="rId92">
        <w:r>
          <w:rPr>
            <w:rStyle w:val="Hyperlink"/>
          </w:rPr>
          <w:t xml:space="preserve">https://doi.org/10.1016/j.ijhydene.2012.02.175</w:t>
        </w:r>
      </w:hyperlink>
      <w:r>
        <w:t xml:space="preserve">.</w:t>
      </w:r>
    </w:p>
    <w:bookmarkEnd w:id="93"/>
    <w:bookmarkStart w:id="95" w:name="ref-dudoladov2016"/>
    <w:p>
      <w:pPr>
        <w:pStyle w:val="Bibliography"/>
      </w:pPr>
      <w:r>
        <w:t xml:space="preserve">[2]</w:t>
      </w:r>
      <w:r>
        <w:t xml:space="preserve"> </w:t>
      </w:r>
      <w:r>
        <w:t xml:space="preserve">	</w:t>
      </w:r>
      <w:r>
        <w:t xml:space="preserve">Dudoladov AO, Buryakovskaya OA, Vlaskin MS, Zhuk AZ, Shkolnikov EI. Generation of hydrogen by aluminium oxidation in aquaeous solutions at low temperatures. International Journal of Hydrogen Energy 2016;41:2230–7.</w:t>
      </w:r>
      <w:r>
        <w:t xml:space="preserve"> </w:t>
      </w:r>
      <w:hyperlink r:id="rId94">
        <w:r>
          <w:rPr>
            <w:rStyle w:val="Hyperlink"/>
          </w:rPr>
          <w:t xml:space="preserve">https://doi.org/10.1016/j.ijhydene.2015.11.122</w:t>
        </w:r>
      </w:hyperlink>
      <w:r>
        <w:t xml:space="preserve">.</w:t>
      </w:r>
    </w:p>
    <w:bookmarkEnd w:id="95"/>
    <w:bookmarkStart w:id="97" w:name="ref-zhang2024"/>
    <w:p>
      <w:pPr>
        <w:pStyle w:val="Bibliography"/>
      </w:pPr>
      <w:r>
        <w:t xml:space="preserve">[3]</w:t>
      </w:r>
      <w:r>
        <w:t xml:space="preserve"> </w:t>
      </w:r>
      <w:r>
        <w:t xml:space="preserve">	</w:t>
      </w:r>
      <w:r>
        <w:t xml:space="preserve">Zhang X, Wang L, Tao G, Guo R, Fang J, Zhang J, et al. Hydrogen production from aluminum-water reactions at low temperatures: Based on an in-situ two powders of different particle sizes. Frontiers in Energy Research 2024;12.</w:t>
      </w:r>
      <w:r>
        <w:t xml:space="preserve"> </w:t>
      </w:r>
      <w:hyperlink r:id="rId96">
        <w:r>
          <w:rPr>
            <w:rStyle w:val="Hyperlink"/>
          </w:rPr>
          <w:t xml:space="preserve">https://doi.org/10.3389/fenrg.2024.1441155</w:t>
        </w:r>
      </w:hyperlink>
      <w:r>
        <w:t xml:space="preserve">.</w:t>
      </w:r>
    </w:p>
    <w:bookmarkEnd w:id="97"/>
    <w:bookmarkStart w:id="99" w:name="ref-prabu2021"/>
    <w:p>
      <w:pPr>
        <w:pStyle w:val="Bibliography"/>
      </w:pPr>
      <w:r>
        <w:t xml:space="preserve">[4]</w:t>
      </w:r>
      <w:r>
        <w:t xml:space="preserve"> </w:t>
      </w:r>
      <w:r>
        <w:t xml:space="preserve">	</w:t>
      </w:r>
      <w:r>
        <w:t xml:space="preserve">Prabu S, Wang H-W. Improved hydrogen generation from al/water reaction using different synthesized al( OH ) 3 catalyst crystalline phases. International Journal of Energy Research 2021;45:9518–29.</w:t>
      </w:r>
      <w:r>
        <w:t xml:space="preserve"> </w:t>
      </w:r>
      <w:hyperlink r:id="rId98">
        <w:r>
          <w:rPr>
            <w:rStyle w:val="Hyperlink"/>
          </w:rPr>
          <w:t xml:space="preserve">https://doi.org/10.1002/er.6478</w:t>
        </w:r>
      </w:hyperlink>
      <w:r>
        <w:t xml:space="preserve">.</w:t>
      </w:r>
    </w:p>
    <w:bookmarkEnd w:id="99"/>
    <w:bookmarkStart w:id="101" w:name="ref-wen2018"/>
    <w:p>
      <w:pPr>
        <w:pStyle w:val="Bibliography"/>
      </w:pPr>
      <w:r>
        <w:t xml:space="preserve">[5]</w:t>
      </w:r>
      <w:r>
        <w:t xml:space="preserve"> </w:t>
      </w:r>
      <w:r>
        <w:t xml:space="preserve">	</w:t>
      </w:r>
      <w:r>
        <w:t xml:space="preserve">Wen Y-C, Huang W-M, Wang H-W. Kinetics study on the generation of hydrogen from an aluminum/water system using synthesized aluminum hydroxides. International Journal of Energy Research 2018.</w:t>
      </w:r>
      <w:r>
        <w:t xml:space="preserve"> </w:t>
      </w:r>
      <w:hyperlink r:id="rId100">
        <w:r>
          <w:rPr>
            <w:rStyle w:val="Hyperlink"/>
          </w:rPr>
          <w:t xml:space="preserve">https://doi.org/10.1002/er.3955</w:t>
        </w:r>
      </w:hyperlink>
      <w:r>
        <w:t xml:space="preserve">.</w:t>
      </w:r>
    </w:p>
    <w:bookmarkEnd w:id="101"/>
    <w:bookmarkStart w:id="103" w:name="ref-porciuncula2012"/>
    <w:p>
      <w:pPr>
        <w:pStyle w:val="Bibliography"/>
      </w:pPr>
      <w:r>
        <w:t xml:space="preserve">[6]</w:t>
      </w:r>
      <w:r>
        <w:t xml:space="preserve"> </w:t>
      </w:r>
      <w:r>
        <w:t xml:space="preserve">	</w:t>
      </w:r>
      <w:r>
        <w:t xml:space="preserve">Porciúncula CB, Marcilio NR, Tessaro IC, Gerchmann M. Production of hydrogen in the reaction between aluminum and water in the presence of NaOH and KOH. Brazilian Journal of Chemical Engineering 2012;29:337–48.</w:t>
      </w:r>
      <w:r>
        <w:t xml:space="preserve"> </w:t>
      </w:r>
      <w:hyperlink r:id="rId102">
        <w:r>
          <w:rPr>
            <w:rStyle w:val="Hyperlink"/>
          </w:rPr>
          <w:t xml:space="preserve">https://doi.org/10.1590/s0104-66322012000200014</w:t>
        </w:r>
      </w:hyperlink>
      <w:r>
        <w:t xml:space="preserve">.</w:t>
      </w:r>
    </w:p>
    <w:bookmarkEnd w:id="103"/>
    <w:bookmarkStart w:id="105" w:name="ref-das2023fuel"/>
    <w:p>
      <w:pPr>
        <w:pStyle w:val="Bibliography"/>
      </w:pPr>
      <w:r>
        <w:t xml:space="preserve">[7]</w:t>
      </w:r>
      <w:r>
        <w:t xml:space="preserve"> </w:t>
      </w:r>
      <w:r>
        <w:t xml:space="preserve">	</w:t>
      </w:r>
      <w:r>
        <w:t xml:space="preserve">Das B, Robi PS, Mahanta P. Experimental investigation and modelling by machine learning techniques for hydrogen generation by reacting aluminium with aqueous NaOH solution. Fuel 2023.</w:t>
      </w:r>
      <w:r>
        <w:t xml:space="preserve"> </w:t>
      </w:r>
      <w:hyperlink r:id="rId104">
        <w:r>
          <w:rPr>
            <w:rStyle w:val="Hyperlink"/>
          </w:rPr>
          <w:t xml:space="preserve">https://doi.org/10.1016/j.fuel.2023.128924</w:t>
        </w:r>
      </w:hyperlink>
      <w:r>
        <w:t xml:space="preserve">.</w:t>
      </w:r>
    </w:p>
    <w:bookmarkEnd w:id="105"/>
    <w:bookmarkStart w:id="107" w:name="ref-wanghq2017"/>
    <w:p>
      <w:pPr>
        <w:pStyle w:val="Bibliography"/>
      </w:pPr>
      <w:r>
        <w:t xml:space="preserve">[8]</w:t>
      </w:r>
      <w:r>
        <w:t xml:space="preserve"> </w:t>
      </w:r>
      <w:r>
        <w:t xml:space="preserve">	</w:t>
      </w:r>
      <w:r>
        <w:t xml:space="preserve">Wang H, Wang Z, Shi Z, Gong X, Cao J, Wang M. Facile hydrogen production from al-water reaction promoted by choline hydroxide. Energy 2017;131:98–105.</w:t>
      </w:r>
      <w:r>
        <w:t xml:space="preserve"> </w:t>
      </w:r>
      <w:hyperlink r:id="rId106">
        <w:r>
          <w:rPr>
            <w:rStyle w:val="Hyperlink"/>
          </w:rPr>
          <w:t xml:space="preserve">https://doi.org/10.1016/j.energy.2017.05.031</w:t>
        </w:r>
      </w:hyperlink>
      <w:r>
        <w:t xml:space="preserve">.</w:t>
      </w:r>
    </w:p>
    <w:bookmarkEnd w:id="107"/>
    <w:bookmarkStart w:id="109" w:name="ref-yavor2013"/>
    <w:p>
      <w:pPr>
        <w:pStyle w:val="Bibliography"/>
      </w:pPr>
      <w:r>
        <w:t xml:space="preserve">[9]</w:t>
      </w:r>
      <w:r>
        <w:t xml:space="preserve"> </w:t>
      </w:r>
      <w:r>
        <w:t xml:space="preserve">	</w:t>
      </w:r>
      <w:r>
        <w:t xml:space="preserve">Yavor Y, Goroshin S, Bergthorson JM, Frost DL, Stowe R, Ringuette S. Enhanced hydrogen generation from aluminum–water reactions. International Journal of Hydrogen Energy 2013;38:14992–5002.</w:t>
      </w:r>
      <w:r>
        <w:t xml:space="preserve"> </w:t>
      </w:r>
      <w:hyperlink r:id="rId108">
        <w:r>
          <w:rPr>
            <w:rStyle w:val="Hyperlink"/>
          </w:rPr>
          <w:t xml:space="preserve">https://doi.org/10.1016/j.ijhydene.2013.09.070</w:t>
        </w:r>
      </w:hyperlink>
      <w:r>
        <w:t xml:space="preserve">.</w:t>
      </w:r>
    </w:p>
    <w:bookmarkEnd w:id="109"/>
    <w:bookmarkStart w:id="111" w:name="ref-trowell2022"/>
    <w:p>
      <w:pPr>
        <w:pStyle w:val="Bibliography"/>
      </w:pPr>
      <w:r>
        <w:t xml:space="preserve">[10]</w:t>
      </w:r>
      <w:r>
        <w:t xml:space="preserve"> </w:t>
      </w:r>
      <w:r>
        <w:t xml:space="preserve">	</w:t>
      </w:r>
      <w:r>
        <w:t xml:space="preserve">Trowell K, Goroshin S, Frost D, Bergthorson J. Hydrogen production rates of aluminum reacting with varying densities of supercritical water. RSC Advances 2022;12:12335–43.</w:t>
      </w:r>
      <w:r>
        <w:t xml:space="preserve"> </w:t>
      </w:r>
      <w:hyperlink r:id="rId110">
        <w:r>
          <w:rPr>
            <w:rStyle w:val="Hyperlink"/>
          </w:rPr>
          <w:t xml:space="preserve">https://doi.org/10.1039/d2ra01231f</w:t>
        </w:r>
      </w:hyperlink>
      <w:r>
        <w:t xml:space="preserve">.</w:t>
      </w:r>
    </w:p>
    <w:bookmarkEnd w:id="111"/>
    <w:bookmarkStart w:id="113" w:name="ref-deng2010"/>
    <w:p>
      <w:pPr>
        <w:pStyle w:val="Bibliography"/>
      </w:pPr>
      <w:r>
        <w:t xml:space="preserve">[11]</w:t>
      </w:r>
      <w:r>
        <w:t xml:space="preserve"> </w:t>
      </w:r>
      <w:r>
        <w:t xml:space="preserve">	</w:t>
      </w:r>
      <w:r>
        <w:t xml:space="preserve">Deng Z-Y, Zhu L-L, Tang Y-B, Sakka Y, Ye J, Xie R-J. Role of particle sizes in hydrogen generation by the reaction of al with water. Journal of the American Ceramic Society 2010;93:2998–3001.</w:t>
      </w:r>
      <w:r>
        <w:t xml:space="preserve"> </w:t>
      </w:r>
      <w:hyperlink r:id="rId112">
        <w:r>
          <w:rPr>
            <w:rStyle w:val="Hyperlink"/>
          </w:rPr>
          <w:t xml:space="preserve">https://doi.org/10.1111/j.1551-2916.2010.03969.x</w:t>
        </w:r>
      </w:hyperlink>
      <w:r>
        <w:t xml:space="preserve">.</w:t>
      </w:r>
    </w:p>
    <w:bookmarkEnd w:id="113"/>
    <w:bookmarkStart w:id="115" w:name="ref-rin2021"/>
    <w:p>
      <w:pPr>
        <w:pStyle w:val="Bibliography"/>
      </w:pPr>
      <w:r>
        <w:t xml:space="preserve">[12]</w:t>
      </w:r>
      <w:r>
        <w:t xml:space="preserve"> </w:t>
      </w:r>
      <w:r>
        <w:t xml:space="preserve">	</w:t>
      </w:r>
      <w:r>
        <w:t xml:space="preserve">Rin T, Sangwichien C, Yamsaengsung R, Reungpeerakul T. Hydrogen generation from the hydrolysis of aluminum promoted by ni–li–b catalyst. International Journal of Hydrogen Energy 2021;46:28450–61.</w:t>
      </w:r>
      <w:r>
        <w:t xml:space="preserve"> </w:t>
      </w:r>
      <w:hyperlink r:id="rId114">
        <w:r>
          <w:rPr>
            <w:rStyle w:val="Hyperlink"/>
          </w:rPr>
          <w:t xml:space="preserve">https://doi.org/10.1016/j.ijhydene.2021.06.101</w:t>
        </w:r>
      </w:hyperlink>
      <w:r>
        <w:t xml:space="preserve">.</w:t>
      </w:r>
    </w:p>
    <w:bookmarkEnd w:id="115"/>
    <w:bookmarkStart w:id="117" w:name="ref-xiao2018"/>
    <w:p>
      <w:pPr>
        <w:pStyle w:val="Bibliography"/>
      </w:pPr>
      <w:r>
        <w:t xml:space="preserve">[13]</w:t>
      </w:r>
      <w:r>
        <w:t xml:space="preserve"> </w:t>
      </w:r>
      <w:r>
        <w:t xml:space="preserve">	</w:t>
      </w:r>
      <w:r>
        <w:t xml:space="preserve">Xiao F, Guo Y, Li J, Yang R. Hydrogen generation from hydrolysis of activated aluminum composites in tap water. Energy 2018;157:608–14.</w:t>
      </w:r>
      <w:r>
        <w:t xml:space="preserve"> </w:t>
      </w:r>
      <w:hyperlink r:id="rId116">
        <w:r>
          <w:rPr>
            <w:rStyle w:val="Hyperlink"/>
          </w:rPr>
          <w:t xml:space="preserve">https://doi.org/10.1016/j.energy.2018.05.201</w:t>
        </w:r>
      </w:hyperlink>
      <w:r>
        <w:t xml:space="preserve">.</w:t>
      </w:r>
    </w:p>
    <w:bookmarkEnd w:id="117"/>
    <w:bookmarkStart w:id="119" w:name="ref-guan2019"/>
    <w:p>
      <w:pPr>
        <w:pStyle w:val="Bibliography"/>
      </w:pPr>
      <w:r>
        <w:t xml:space="preserve">[14]</w:t>
      </w:r>
      <w:r>
        <w:t xml:space="preserve"> </w:t>
      </w:r>
      <w:r>
        <w:t xml:space="preserve">	</w:t>
      </w:r>
      <w:r>
        <w:t xml:space="preserve">Guan X, Zhou Z, Luo P, Wu F, Dong S. Hydrogen generation from the reaction of al-based composites activated by low-melting-point metals/oxides/salts with water. Energy 2019;188:116107.</w:t>
      </w:r>
      <w:r>
        <w:t xml:space="preserve"> </w:t>
      </w:r>
      <w:hyperlink r:id="rId118">
        <w:r>
          <w:rPr>
            <w:rStyle w:val="Hyperlink"/>
          </w:rPr>
          <w:t xml:space="preserve">https://doi.org/10.1016/j.energy.2019.116107</w:t>
        </w:r>
      </w:hyperlink>
      <w:r>
        <w:t xml:space="preserve">.</w:t>
      </w:r>
    </w:p>
    <w:bookmarkEnd w:id="119"/>
    <w:bookmarkStart w:id="121" w:name="ref-preez2018"/>
    <w:p>
      <w:pPr>
        <w:pStyle w:val="Bibliography"/>
      </w:pPr>
      <w:r>
        <w:t xml:space="preserve">[15]</w:t>
      </w:r>
      <w:r>
        <w:t xml:space="preserve"> </w:t>
      </w:r>
      <w:r>
        <w:t xml:space="preserve">	</w:t>
      </w:r>
      <w:r>
        <w:t xml:space="preserve">Preez SP du, Bessarabov DG. Hydrogen generation by the hydrolysis of mechanochemically activated aluminum-tin-indium composites in pure water. International Journal of Hydrogen Energy 2018;43:21398–413.</w:t>
      </w:r>
      <w:r>
        <w:t xml:space="preserve"> </w:t>
      </w:r>
      <w:hyperlink r:id="rId120">
        <w:r>
          <w:rPr>
            <w:rStyle w:val="Hyperlink"/>
          </w:rPr>
          <w:t xml:space="preserve">https://doi.org/10.1016/j.ijhydene.2018.09.133</w:t>
        </w:r>
      </w:hyperlink>
      <w:r>
        <w:t xml:space="preserve">.</w:t>
      </w:r>
    </w:p>
    <w:bookmarkEnd w:id="121"/>
    <w:bookmarkStart w:id="123" w:name="ref-chen2020"/>
    <w:p>
      <w:pPr>
        <w:pStyle w:val="Bibliography"/>
      </w:pPr>
      <w:r>
        <w:t xml:space="preserve">[16]</w:t>
      </w:r>
      <w:r>
        <w:t xml:space="preserve"> </w:t>
      </w:r>
      <w:r>
        <w:t xml:space="preserve">	</w:t>
      </w:r>
      <w:r>
        <w:t xml:space="preserve">Chen C, Guan X, Wang H, Dong S, Luo P. Hydrogen generation from splitting water with al–bi(OH)3 composite promoted by NaCl. International Journal of Hydrogen Energy 2020;45:13139–48.</w:t>
      </w:r>
      <w:r>
        <w:t xml:space="preserve"> </w:t>
      </w:r>
      <w:hyperlink r:id="rId122">
        <w:r>
          <w:rPr>
            <w:rStyle w:val="Hyperlink"/>
          </w:rPr>
          <w:t xml:space="preserve">https://doi.org/10.1016/j.ijhydene.2020.03.027</w:t>
        </w:r>
      </w:hyperlink>
      <w:r>
        <w:t xml:space="preserve">.</w:t>
      </w:r>
    </w:p>
    <w:bookmarkEnd w:id="123"/>
    <w:bookmarkStart w:id="125" w:name="ref-xiao2020"/>
    <w:p>
      <w:pPr>
        <w:pStyle w:val="Bibliography"/>
      </w:pPr>
      <w:r>
        <w:t xml:space="preserve">[17]</w:t>
      </w:r>
      <w:r>
        <w:t xml:space="preserve"> </w:t>
      </w:r>
      <w:r>
        <w:t xml:space="preserve">	</w:t>
      </w:r>
      <w:r>
        <w:t xml:space="preserve">Xiao F, Yang R, Gao W, Hu J, Li J. Effect of carbon materials and bismuth particle size on hydrogen generation using aluminum-based composites. Journal of Alloys and Compounds 2020;817:152800.</w:t>
      </w:r>
      <w:r>
        <w:t xml:space="preserve"> </w:t>
      </w:r>
      <w:hyperlink r:id="rId124">
        <w:r>
          <w:rPr>
            <w:rStyle w:val="Hyperlink"/>
          </w:rPr>
          <w:t xml:space="preserve">https://doi.org/10.1016/j.jallcom.2019.152800</w:t>
        </w:r>
      </w:hyperlink>
      <w:r>
        <w:t xml:space="preserve">.</w:t>
      </w:r>
    </w:p>
    <w:bookmarkEnd w:id="125"/>
    <w:bookmarkStart w:id="127" w:name="ref-davies2022mat"/>
    <w:p>
      <w:pPr>
        <w:pStyle w:val="Bibliography"/>
      </w:pPr>
      <w:r>
        <w:t xml:space="preserve">[18]</w:t>
      </w:r>
      <w:r>
        <w:t xml:space="preserve"> </w:t>
      </w:r>
      <w:r>
        <w:t xml:space="preserve">	</w:t>
      </w:r>
      <w:r>
        <w:t xml:space="preserve">Davies J, Preez SP du, Bessarabov DG. On-demand hydrogen generation by the hydrolysis of ball-milled aluminum–bismuth–zinc composites. Materials 2022;15:1197.</w:t>
      </w:r>
      <w:r>
        <w:t xml:space="preserve"> </w:t>
      </w:r>
      <w:hyperlink r:id="rId126">
        <w:r>
          <w:rPr>
            <w:rStyle w:val="Hyperlink"/>
          </w:rPr>
          <w:t xml:space="preserve">https://doi.org/10.3390/ma15031197</w:t>
        </w:r>
      </w:hyperlink>
      <w:r>
        <w:t xml:space="preserve">.</w:t>
      </w:r>
    </w:p>
    <w:bookmarkEnd w:id="127"/>
    <w:bookmarkStart w:id="129" w:name="ref-liuyh2017"/>
    <w:p>
      <w:pPr>
        <w:pStyle w:val="Bibliography"/>
      </w:pPr>
      <w:r>
        <w:t xml:space="preserve">[19]</w:t>
      </w:r>
      <w:r>
        <w:t xml:space="preserve"> </w:t>
      </w:r>
      <w:r>
        <w:t xml:space="preserve">	</w:t>
      </w:r>
      <w:r>
        <w:t xml:space="preserve">Liu Y, Liu X, Chen X, Yang S, Wang C. Hydrogen generation from hydrolysis of activated al-bi, al-sn powders prepared by gas atomization method. International Journal of Hydrogen Energy 2017;42:10943–51.</w:t>
      </w:r>
      <w:r>
        <w:t xml:space="preserve"> </w:t>
      </w:r>
      <w:hyperlink r:id="rId128">
        <w:r>
          <w:rPr>
            <w:rStyle w:val="Hyperlink"/>
          </w:rPr>
          <w:t xml:space="preserve">https://doi.org/10.1016/j.ijhydene.2017.02.205</w:t>
        </w:r>
      </w:hyperlink>
      <w:r>
        <w:t xml:space="preserve">.</w:t>
      </w:r>
    </w:p>
    <w:bookmarkEnd w:id="129"/>
    <w:bookmarkStart w:id="131" w:name="ref-qiao2019"/>
    <w:p>
      <w:pPr>
        <w:pStyle w:val="Bibliography"/>
      </w:pPr>
      <w:r>
        <w:t xml:space="preserve">[20]</w:t>
      </w:r>
      <w:r>
        <w:t xml:space="preserve"> </w:t>
      </w:r>
      <w:r>
        <w:t xml:space="preserve">	</w:t>
      </w:r>
      <w:r>
        <w:t xml:space="preserve">Qiao D, Lu Y, Tang Z, Fan X, Wang T, Li T, et al. The superior hydrogen-generation performance of multi-component al alloys by the hydrolysis reaction. International Journal of Hydrogen Energy 2019;44:3527–37.</w:t>
      </w:r>
      <w:r>
        <w:t xml:space="preserve"> </w:t>
      </w:r>
      <w:hyperlink r:id="rId130">
        <w:r>
          <w:rPr>
            <w:rStyle w:val="Hyperlink"/>
          </w:rPr>
          <w:t xml:space="preserve">https://doi.org/10.1016/j.ijhydene.2018.12.124</w:t>
        </w:r>
      </w:hyperlink>
      <w:r>
        <w:t xml:space="preserve">.</w:t>
      </w:r>
    </w:p>
    <w:bookmarkEnd w:id="131"/>
    <w:bookmarkStart w:id="133" w:name="ref-meng2022"/>
    <w:p>
      <w:pPr>
        <w:pStyle w:val="Bibliography"/>
      </w:pPr>
      <w:r>
        <w:t xml:space="preserve">[21]</w:t>
      </w:r>
      <w:r>
        <w:t xml:space="preserve"> </w:t>
      </w:r>
      <w:r>
        <w:t xml:space="preserve">	</w:t>
      </w:r>
      <w:r>
        <w:t xml:space="preserve">Meng A, Sun Y, Cheng W, Zhai Z, Jiang L, Chong Z, et al. Mechanism of hydrogen generation from low melting point elements (ga, in, sn) on aluminum alloy hydrolysis. International Journal of Hydrogen Energy 2022;47:39364–75.</w:t>
      </w:r>
      <w:r>
        <w:t xml:space="preserve"> </w:t>
      </w:r>
      <w:hyperlink r:id="rId132">
        <w:r>
          <w:rPr>
            <w:rStyle w:val="Hyperlink"/>
          </w:rPr>
          <w:t xml:space="preserve">https://doi.org/10.1016/j.ijhydene.2022.09.127</w:t>
        </w:r>
      </w:hyperlink>
      <w:r>
        <w:t xml:space="preserve">.</w:t>
      </w:r>
    </w:p>
    <w:bookmarkEnd w:id="133"/>
    <w:bookmarkStart w:id="135" w:name="ref-jayaraman2015"/>
    <w:p>
      <w:pPr>
        <w:pStyle w:val="Bibliography"/>
      </w:pPr>
      <w:r>
        <w:t xml:space="preserve">[22]</w:t>
      </w:r>
      <w:r>
        <w:t xml:space="preserve"> </w:t>
      </w:r>
      <w:r>
        <w:t xml:space="preserve">	</w:t>
      </w:r>
      <w:r>
        <w:t xml:space="preserve">Jayaraman K, Chauveau C, Gökalp I. Effects of aluminum particle size, galinstan content and reaction temperature on hydrogen generation rate using activated aluminum and water. Energy and Power Engineering 2015;07:426–32.</w:t>
      </w:r>
      <w:r>
        <w:t xml:space="preserve"> </w:t>
      </w:r>
      <w:hyperlink r:id="rId134">
        <w:r>
          <w:rPr>
            <w:rStyle w:val="Hyperlink"/>
          </w:rPr>
          <w:t xml:space="preserve">https://doi.org/10.4236/epe.2015.79041</w:t>
        </w:r>
      </w:hyperlink>
      <w:r>
        <w:t xml:space="preserve">.</w:t>
      </w:r>
    </w:p>
    <w:bookmarkEnd w:id="135"/>
    <w:bookmarkStart w:id="137" w:name="ref-lu2017"/>
    <w:p>
      <w:pPr>
        <w:pStyle w:val="Bibliography"/>
      </w:pPr>
      <w:r>
        <w:t xml:space="preserve">[23]</w:t>
      </w:r>
      <w:r>
        <w:t xml:space="preserve"> </w:t>
      </w:r>
      <w:r>
        <w:t xml:space="preserve">	</w:t>
      </w:r>
      <w:r>
        <w:t xml:space="preserve">Lu J, Yu W, Tan S, Wang L, Yang X, Liu J. Controlled hydrogen generation using interaction of artificial seawater with aluminum plates activated by liquid ga–in alloy. RSC Advances 2017;7:30839–44.</w:t>
      </w:r>
      <w:r>
        <w:t xml:space="preserve"> </w:t>
      </w:r>
      <w:hyperlink r:id="rId136">
        <w:r>
          <w:rPr>
            <w:rStyle w:val="Hyperlink"/>
          </w:rPr>
          <w:t xml:space="preserve">https://doi.org/10.1039/c7ra01839h</w:t>
        </w:r>
      </w:hyperlink>
      <w:r>
        <w:t xml:space="preserve">.</w:t>
      </w:r>
    </w:p>
    <w:bookmarkEnd w:id="137"/>
    <w:bookmarkStart w:id="139" w:name="ref-fischman2020"/>
    <w:p>
      <w:pPr>
        <w:pStyle w:val="Bibliography"/>
      </w:pPr>
      <w:r>
        <w:t xml:space="preserve">[24]</w:t>
      </w:r>
      <w:r>
        <w:t xml:space="preserve"> </w:t>
      </w:r>
      <w:r>
        <w:t xml:space="preserve">	</w:t>
      </w:r>
      <w:r>
        <w:t xml:space="preserve">Fischman J, Godart P, Hart D. Hydrogen generation via the reaction of an activated aluminum slurry with water. International Journal of Hydrogen Energy 2020;45:17118–30.</w:t>
      </w:r>
      <w:r>
        <w:t xml:space="preserve"> </w:t>
      </w:r>
      <w:hyperlink r:id="rId138">
        <w:r>
          <w:rPr>
            <w:rStyle w:val="Hyperlink"/>
          </w:rPr>
          <w:t xml:space="preserve">https://doi.org/10.1016/j.ijhydene.2020.04.161</w:t>
        </w:r>
      </w:hyperlink>
      <w:r>
        <w:t xml:space="preserve">.</w:t>
      </w:r>
    </w:p>
    <w:bookmarkEnd w:id="139"/>
    <w:bookmarkStart w:id="141" w:name="ref-gupta2025"/>
    <w:p>
      <w:pPr>
        <w:pStyle w:val="Bibliography"/>
      </w:pPr>
      <w:r>
        <w:t xml:space="preserve">[25]</w:t>
      </w:r>
      <w:r>
        <w:t xml:space="preserve"> </w:t>
      </w:r>
      <w:r>
        <w:t xml:space="preserve">	</w:t>
      </w:r>
      <w:r>
        <w:t xml:space="preserve">Gupta M, Selleri F, Ficarella A, Bocchetta P. Hydrogen generation through metal waste corrosion: A systematic investigation on old/post-consumer scrap Al6063-series alloy. Materials for Renewable and Sustainable Energy 2025;14.</w:t>
      </w:r>
      <w:r>
        <w:t xml:space="preserve"> </w:t>
      </w:r>
      <w:hyperlink r:id="rId140">
        <w:r>
          <w:rPr>
            <w:rStyle w:val="Hyperlink"/>
          </w:rPr>
          <w:t xml:space="preserve">https://doi.org/10.1007/s40243-024-00287-2</w:t>
        </w:r>
      </w:hyperlink>
      <w:r>
        <w:t xml:space="preserve">.</w:t>
      </w:r>
    </w:p>
    <w:bookmarkEnd w:id="141"/>
    <w:bookmarkStart w:id="143" w:name="ref-ho2016"/>
    <w:p>
      <w:pPr>
        <w:pStyle w:val="Bibliography"/>
      </w:pPr>
      <w:r>
        <w:t xml:space="preserve">[26]</w:t>
      </w:r>
      <w:r>
        <w:t xml:space="preserve"> </w:t>
      </w:r>
      <w:r>
        <w:t xml:space="preserve">	</w:t>
      </w:r>
      <w:r>
        <w:t xml:space="preserve">Ho C-Y, Huang C-H. Enhancement of hydrogen generation using waste aluminum cans hydrolysis in low alkaline de-ionized water. International Journal of Hydrogen Energy 2016;41:3741–7.</w:t>
      </w:r>
      <w:r>
        <w:t xml:space="preserve"> </w:t>
      </w:r>
      <w:hyperlink r:id="rId142">
        <w:r>
          <w:rPr>
            <w:rStyle w:val="Hyperlink"/>
          </w:rPr>
          <w:t xml:space="preserve">https://doi.org/10.1016/j.ijhydene.2015.11.083</w:t>
        </w:r>
      </w:hyperlink>
      <w:r>
        <w:t xml:space="preserve">.</w:t>
      </w:r>
    </w:p>
    <w:bookmarkEnd w:id="143"/>
    <w:bookmarkStart w:id="145" w:name="ref-knoks2025"/>
    <w:p>
      <w:pPr>
        <w:pStyle w:val="Bibliography"/>
      </w:pPr>
      <w:r>
        <w:t xml:space="preserve">[27]</w:t>
      </w:r>
      <w:r>
        <w:t xml:space="preserve"> </w:t>
      </w:r>
      <w:r>
        <w:t xml:space="preserve">	</w:t>
      </w:r>
      <w:r>
        <w:t xml:space="preserve">Knoks A, Mezulis A, Richter C, Varnagiris S, Urbonavicius M, Milcius D, et al. Investigation of aluminium white dross for hydrogen generation hydrolysis in low-concentration alkali. Applied Sciences 2025;15:2640.</w:t>
      </w:r>
      <w:r>
        <w:t xml:space="preserve"> </w:t>
      </w:r>
      <w:hyperlink r:id="rId144">
        <w:r>
          <w:rPr>
            <w:rStyle w:val="Hyperlink"/>
          </w:rPr>
          <w:t xml:space="preserve">https://doi.org/10.3390/app15052640</w:t>
        </w:r>
      </w:hyperlink>
      <w:r>
        <w:t xml:space="preserve">.</w:t>
      </w:r>
    </w:p>
    <w:bookmarkEnd w:id="145"/>
    <w:bookmarkStart w:id="147" w:name="ref-mezulis2023"/>
    <w:p>
      <w:pPr>
        <w:pStyle w:val="Bibliography"/>
      </w:pPr>
      <w:r>
        <w:t xml:space="preserve">[28]</w:t>
      </w:r>
      <w:r>
        <w:t xml:space="preserve"> </w:t>
      </w:r>
      <w:r>
        <w:t xml:space="preserve">	</w:t>
      </w:r>
      <w:r>
        <w:t xml:space="preserve">Mezulis A, Richter C, Lesnicenoks P, Knoks A, Varnagiris S, Urbonavicius M, et al. Studies on water–aluminum scrap reaction kinetics in two steps and the efficiency of green hydrogen production. Energies 2023;16:5554.</w:t>
      </w:r>
      <w:r>
        <w:t xml:space="preserve"> </w:t>
      </w:r>
      <w:hyperlink r:id="rId146">
        <w:r>
          <w:rPr>
            <w:rStyle w:val="Hyperlink"/>
          </w:rPr>
          <w:t xml:space="preserve">https://doi.org/10.3390/en16145554</w:t>
        </w:r>
      </w:hyperlink>
      <w:r>
        <w:t xml:space="preserve">.</w:t>
      </w:r>
    </w:p>
    <w:bookmarkEnd w:id="147"/>
    <w:bookmarkStart w:id="149" w:name="ref-martinezv2026"/>
    <w:p>
      <w:pPr>
        <w:pStyle w:val="Bibliography"/>
      </w:pPr>
      <w:r>
        <w:t xml:space="preserve">[29]</w:t>
      </w:r>
      <w:r>
        <w:t xml:space="preserve"> </w:t>
      </w:r>
      <w:r>
        <w:t xml:space="preserve">	</w:t>
      </w:r>
      <w:r>
        <w:t xml:space="preserve">Martínez-Vargas S, Flores-Chan J-E, Mandujano-Ramírez H-J, Pérez-Montejo S, Calan-Canche D, Patino-Carachure C. A simple study of hydrogen production from recycled aluminum microparticles in alkaline media. Hydrogen 2026;7:55.</w:t>
      </w:r>
      <w:r>
        <w:t xml:space="preserve"> </w:t>
      </w:r>
      <w:hyperlink r:id="rId148">
        <w:r>
          <w:rPr>
            <w:rStyle w:val="Hyperlink"/>
          </w:rPr>
          <w:t xml:space="preserve">https://doi.org/10.3390/hydrogen7020055</w:t>
        </w:r>
      </w:hyperlink>
      <w:r>
        <w:t xml:space="preserve">.</w:t>
      </w:r>
    </w:p>
    <w:bookmarkEnd w:id="149"/>
    <w:bookmarkStart w:id="151" w:name="ref-buryakov2023met"/>
    <w:p>
      <w:pPr>
        <w:pStyle w:val="Bibliography"/>
      </w:pPr>
      <w:r>
        <w:t xml:space="preserve">[30]</w:t>
      </w:r>
      <w:r>
        <w:t xml:space="preserve"> </w:t>
      </w:r>
      <w:r>
        <w:t xml:space="preserve">	</w:t>
      </w:r>
      <w:r>
        <w:t xml:space="preserve">Buryakovskaya OA, Suleimanov MZh, Vlaskin MS, Kumar V, Ambaryan GN. Aluminum scrap to hydrogen: Complex effects of oxidation medium, ball milling parameters, and copper additive dispersity. Metals 2023;13:185.</w:t>
      </w:r>
      <w:r>
        <w:t xml:space="preserve"> </w:t>
      </w:r>
      <w:hyperlink r:id="rId150">
        <w:r>
          <w:rPr>
            <w:rStyle w:val="Hyperlink"/>
          </w:rPr>
          <w:t xml:space="preserve">https://doi.org/10.3390/met13020185</w:t>
        </w:r>
      </w:hyperlink>
      <w:r>
        <w:t xml:space="preserve">.</w:t>
      </w:r>
    </w:p>
    <w:bookmarkEnd w:id="151"/>
    <w:bookmarkStart w:id="153" w:name="ref-urbonav2024"/>
    <w:p>
      <w:pPr>
        <w:pStyle w:val="Bibliography"/>
      </w:pPr>
      <w:r>
        <w:t xml:space="preserve">[31]</w:t>
      </w:r>
      <w:r>
        <w:t xml:space="preserve"> </w:t>
      </w:r>
      <w:r>
        <w:t xml:space="preserve">	</w:t>
      </w:r>
      <w:r>
        <w:t xml:space="preserve">Urbonavičius M, Varnagiris Š, Knoks A, Mezulis A, Kleperis J, Richter C, et al. Enhanced hydrogen generation through low-temperature plasma treatment of waste aluminum for hydrolysis reaction. Materials 2024;17:2637.</w:t>
      </w:r>
      <w:r>
        <w:t xml:space="preserve"> </w:t>
      </w:r>
      <w:hyperlink r:id="rId152">
        <w:r>
          <w:rPr>
            <w:rStyle w:val="Hyperlink"/>
          </w:rPr>
          <w:t xml:space="preserve">https://doi.org/10.3390/ma17112637</w:t>
        </w:r>
      </w:hyperlink>
      <w:r>
        <w:t xml:space="preserve">.</w:t>
      </w:r>
    </w:p>
    <w:bookmarkEnd w:id="153"/>
    <w:bookmarkStart w:id="155" w:name="ref-fadhilah2023"/>
    <w:p>
      <w:pPr>
        <w:pStyle w:val="Bibliography"/>
      </w:pPr>
      <w:r>
        <w:t xml:space="preserve">[32]</w:t>
      </w:r>
      <w:r>
        <w:t xml:space="preserve"> </w:t>
      </w:r>
      <w:r>
        <w:t xml:space="preserve">	</w:t>
      </w:r>
      <w:r>
        <w:t xml:space="preserve">Fadhilah N, Muharja M, Risanti DD, Wahyuono RA, Satrio D, Khamil AI, et al. Kinetic study of the aluminum–water reaction using NaOH/NaAlO2 catalyst for hydrogen production from aluminum cans waste. Bulletin of Chemical Reaction Engineering &amp; Catalysis 2023;18:615–26.</w:t>
      </w:r>
      <w:r>
        <w:t xml:space="preserve"> </w:t>
      </w:r>
      <w:hyperlink r:id="rId154">
        <w:r>
          <w:rPr>
            <w:rStyle w:val="Hyperlink"/>
          </w:rPr>
          <w:t xml:space="preserve">https://doi.org/10.9767/bcrec.20041</w:t>
        </w:r>
      </w:hyperlink>
      <w:r>
        <w:t xml:space="preserve">.</w:t>
      </w:r>
    </w:p>
    <w:bookmarkEnd w:id="155"/>
    <w:bookmarkStart w:id="157" w:name="ref-musicco2025"/>
    <w:p>
      <w:pPr>
        <w:pStyle w:val="Bibliography"/>
      </w:pPr>
      <w:r>
        <w:t xml:space="preserve">[33]</w:t>
      </w:r>
      <w:r>
        <w:t xml:space="preserve"> </w:t>
      </w:r>
      <w:r>
        <w:t xml:space="preserve">	</w:t>
      </w:r>
      <w:r>
        <w:t xml:space="preserve">Musicco N, Gelfi M, Iora P, Venturelli M, Artioli N, Montorsi L, et al. A review of hydrogen generation methods via aluminum-water reactions. International Journal of Thermofluids 2025.</w:t>
      </w:r>
      <w:r>
        <w:t xml:space="preserve"> </w:t>
      </w:r>
      <w:hyperlink r:id="rId156">
        <w:r>
          <w:rPr>
            <w:rStyle w:val="Hyperlink"/>
          </w:rPr>
          <w:t xml:space="preserve">https://doi.org/10.1016/j.ijft.2025.101152</w:t>
        </w:r>
      </w:hyperlink>
      <w:r>
        <w:t xml:space="preserve">.</w:t>
      </w:r>
    </w:p>
    <w:bookmarkEnd w:id="157"/>
    <w:bookmarkStart w:id="159" w:name="ref-dupreez2021review"/>
    <w:p>
      <w:pPr>
        <w:pStyle w:val="Bibliography"/>
      </w:pPr>
      <w:r>
        <w:t xml:space="preserve">[34]</w:t>
      </w:r>
      <w:r>
        <w:t xml:space="preserve"> </w:t>
      </w:r>
      <w:r>
        <w:t xml:space="preserve">	</w:t>
      </w:r>
      <w:r>
        <w:t xml:space="preserve">Preez SP du, Bessarabov DG. On-demand hydrogen generation by the hydrolysis of ball-milled aluminum composites: A process overview. International Journal of Hydrogen Energy 2021;46:35790–813.</w:t>
      </w:r>
      <w:r>
        <w:t xml:space="preserve"> </w:t>
      </w:r>
      <w:hyperlink r:id="rId158">
        <w:r>
          <w:rPr>
            <w:rStyle w:val="Hyperlink"/>
          </w:rPr>
          <w:t xml:space="preserve">https://doi.org/10.1016/j.ijhydene.2021.03.240</w:t>
        </w:r>
      </w:hyperlink>
      <w:r>
        <w:t xml:space="preserve">.</w:t>
      </w:r>
    </w:p>
    <w:bookmarkEnd w:id="159"/>
    <w:bookmarkStart w:id="161" w:name="ref-bernett2024"/>
    <w:p>
      <w:pPr>
        <w:pStyle w:val="Bibliography"/>
      </w:pPr>
      <w:r>
        <w:t xml:space="preserve">[35]</w:t>
      </w:r>
      <w:r>
        <w:t xml:space="preserve"> </w:t>
      </w:r>
      <w:r>
        <w:t xml:space="preserve">	</w:t>
      </w:r>
      <w:r>
        <w:t xml:space="preserve">Bernett J, Blumenthal DB, Grimm DG, Haselbeck F, Joeres R, Kalinina OV, et al. Guiding questions to avoid data leakage in biological machine learning applications. Nature Methods 2024;21:1444–53.</w:t>
      </w:r>
      <w:r>
        <w:t xml:space="preserve"> </w:t>
      </w:r>
      <w:hyperlink r:id="rId160">
        <w:r>
          <w:rPr>
            <w:rStyle w:val="Hyperlink"/>
          </w:rPr>
          <w:t xml:space="preserve">https://doi.org/10.1038/s41592-024-02362-y</w:t>
        </w:r>
      </w:hyperlink>
      <w:r>
        <w:t xml:space="preserve">.</w:t>
      </w:r>
    </w:p>
    <w:bookmarkEnd w:id="161"/>
    <w:bookmarkStart w:id="163" w:name="ref-john2025"/>
    <w:p>
      <w:pPr>
        <w:pStyle w:val="Bibliography"/>
      </w:pPr>
      <w:r>
        <w:t xml:space="preserve">[36]</w:t>
      </w:r>
      <w:r>
        <w:t xml:space="preserve"> </w:t>
      </w:r>
      <w:r>
        <w:t xml:space="preserve">	</w:t>
      </w:r>
      <w:r>
        <w:t xml:space="preserve">John K, Saurette DD, Heung B. The problematic case of data leakage: A case for leave-profile-out cross-validation in 3-dimensional digital soil mapping. Geoderma 2025.</w:t>
      </w:r>
      <w:r>
        <w:t xml:space="preserve"> </w:t>
      </w:r>
      <w:hyperlink r:id="rId162">
        <w:r>
          <w:rPr>
            <w:rStyle w:val="Hyperlink"/>
          </w:rPr>
          <w:t xml:space="preserve">https://doi.org/10.1016/j.geoderma.2025.117223</w:t>
        </w:r>
      </w:hyperlink>
      <w:r>
        <w:t xml:space="preserve">.</w:t>
      </w:r>
    </w:p>
    <w:bookmarkEnd w:id="163"/>
    <w:bookmarkStart w:id="165" w:name="ref-pomerantsev2021"/>
    <w:p>
      <w:pPr>
        <w:pStyle w:val="Bibliography"/>
      </w:pPr>
      <w:r>
        <w:t xml:space="preserve">[37]</w:t>
      </w:r>
      <w:r>
        <w:t xml:space="preserve"> </w:t>
      </w:r>
      <w:r>
        <w:t xml:space="preserve">	</w:t>
      </w:r>
      <w:r>
        <w:t xml:space="preserve">Pomerantsev AL, Rodionova OYe. Procrustes cross-validation of short datasets in PCA context. Talanta 2021;226:122104.</w:t>
      </w:r>
      <w:r>
        <w:t xml:space="preserve"> </w:t>
      </w:r>
      <w:hyperlink r:id="rId164">
        <w:r>
          <w:rPr>
            <w:rStyle w:val="Hyperlink"/>
          </w:rPr>
          <w:t xml:space="preserve">https://doi.org/10.1016/j.talanta.2021.122104</w:t>
        </w:r>
      </w:hyperlink>
      <w:r>
        <w:t xml:space="preserve">.</w:t>
      </w:r>
    </w:p>
    <w:bookmarkEnd w:id="165"/>
    <w:bookmarkStart w:id="167" w:name="ref-suvarna2024"/>
    <w:p>
      <w:pPr>
        <w:pStyle w:val="Bibliography"/>
      </w:pPr>
      <w:r>
        <w:t xml:space="preserve">[38]</w:t>
      </w:r>
      <w:r>
        <w:t xml:space="preserve"> </w:t>
      </w:r>
      <w:r>
        <w:t xml:space="preserve">	</w:t>
      </w:r>
      <w:r>
        <w:t xml:space="preserve">Suvarna M, Pérez-Ramírez J. Embracing data science in catalysis research. Nature Catalysis 2024;7:624–35.</w:t>
      </w:r>
      <w:r>
        <w:t xml:space="preserve"> </w:t>
      </w:r>
      <w:hyperlink r:id="rId166">
        <w:r>
          <w:rPr>
            <w:rStyle w:val="Hyperlink"/>
          </w:rPr>
          <w:t xml:space="preserve">https://doi.org/10.1038/s41929-024-01150-3</w:t>
        </w:r>
      </w:hyperlink>
      <w:r>
        <w:t xml:space="preserve">.</w:t>
      </w:r>
    </w:p>
    <w:bookmarkEnd w:id="167"/>
    <w:bookmarkStart w:id="169" w:name="ref-bozalginesta2025"/>
    <w:p>
      <w:pPr>
        <w:pStyle w:val="Bibliography"/>
      </w:pPr>
      <w:r>
        <w:t xml:space="preserve">[39]</w:t>
      </w:r>
      <w:r>
        <w:t xml:space="preserve"> </w:t>
      </w:r>
      <w:r>
        <w:t xml:space="preserve">	</w:t>
      </w:r>
      <w:r>
        <w:t xml:space="preserve">Bozal-Ginesta C, Pablo-García S, Choi C, Tarancón A, Aspuru-Guzik A. Developing machine learning for heterogeneous catalysis with experimental and computational data. Nature Reviews Chemistry 2025.</w:t>
      </w:r>
      <w:r>
        <w:t xml:space="preserve"> </w:t>
      </w:r>
      <w:hyperlink r:id="rId168">
        <w:r>
          <w:rPr>
            <w:rStyle w:val="Hyperlink"/>
          </w:rPr>
          <w:t xml:space="preserve">https://doi.org/10.1038/s41570-025-00740-4</w:t>
        </w:r>
      </w:hyperlink>
      <w:r>
        <w:t xml:space="preserve">.</w:t>
      </w:r>
    </w:p>
    <w:bookmarkEnd w:id="169"/>
    <w:bookmarkStart w:id="171" w:name="ref-coelho2022"/>
    <w:p>
      <w:pPr>
        <w:pStyle w:val="Bibliography"/>
      </w:pPr>
      <w:r>
        <w:t xml:space="preserve">[40]</w:t>
      </w:r>
      <w:r>
        <w:t xml:space="preserve"> </w:t>
      </w:r>
      <w:r>
        <w:t xml:space="preserve">	</w:t>
      </w:r>
      <w:r>
        <w:t xml:space="preserve">Coelho LB, Zhang D, Van Ingelgem Y, Steckelmacher D, Nowé A, Terryn H. Reviewing machine learning of corrosion prediction in a data-oriented perspective. Npj Materials Degradation 2022;6:1–16.</w:t>
      </w:r>
      <w:r>
        <w:t xml:space="preserve"> </w:t>
      </w:r>
      <w:hyperlink r:id="rId170">
        <w:r>
          <w:rPr>
            <w:rStyle w:val="Hyperlink"/>
          </w:rPr>
          <w:t xml:space="preserve">https://doi.org/10.1038/s41529-022-00218-4</w:t>
        </w:r>
      </w:hyperlink>
      <w:r>
        <w:t xml:space="preserve">.</w:t>
      </w:r>
    </w:p>
    <w:bookmarkEnd w:id="171"/>
    <w:bookmarkStart w:id="173" w:name="ref-xue2024"/>
    <w:p>
      <w:pPr>
        <w:pStyle w:val="Bibliography"/>
      </w:pPr>
      <w:r>
        <w:t xml:space="preserve">[41]</w:t>
      </w:r>
      <w:r>
        <w:t xml:space="preserve"> </w:t>
      </w:r>
      <w:r>
        <w:t xml:space="preserve">	</w:t>
      </w:r>
      <w:r>
        <w:t xml:space="preserve">Xue P, Qiu R, Peng C, Peng Z, Ding K, Long R, et al. Solutions for lithium battery materials data issues in machine learning: Overview and future outlook. Advanced Science 2024;11.</w:t>
      </w:r>
      <w:r>
        <w:t xml:space="preserve"> </w:t>
      </w:r>
      <w:hyperlink r:id="rId172">
        <w:r>
          <w:rPr>
            <w:rStyle w:val="Hyperlink"/>
          </w:rPr>
          <w:t xml:space="preserve">https://doi.org/10.1002/advs.202410065</w:t>
        </w:r>
      </w:hyperlink>
      <w:r>
        <w:t xml:space="preserve">.</w:t>
      </w:r>
    </w:p>
    <w:bookmarkEnd w:id="173"/>
    <w:bookmarkStart w:id="175" w:name="ref-noble2022"/>
    <w:p>
      <w:pPr>
        <w:pStyle w:val="Bibliography"/>
      </w:pPr>
      <w:r>
        <w:t xml:space="preserve">[42]</w:t>
      </w:r>
      <w:r>
        <w:t xml:space="preserve"> </w:t>
      </w:r>
      <w:r>
        <w:t xml:space="preserve">	</w:t>
      </w:r>
      <w:r>
        <w:t xml:space="preserve">Noble DWA, Pottier P, Lagisz M, Burke S, Drobniak SM, O’Dea RE, et al. Meta-analytic approaches and effect sizes to account for</w:t>
      </w:r>
      <w:r>
        <w:t xml:space="preserve"> </w:t>
      </w:r>
      <w:r>
        <w:t xml:space="preserve">“nuisance heterogeneity”</w:t>
      </w:r>
      <w:r>
        <w:t xml:space="preserve"> </w:t>
      </w:r>
      <w:r>
        <w:t xml:space="preserve">in comparative physiology. Journal of Experimental Biology 2022;225.</w:t>
      </w:r>
      <w:r>
        <w:t xml:space="preserve"> </w:t>
      </w:r>
      <w:hyperlink r:id="rId174">
        <w:r>
          <w:rPr>
            <w:rStyle w:val="Hyperlink"/>
          </w:rPr>
          <w:t xml:space="preserve">https://doi.org/10.1242/jeb.243225</w:t>
        </w:r>
      </w:hyperlink>
      <w:r>
        <w:t xml:space="preserve">.</w:t>
      </w:r>
    </w:p>
    <w:bookmarkEnd w:id="175"/>
    <w:bookmarkStart w:id="177" w:name="ref-urbonavicius2023"/>
    <w:p>
      <w:pPr>
        <w:pStyle w:val="Bibliography"/>
      </w:pPr>
      <w:r>
        <w:t xml:space="preserve">[43]</w:t>
      </w:r>
      <w:r>
        <w:t xml:space="preserve"> </w:t>
      </w:r>
      <w:r>
        <w:t xml:space="preserve">	</w:t>
      </w:r>
      <w:r>
        <w:t xml:space="preserve">Urbonavičius M, Varnagiris Š, Mezulis A, Lesnicenoks P, Knoks A, Richter C, et al. Hydrogen from industrial aluminium scraps: Hydrolysis under various conditions, modelling of pH behaviour and analysis of reaction by-product. International Journal of Hydrogen Energy 2023.</w:t>
      </w:r>
      <w:r>
        <w:t xml:space="preserve"> </w:t>
      </w:r>
      <w:hyperlink r:id="rId176">
        <w:r>
          <w:rPr>
            <w:rStyle w:val="Hyperlink"/>
          </w:rPr>
          <w:t xml:space="preserve">https://doi.org/10.1016/j.ijhydene.2023.09.065</w:t>
        </w:r>
      </w:hyperlink>
      <w:r>
        <w:t xml:space="preserve">.</w:t>
      </w:r>
    </w:p>
    <w:bookmarkEnd w:id="177"/>
    <w:bookmarkStart w:id="179" w:name="ref-wulf2021"/>
    <w:p>
      <w:pPr>
        <w:pStyle w:val="Bibliography"/>
      </w:pPr>
      <w:r>
        <w:t xml:space="preserve">[44]</w:t>
      </w:r>
      <w:r>
        <w:t xml:space="preserve"> </w:t>
      </w:r>
      <w:r>
        <w:t xml:space="preserve">	</w:t>
      </w:r>
      <w:r>
        <w:t xml:space="preserve">Wulf C, Beller M, Boenisch T, Deutschmann O, Hanf S, Kockmann N, et al. A unified research data infrastructure for catalysis research – challenges and concepts. ChemCatChem 2021;13.</w:t>
      </w:r>
      <w:r>
        <w:t xml:space="preserve"> </w:t>
      </w:r>
      <w:hyperlink r:id="rId178">
        <w:r>
          <w:rPr>
            <w:rStyle w:val="Hyperlink"/>
          </w:rPr>
          <w:t xml:space="preserve">https://doi.org/10.1002/cctc.202001974</w:t>
        </w:r>
      </w:hyperlink>
      <w:r>
        <w:t xml:space="preserve">.</w:t>
      </w:r>
    </w:p>
    <w:bookmarkEnd w:id="179"/>
    <w:bookmarkStart w:id="181" w:name="ref-hoque2018"/>
    <w:p>
      <w:pPr>
        <w:pStyle w:val="Bibliography"/>
      </w:pPr>
      <w:r>
        <w:t xml:space="preserve">[45]</w:t>
      </w:r>
      <w:r>
        <w:t xml:space="preserve"> </w:t>
      </w:r>
      <w:r>
        <w:t xml:space="preserve">	</w:t>
      </w:r>
      <w:r>
        <w:t xml:space="preserve">Hoque MA, Guzman MI. Photocatalytic activity: Experimental features to report in heterogeneous photocatalysis. Materials 2018;11:1990.</w:t>
      </w:r>
      <w:r>
        <w:t xml:space="preserve"> </w:t>
      </w:r>
      <w:hyperlink r:id="rId180">
        <w:r>
          <w:rPr>
            <w:rStyle w:val="Hyperlink"/>
          </w:rPr>
          <w:t xml:space="preserve">https://doi.org/10.3390/ma11101990</w:t>
        </w:r>
      </w:hyperlink>
      <w:r>
        <w:t xml:space="preserve">.</w:t>
      </w:r>
    </w:p>
    <w:bookmarkEnd w:id="181"/>
    <w:bookmarkStart w:id="183" w:name="ref-razavi2016"/>
    <w:p>
      <w:pPr>
        <w:pStyle w:val="Bibliography"/>
      </w:pPr>
      <w:r>
        <w:t xml:space="preserve">[46]</w:t>
      </w:r>
      <w:r>
        <w:t xml:space="preserve"> </w:t>
      </w:r>
      <w:r>
        <w:t xml:space="preserve">	</w:t>
      </w:r>
      <w:r>
        <w:t xml:space="preserve">Razavi-Tousi SS, Szpunar JA. Modification of the shrinking core model for hydrogen generation by reaction of aluminum particles with water. International Journal of Hydrogen Energy 2016;41:87–93.</w:t>
      </w:r>
      <w:r>
        <w:t xml:space="preserve"> </w:t>
      </w:r>
      <w:hyperlink r:id="rId182">
        <w:r>
          <w:rPr>
            <w:rStyle w:val="Hyperlink"/>
          </w:rPr>
          <w:t xml:space="preserve">https://doi.org/10.1016/j.ijhydene.2015.11.080</w:t>
        </w:r>
      </w:hyperlink>
      <w:r>
        <w:t xml:space="preserve">.</w:t>
      </w:r>
    </w:p>
    <w:bookmarkEnd w:id="183"/>
    <w:bookmarkStart w:id="185" w:name="ref-yang2018"/>
    <w:p>
      <w:pPr>
        <w:pStyle w:val="Bibliography"/>
      </w:pPr>
      <w:r>
        <w:t xml:space="preserve">[47]</w:t>
      </w:r>
      <w:r>
        <w:t xml:space="preserve"> </w:t>
      </w:r>
      <w:r>
        <w:t xml:space="preserve">	</w:t>
      </w:r>
      <w:r>
        <w:t xml:space="preserve">Yang BC, Chai YJ, Yang FL, Zhang Q, Liu H, Wang N. Hydrogen generation by aluminum-water reaction in acidic and alkaline media and its reaction dynamics. International Journal of Energy Research 2018;42:1594–602.</w:t>
      </w:r>
      <w:r>
        <w:t xml:space="preserve"> </w:t>
      </w:r>
      <w:hyperlink r:id="rId184">
        <w:r>
          <w:rPr>
            <w:rStyle w:val="Hyperlink"/>
          </w:rPr>
          <w:t xml:space="preserve">https://doi.org/10.1002/er.3953</w:t>
        </w:r>
      </w:hyperlink>
      <w:r>
        <w:t xml:space="preserve">.</w:t>
      </w:r>
    </w:p>
    <w:bookmarkEnd w:id="185"/>
    <w:bookmarkStart w:id="187" w:name="ref-shmelev2016"/>
    <w:p>
      <w:pPr>
        <w:pStyle w:val="Bibliography"/>
      </w:pPr>
      <w:r>
        <w:t xml:space="preserve">[48]</w:t>
      </w:r>
      <w:r>
        <w:t xml:space="preserve"> </w:t>
      </w:r>
      <w:r>
        <w:t xml:space="preserve">	</w:t>
      </w:r>
      <w:r>
        <w:t xml:space="preserve">Shmelev V, Nikolaev V, Lee JH, Yim C. Hydrogen production by reaction of aluminum with water. International Journal of Hydrogen Energy 2016;41:16664–73.</w:t>
      </w:r>
      <w:r>
        <w:t xml:space="preserve"> </w:t>
      </w:r>
      <w:hyperlink r:id="rId186">
        <w:r>
          <w:rPr>
            <w:rStyle w:val="Hyperlink"/>
          </w:rPr>
          <w:t xml:space="preserve">https://doi.org/10.1016/j.ijhydene.2016.05.159</w:t>
        </w:r>
      </w:hyperlink>
      <w:r>
        <w:t xml:space="preserve">.</w:t>
      </w:r>
    </w:p>
    <w:bookmarkEnd w:id="187"/>
    <w:bookmarkStart w:id="189" w:name="ref-noland2020"/>
    <w:p>
      <w:pPr>
        <w:pStyle w:val="Bibliography"/>
      </w:pPr>
      <w:r>
        <w:t xml:space="preserve">[49]</w:t>
      </w:r>
      <w:r>
        <w:t xml:space="preserve"> </w:t>
      </w:r>
      <w:r>
        <w:t xml:space="preserve">	</w:t>
      </w:r>
      <w:r>
        <w:t xml:space="preserve">Noland BMJ, Erickson PA. Apparent kinetics of hydrogen production with water-slurried aluminum delivery in aqueous sodium hydroxide solutions. International Journal of Hydrogen Energy 2020;45:24285–99.</w:t>
      </w:r>
      <w:r>
        <w:t xml:space="preserve"> </w:t>
      </w:r>
      <w:hyperlink r:id="rId188">
        <w:r>
          <w:rPr>
            <w:rStyle w:val="Hyperlink"/>
          </w:rPr>
          <w:t xml:space="preserve">https://doi.org/10.1016/j.ijhydene.2020.06.165</w:t>
        </w:r>
      </w:hyperlink>
      <w:r>
        <w:t xml:space="preserve">.</w:t>
      </w:r>
    </w:p>
    <w:bookmarkEnd w:id="189"/>
    <w:bookmarkStart w:id="191" w:name="ref-wangxy2021"/>
    <w:p>
      <w:pPr>
        <w:pStyle w:val="Bibliography"/>
      </w:pPr>
      <w:r>
        <w:t xml:space="preserve">[50]</w:t>
      </w:r>
      <w:r>
        <w:t xml:space="preserve"> </w:t>
      </w:r>
      <w:r>
        <w:t xml:space="preserve">	</w:t>
      </w:r>
      <w:r>
        <w:t xml:space="preserve">Wang X, Li G, Eckhoff RK. Kinetics study of hydration reaction between aluminum powder and water based on an improved multi-stage shrinking core model. International Journal of Hydrogen Energy 2021;46:33635–55.</w:t>
      </w:r>
      <w:r>
        <w:t xml:space="preserve"> </w:t>
      </w:r>
      <w:hyperlink r:id="rId190">
        <w:r>
          <w:rPr>
            <w:rStyle w:val="Hyperlink"/>
          </w:rPr>
          <w:t xml:space="preserve">https://doi.org/10.1016/j.ijhydene.2021.07.191</w:t>
        </w:r>
      </w:hyperlink>
      <w:r>
        <w:t xml:space="preserve">.</w:t>
      </w:r>
    </w:p>
    <w:bookmarkEnd w:id="191"/>
    <w:bookmarkStart w:id="193" w:name="ref-elitzur2014"/>
    <w:p>
      <w:pPr>
        <w:pStyle w:val="Bibliography"/>
      </w:pPr>
      <w:r>
        <w:t xml:space="preserve">[51]</w:t>
      </w:r>
      <w:r>
        <w:t xml:space="preserve"> </w:t>
      </w:r>
      <w:r>
        <w:t xml:space="preserve">	</w:t>
      </w:r>
      <w:r>
        <w:t xml:space="preserve">Elitzur S, Rosenband V, Gany A. Study of hydrogen production and storage based on aluminum–water reaction. International Journal of Hydrogen Energy 2014;39:6328–34.</w:t>
      </w:r>
      <w:r>
        <w:t xml:space="preserve"> </w:t>
      </w:r>
      <w:hyperlink r:id="rId192">
        <w:r>
          <w:rPr>
            <w:rStyle w:val="Hyperlink"/>
          </w:rPr>
          <w:t xml:space="preserve">https://doi.org/10.1016/j.ijhydene.2014.02.037</w:t>
        </w:r>
      </w:hyperlink>
      <w:r>
        <w:t xml:space="preserve">.</w:t>
      </w:r>
    </w:p>
    <w:bookmarkEnd w:id="193"/>
    <w:bookmarkStart w:id="195" w:name="ref-tan2016"/>
    <w:p>
      <w:pPr>
        <w:pStyle w:val="Bibliography"/>
      </w:pPr>
      <w:r>
        <w:t xml:space="preserve">[52]</w:t>
      </w:r>
      <w:r>
        <w:t xml:space="preserve"> </w:t>
      </w:r>
      <w:r>
        <w:t xml:space="preserve">	</w:t>
      </w:r>
      <w:r>
        <w:t xml:space="preserve">Tan S-C, Gui H, Yang X-H, Yuan B, Zhan S-H, Liu J. Comparative study on activation of aluminum with four liquid metals to generate hydrogen in alkaline solution. International Journal of Hydrogen Energy 2016;41:22663–7.</w:t>
      </w:r>
      <w:r>
        <w:t xml:space="preserve"> </w:t>
      </w:r>
      <w:hyperlink r:id="rId194">
        <w:r>
          <w:rPr>
            <w:rStyle w:val="Hyperlink"/>
          </w:rPr>
          <w:t xml:space="preserve">https://doi.org/10.1016/j.ijhydene.2016.10.090</w:t>
        </w:r>
      </w:hyperlink>
      <w:r>
        <w:t xml:space="preserve">.</w:t>
      </w:r>
    </w:p>
    <w:bookmarkEnd w:id="195"/>
    <w:bookmarkStart w:id="197" w:name="ref-godart2019"/>
    <w:p>
      <w:pPr>
        <w:pStyle w:val="Bibliography"/>
      </w:pPr>
      <w:r>
        <w:t xml:space="preserve">[53]</w:t>
      </w:r>
      <w:r>
        <w:t xml:space="preserve"> </w:t>
      </w:r>
      <w:r>
        <w:t xml:space="preserve">	</w:t>
      </w:r>
      <w:r>
        <w:t xml:space="preserve">Godart P, Fischman J, Seto K, Hart D. Hydrogen production from aluminum-water reactions subject to varied pressures and temperatures. International Journal of Hydrogen Energy 2019;44:11448–58.</w:t>
      </w:r>
      <w:r>
        <w:t xml:space="preserve"> </w:t>
      </w:r>
      <w:hyperlink r:id="rId196">
        <w:r>
          <w:rPr>
            <w:rStyle w:val="Hyperlink"/>
          </w:rPr>
          <w:t xml:space="preserve">https://doi.org/10.1016/j.ijhydene.2019.03.140</w:t>
        </w:r>
      </w:hyperlink>
      <w:r>
        <w:t xml:space="preserve">.</w:t>
      </w:r>
    </w:p>
    <w:bookmarkEnd w:id="197"/>
    <w:bookmarkStart w:id="199" w:name="ref-razavi2013"/>
    <w:p>
      <w:pPr>
        <w:pStyle w:val="Bibliography"/>
      </w:pPr>
      <w:r>
        <w:t xml:space="preserve">[54]</w:t>
      </w:r>
      <w:r>
        <w:t xml:space="preserve"> </w:t>
      </w:r>
      <w:r>
        <w:t xml:space="preserve">	</w:t>
      </w:r>
      <w:r>
        <w:t xml:space="preserve">Razavi-Tousi SS, Szpunar JA. Effect of structural evolution of aluminum powder during ball milling on hydrogen generation in aluminum–water reaction. International Journal of Hydrogen Energy 2013;38:795–806.</w:t>
      </w:r>
      <w:r>
        <w:t xml:space="preserve"> </w:t>
      </w:r>
      <w:hyperlink r:id="rId198">
        <w:r>
          <w:rPr>
            <w:rStyle w:val="Hyperlink"/>
          </w:rPr>
          <w:t xml:space="preserve">https://doi.org/10.1016/j.ijhydene.2012.10.106</w:t>
        </w:r>
      </w:hyperlink>
      <w:r>
        <w:t xml:space="preserve">.</w:t>
      </w:r>
    </w:p>
    <w:bookmarkEnd w:id="199"/>
    <w:bookmarkStart w:id="201" w:name="ref-preez2019"/>
    <w:p>
      <w:pPr>
        <w:pStyle w:val="Bibliography"/>
      </w:pPr>
      <w:r>
        <w:t xml:space="preserve">[55]</w:t>
      </w:r>
      <w:r>
        <w:t xml:space="preserve"> </w:t>
      </w:r>
      <w:r>
        <w:t xml:space="preserve">	</w:t>
      </w:r>
      <w:r>
        <w:t xml:space="preserve">Preez SP du, Bessarabov DG. The effects of bismuth and tin on the mechanochemical processing of aluminum-based composites for hydrogen generation purposes. International Journal of Hydrogen Energy 2019;44:21896–912.</w:t>
      </w:r>
      <w:r>
        <w:t xml:space="preserve"> </w:t>
      </w:r>
      <w:hyperlink r:id="rId200">
        <w:r>
          <w:rPr>
            <w:rStyle w:val="Hyperlink"/>
          </w:rPr>
          <w:t xml:space="preserve">https://doi.org/10.1016/j.ijhydene.2019.06.154</w:t>
        </w:r>
      </w:hyperlink>
      <w:r>
        <w:t xml:space="preserve">.</w:t>
      </w:r>
    </w:p>
    <w:bookmarkEnd w:id="201"/>
    <w:bookmarkStart w:id="203" w:name="ref-david2012"/>
    <w:p>
      <w:pPr>
        <w:pStyle w:val="Bibliography"/>
      </w:pPr>
      <w:r>
        <w:t xml:space="preserve">[56]</w:t>
      </w:r>
      <w:r>
        <w:t xml:space="preserve"> </w:t>
      </w:r>
      <w:r>
        <w:t xml:space="preserve">	</w:t>
      </w:r>
      <w:r>
        <w:t xml:space="preserve">David E, Kopac J. Hydrolysis of aluminum dross material to achieve zero hazardous waste. Journal of Hazardous Materials 2012;209-210:501–9.</w:t>
      </w:r>
      <w:r>
        <w:t xml:space="preserve"> </w:t>
      </w:r>
      <w:hyperlink r:id="rId202">
        <w:r>
          <w:rPr>
            <w:rStyle w:val="Hyperlink"/>
          </w:rPr>
          <w:t xml:space="preserve">https://doi.org/10.1016/j.jhazmat.2012.01.064</w:t>
        </w:r>
      </w:hyperlink>
      <w:r>
        <w:t xml:space="preserve">.</w:t>
      </w:r>
    </w:p>
    <w:bookmarkEnd w:id="203"/>
    <w:bookmarkStart w:id="205" w:name="ref-slocum2020"/>
    <w:p>
      <w:pPr>
        <w:pStyle w:val="Bibliography"/>
      </w:pPr>
      <w:r>
        <w:t xml:space="preserve">[57]</w:t>
      </w:r>
      <w:r>
        <w:t xml:space="preserve"> </w:t>
      </w:r>
      <w:r>
        <w:t xml:space="preserve">	</w:t>
      </w:r>
      <w:r>
        <w:t xml:space="preserve">Slocum JT, Eagar TW, Taylor R, Hart DP. Activation of bulk aluminum and its application in a hydrogen generator. Applied Energy 2020;279:115712.</w:t>
      </w:r>
      <w:r>
        <w:t xml:space="preserve"> </w:t>
      </w:r>
      <w:hyperlink r:id="rId204">
        <w:r>
          <w:rPr>
            <w:rStyle w:val="Hyperlink"/>
          </w:rPr>
          <w:t xml:space="preserve">https://doi.org/10.1016/j.apenergy.2020.115712</w:t>
        </w:r>
      </w:hyperlink>
      <w:r>
        <w:t xml:space="preserve">.</w:t>
      </w:r>
    </w:p>
    <w:bookmarkEnd w:id="205"/>
    <w:bookmarkStart w:id="207" w:name="ref-saceleanu2019"/>
    <w:p>
      <w:pPr>
        <w:pStyle w:val="Bibliography"/>
      </w:pPr>
      <w:r>
        <w:t xml:space="preserve">[58]</w:t>
      </w:r>
      <w:r>
        <w:t xml:space="preserve"> </w:t>
      </w:r>
      <w:r>
        <w:t xml:space="preserve">	</w:t>
      </w:r>
      <w:r>
        <w:t xml:space="preserve">Saceleanu F, Vuong TV, Master ER, Wen JZ. Tunable kinetics of nanoaluminum and microaluminum powders reacting with water to produce hydrogen. International Journal of Energy Research 2019;43:7384–96.</w:t>
      </w:r>
      <w:r>
        <w:t xml:space="preserve"> </w:t>
      </w:r>
      <w:hyperlink r:id="rId206">
        <w:r>
          <w:rPr>
            <w:rStyle w:val="Hyperlink"/>
          </w:rPr>
          <w:t xml:space="preserve">https://doi.org/10.1002/er.4769</w:t>
        </w:r>
      </w:hyperlink>
      <w:r>
        <w:t xml:space="preserve">.</w:t>
      </w:r>
    </w:p>
    <w:bookmarkEnd w:id="207"/>
    <w:bookmarkEnd w:id="208"/>
    <w:bookmarkEnd w:id="209"/>
    <w:bookmarkEnd w:id="2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df" /><Relationship Type="http://schemas.openxmlformats.org/officeDocument/2006/relationships/image" Id="rId48" Target="media/rId48.pdf" /><Relationship Type="http://schemas.openxmlformats.org/officeDocument/2006/relationships/image" Id="rId56" Target="media/rId56.pdf" /><Relationship Type="http://schemas.openxmlformats.org/officeDocument/2006/relationships/image" Id="rId52" Target="media/rId52.pdf" /><Relationship Type="http://schemas.openxmlformats.org/officeDocument/2006/relationships/image" Id="rId21" Target="media/rId21.pdf" /><Relationship Type="http://schemas.openxmlformats.org/officeDocument/2006/relationships/image" Id="rId60" Target="media/rId60.pdf" /><Relationship Type="http://schemas.openxmlformats.org/officeDocument/2006/relationships/hyperlink" Id="rId172" Target="https://doi.org/10.1002/advs.202410065" TargetMode="External" /><Relationship Type="http://schemas.openxmlformats.org/officeDocument/2006/relationships/hyperlink" Id="rId178" Target="https://doi.org/10.1002/cctc.202001974" TargetMode="External" /><Relationship Type="http://schemas.openxmlformats.org/officeDocument/2006/relationships/hyperlink" Id="rId184" Target="https://doi.org/10.1002/er.3953" TargetMode="External" /><Relationship Type="http://schemas.openxmlformats.org/officeDocument/2006/relationships/hyperlink" Id="rId100" Target="https://doi.org/10.1002/er.3955" TargetMode="External" /><Relationship Type="http://schemas.openxmlformats.org/officeDocument/2006/relationships/hyperlink" Id="rId206" Target="https://doi.org/10.1002/er.4769" TargetMode="External" /><Relationship Type="http://schemas.openxmlformats.org/officeDocument/2006/relationships/hyperlink" Id="rId98" Target="https://doi.org/10.1002/er.6478" TargetMode="External" /><Relationship Type="http://schemas.openxmlformats.org/officeDocument/2006/relationships/hyperlink" Id="rId140" Target="https://doi.org/10.1007/s40243-024-00287-2" TargetMode="External" /><Relationship Type="http://schemas.openxmlformats.org/officeDocument/2006/relationships/hyperlink" Id="rId204" Target="https://doi.org/10.1016/j.apenergy.2020.115712" TargetMode="External" /><Relationship Type="http://schemas.openxmlformats.org/officeDocument/2006/relationships/hyperlink" Id="rId106" Target="https://doi.org/10.1016/j.energy.2017.05.031" TargetMode="External" /><Relationship Type="http://schemas.openxmlformats.org/officeDocument/2006/relationships/hyperlink" Id="rId116" Target="https://doi.org/10.1016/j.energy.2018.05.201" TargetMode="External" /><Relationship Type="http://schemas.openxmlformats.org/officeDocument/2006/relationships/hyperlink" Id="rId118" Target="https://doi.org/10.1016/j.energy.2019.116107" TargetMode="External" /><Relationship Type="http://schemas.openxmlformats.org/officeDocument/2006/relationships/hyperlink" Id="rId104" Target="https://doi.org/10.1016/j.fuel.2023.128924" TargetMode="External" /><Relationship Type="http://schemas.openxmlformats.org/officeDocument/2006/relationships/hyperlink" Id="rId162" Target="https://doi.org/10.1016/j.geoderma.2025.117223" TargetMode="External" /><Relationship Type="http://schemas.openxmlformats.org/officeDocument/2006/relationships/hyperlink" Id="rId156" Target="https://doi.org/10.1016/j.ijft.2025.101152" TargetMode="External" /><Relationship Type="http://schemas.openxmlformats.org/officeDocument/2006/relationships/hyperlink" Id="rId92" Target="https://doi.org/10.1016/j.ijhydene.2012.02.175" TargetMode="External" /><Relationship Type="http://schemas.openxmlformats.org/officeDocument/2006/relationships/hyperlink" Id="rId198" Target="https://doi.org/10.1016/j.ijhydene.2012.10.106" TargetMode="External" /><Relationship Type="http://schemas.openxmlformats.org/officeDocument/2006/relationships/hyperlink" Id="rId108" Target="https://doi.org/10.1016/j.ijhydene.2013.09.070" TargetMode="External" /><Relationship Type="http://schemas.openxmlformats.org/officeDocument/2006/relationships/hyperlink" Id="rId192" Target="https://doi.org/10.1016/j.ijhydene.2014.02.037" TargetMode="External" /><Relationship Type="http://schemas.openxmlformats.org/officeDocument/2006/relationships/hyperlink" Id="rId182" Target="https://doi.org/10.1016/j.ijhydene.2015.11.080" TargetMode="External" /><Relationship Type="http://schemas.openxmlformats.org/officeDocument/2006/relationships/hyperlink" Id="rId142" Target="https://doi.org/10.1016/j.ijhydene.2015.11.083" TargetMode="External" /><Relationship Type="http://schemas.openxmlformats.org/officeDocument/2006/relationships/hyperlink" Id="rId94" Target="https://doi.org/10.1016/j.ijhydene.2015.11.122" TargetMode="External" /><Relationship Type="http://schemas.openxmlformats.org/officeDocument/2006/relationships/hyperlink" Id="rId186" Target="https://doi.org/10.1016/j.ijhydene.2016.05.159" TargetMode="External" /><Relationship Type="http://schemas.openxmlformats.org/officeDocument/2006/relationships/hyperlink" Id="rId194" Target="https://doi.org/10.1016/j.ijhydene.2016.10.090" TargetMode="External" /><Relationship Type="http://schemas.openxmlformats.org/officeDocument/2006/relationships/hyperlink" Id="rId128" Target="https://doi.org/10.1016/j.ijhydene.2017.02.205" TargetMode="External" /><Relationship Type="http://schemas.openxmlformats.org/officeDocument/2006/relationships/hyperlink" Id="rId120" Target="https://doi.org/10.1016/j.ijhydene.2018.09.133" TargetMode="External" /><Relationship Type="http://schemas.openxmlformats.org/officeDocument/2006/relationships/hyperlink" Id="rId130" Target="https://doi.org/10.1016/j.ijhydene.2018.12.124" TargetMode="External" /><Relationship Type="http://schemas.openxmlformats.org/officeDocument/2006/relationships/hyperlink" Id="rId196" Target="https://doi.org/10.1016/j.ijhydene.2019.03.140" TargetMode="External" /><Relationship Type="http://schemas.openxmlformats.org/officeDocument/2006/relationships/hyperlink" Id="rId200" Target="https://doi.org/10.1016/j.ijhydene.2019.06.154" TargetMode="External" /><Relationship Type="http://schemas.openxmlformats.org/officeDocument/2006/relationships/hyperlink" Id="rId122" Target="https://doi.org/10.1016/j.ijhydene.2020.03.027" TargetMode="External" /><Relationship Type="http://schemas.openxmlformats.org/officeDocument/2006/relationships/hyperlink" Id="rId138" Target="https://doi.org/10.1016/j.ijhydene.2020.04.161" TargetMode="External" /><Relationship Type="http://schemas.openxmlformats.org/officeDocument/2006/relationships/hyperlink" Id="rId188" Target="https://doi.org/10.1016/j.ijhydene.2020.06.165" TargetMode="External" /><Relationship Type="http://schemas.openxmlformats.org/officeDocument/2006/relationships/hyperlink" Id="rId158" Target="https://doi.org/10.1016/j.ijhydene.2021.03.240" TargetMode="External" /><Relationship Type="http://schemas.openxmlformats.org/officeDocument/2006/relationships/hyperlink" Id="rId114" Target="https://doi.org/10.1016/j.ijhydene.2021.06.101" TargetMode="External" /><Relationship Type="http://schemas.openxmlformats.org/officeDocument/2006/relationships/hyperlink" Id="rId190" Target="https://doi.org/10.1016/j.ijhydene.2021.07.191" TargetMode="External" /><Relationship Type="http://schemas.openxmlformats.org/officeDocument/2006/relationships/hyperlink" Id="rId132" Target="https://doi.org/10.1016/j.ijhydene.2022.09.127" TargetMode="External" /><Relationship Type="http://schemas.openxmlformats.org/officeDocument/2006/relationships/hyperlink" Id="rId176" Target="https://doi.org/10.1016/j.ijhydene.2023.09.065" TargetMode="External" /><Relationship Type="http://schemas.openxmlformats.org/officeDocument/2006/relationships/hyperlink" Id="rId124" Target="https://doi.org/10.1016/j.jallcom.2019.152800" TargetMode="External" /><Relationship Type="http://schemas.openxmlformats.org/officeDocument/2006/relationships/hyperlink" Id="rId202" Target="https://doi.org/10.1016/j.jhazmat.2012.01.064" TargetMode="External" /><Relationship Type="http://schemas.openxmlformats.org/officeDocument/2006/relationships/hyperlink" Id="rId164" Target="https://doi.org/10.1016/j.talanta.2021.122104" TargetMode="External" /><Relationship Type="http://schemas.openxmlformats.org/officeDocument/2006/relationships/hyperlink" Id="rId170" Target="https://doi.org/10.1038/s41529-022-00218-4" TargetMode="External" /><Relationship Type="http://schemas.openxmlformats.org/officeDocument/2006/relationships/hyperlink" Id="rId168" Target="https://doi.org/10.1038/s41570-025-00740-4" TargetMode="External" /><Relationship Type="http://schemas.openxmlformats.org/officeDocument/2006/relationships/hyperlink" Id="rId160" Target="https://doi.org/10.1038/s41592-024-02362-y" TargetMode="External" /><Relationship Type="http://schemas.openxmlformats.org/officeDocument/2006/relationships/hyperlink" Id="rId166" Target="https://doi.org/10.1038/s41929-024-01150-3" TargetMode="External" /><Relationship Type="http://schemas.openxmlformats.org/officeDocument/2006/relationships/hyperlink" Id="rId136" Target="https://doi.org/10.1039/c7ra01839h" TargetMode="External" /><Relationship Type="http://schemas.openxmlformats.org/officeDocument/2006/relationships/hyperlink" Id="rId110" Target="https://doi.org/10.1039/d2ra01231f" TargetMode="External" /><Relationship Type="http://schemas.openxmlformats.org/officeDocument/2006/relationships/hyperlink" Id="rId112" Target="https://doi.org/10.1111/j.1551-2916.2010.03969.x" TargetMode="External" /><Relationship Type="http://schemas.openxmlformats.org/officeDocument/2006/relationships/hyperlink" Id="rId174" Target="https://doi.org/10.1242/jeb.243225" TargetMode="External" /><Relationship Type="http://schemas.openxmlformats.org/officeDocument/2006/relationships/hyperlink" Id="rId102" Target="https://doi.org/10.1590/s0104-66322012000200014" TargetMode="External" /><Relationship Type="http://schemas.openxmlformats.org/officeDocument/2006/relationships/hyperlink" Id="rId96" Target="https://doi.org/10.3389/fenrg.2024.1441155" TargetMode="External" /><Relationship Type="http://schemas.openxmlformats.org/officeDocument/2006/relationships/hyperlink" Id="rId144" Target="https://doi.org/10.3390/app15052640" TargetMode="External" /><Relationship Type="http://schemas.openxmlformats.org/officeDocument/2006/relationships/hyperlink" Id="rId146" Target="https://doi.org/10.3390/en16145554" TargetMode="External" /><Relationship Type="http://schemas.openxmlformats.org/officeDocument/2006/relationships/hyperlink" Id="rId148" Target="https://doi.org/10.3390/hydrogen7020055" TargetMode="External" /><Relationship Type="http://schemas.openxmlformats.org/officeDocument/2006/relationships/hyperlink" Id="rId180" Target="https://doi.org/10.3390/ma11101990" TargetMode="External" /><Relationship Type="http://schemas.openxmlformats.org/officeDocument/2006/relationships/hyperlink" Id="rId126" Target="https://doi.org/10.3390/ma15031197" TargetMode="External" /><Relationship Type="http://schemas.openxmlformats.org/officeDocument/2006/relationships/hyperlink" Id="rId152" Target="https://doi.org/10.3390/ma17112637" TargetMode="External" /><Relationship Type="http://schemas.openxmlformats.org/officeDocument/2006/relationships/hyperlink" Id="rId150" Target="https://doi.org/10.3390/met13020185" TargetMode="External" /><Relationship Type="http://schemas.openxmlformats.org/officeDocument/2006/relationships/hyperlink" Id="rId134" Target="https://doi.org/10.4236/epe.2015.79041" TargetMode="External" /><Relationship Type="http://schemas.openxmlformats.org/officeDocument/2006/relationships/hyperlink" Id="rId83" Target="https://doi.org/10.5281/zenodo.20751918" TargetMode="External" /><Relationship Type="http://schemas.openxmlformats.org/officeDocument/2006/relationships/hyperlink" Id="rId154" Target="https://doi.org/10.9767/bcrec.20041" TargetMode="External" /></Relationships>
</file>

<file path=word/_rels/footnotes.xml.rels><?xml version="1.0" encoding="UTF-8"?><Relationships xmlns="http://schemas.openxmlformats.org/package/2006/relationships"><Relationship Type="http://schemas.openxmlformats.org/officeDocument/2006/relationships/hyperlink" Id="rId172" Target="https://doi.org/10.1002/advs.202410065" TargetMode="External" /><Relationship Type="http://schemas.openxmlformats.org/officeDocument/2006/relationships/hyperlink" Id="rId178" Target="https://doi.org/10.1002/cctc.202001974" TargetMode="External" /><Relationship Type="http://schemas.openxmlformats.org/officeDocument/2006/relationships/hyperlink" Id="rId184" Target="https://doi.org/10.1002/er.3953" TargetMode="External" /><Relationship Type="http://schemas.openxmlformats.org/officeDocument/2006/relationships/hyperlink" Id="rId100" Target="https://doi.org/10.1002/er.3955" TargetMode="External" /><Relationship Type="http://schemas.openxmlformats.org/officeDocument/2006/relationships/hyperlink" Id="rId206" Target="https://doi.org/10.1002/er.4769" TargetMode="External" /><Relationship Type="http://schemas.openxmlformats.org/officeDocument/2006/relationships/hyperlink" Id="rId98" Target="https://doi.org/10.1002/er.6478" TargetMode="External" /><Relationship Type="http://schemas.openxmlformats.org/officeDocument/2006/relationships/hyperlink" Id="rId140" Target="https://doi.org/10.1007/s40243-024-00287-2" TargetMode="External" /><Relationship Type="http://schemas.openxmlformats.org/officeDocument/2006/relationships/hyperlink" Id="rId204" Target="https://doi.org/10.1016/j.apenergy.2020.115712" TargetMode="External" /><Relationship Type="http://schemas.openxmlformats.org/officeDocument/2006/relationships/hyperlink" Id="rId106" Target="https://doi.org/10.1016/j.energy.2017.05.031" TargetMode="External" /><Relationship Type="http://schemas.openxmlformats.org/officeDocument/2006/relationships/hyperlink" Id="rId116" Target="https://doi.org/10.1016/j.energy.2018.05.201" TargetMode="External" /><Relationship Type="http://schemas.openxmlformats.org/officeDocument/2006/relationships/hyperlink" Id="rId118" Target="https://doi.org/10.1016/j.energy.2019.116107" TargetMode="External" /><Relationship Type="http://schemas.openxmlformats.org/officeDocument/2006/relationships/hyperlink" Id="rId104" Target="https://doi.org/10.1016/j.fuel.2023.128924" TargetMode="External" /><Relationship Type="http://schemas.openxmlformats.org/officeDocument/2006/relationships/hyperlink" Id="rId162" Target="https://doi.org/10.1016/j.geoderma.2025.117223" TargetMode="External" /><Relationship Type="http://schemas.openxmlformats.org/officeDocument/2006/relationships/hyperlink" Id="rId156" Target="https://doi.org/10.1016/j.ijft.2025.101152" TargetMode="External" /><Relationship Type="http://schemas.openxmlformats.org/officeDocument/2006/relationships/hyperlink" Id="rId92" Target="https://doi.org/10.1016/j.ijhydene.2012.02.175" TargetMode="External" /><Relationship Type="http://schemas.openxmlformats.org/officeDocument/2006/relationships/hyperlink" Id="rId198" Target="https://doi.org/10.1016/j.ijhydene.2012.10.106" TargetMode="External" /><Relationship Type="http://schemas.openxmlformats.org/officeDocument/2006/relationships/hyperlink" Id="rId108" Target="https://doi.org/10.1016/j.ijhydene.2013.09.070" TargetMode="External" /><Relationship Type="http://schemas.openxmlformats.org/officeDocument/2006/relationships/hyperlink" Id="rId192" Target="https://doi.org/10.1016/j.ijhydene.2014.02.037" TargetMode="External" /><Relationship Type="http://schemas.openxmlformats.org/officeDocument/2006/relationships/hyperlink" Id="rId182" Target="https://doi.org/10.1016/j.ijhydene.2015.11.080" TargetMode="External" /><Relationship Type="http://schemas.openxmlformats.org/officeDocument/2006/relationships/hyperlink" Id="rId142" Target="https://doi.org/10.1016/j.ijhydene.2015.11.083" TargetMode="External" /><Relationship Type="http://schemas.openxmlformats.org/officeDocument/2006/relationships/hyperlink" Id="rId94" Target="https://doi.org/10.1016/j.ijhydene.2015.11.122" TargetMode="External" /><Relationship Type="http://schemas.openxmlformats.org/officeDocument/2006/relationships/hyperlink" Id="rId186" Target="https://doi.org/10.1016/j.ijhydene.2016.05.159" TargetMode="External" /><Relationship Type="http://schemas.openxmlformats.org/officeDocument/2006/relationships/hyperlink" Id="rId194" Target="https://doi.org/10.1016/j.ijhydene.2016.10.090" TargetMode="External" /><Relationship Type="http://schemas.openxmlformats.org/officeDocument/2006/relationships/hyperlink" Id="rId128" Target="https://doi.org/10.1016/j.ijhydene.2017.02.205" TargetMode="External" /><Relationship Type="http://schemas.openxmlformats.org/officeDocument/2006/relationships/hyperlink" Id="rId120" Target="https://doi.org/10.1016/j.ijhydene.2018.09.133" TargetMode="External" /><Relationship Type="http://schemas.openxmlformats.org/officeDocument/2006/relationships/hyperlink" Id="rId130" Target="https://doi.org/10.1016/j.ijhydene.2018.12.124" TargetMode="External" /><Relationship Type="http://schemas.openxmlformats.org/officeDocument/2006/relationships/hyperlink" Id="rId196" Target="https://doi.org/10.1016/j.ijhydene.2019.03.140" TargetMode="External" /><Relationship Type="http://schemas.openxmlformats.org/officeDocument/2006/relationships/hyperlink" Id="rId200" Target="https://doi.org/10.1016/j.ijhydene.2019.06.154" TargetMode="External" /><Relationship Type="http://schemas.openxmlformats.org/officeDocument/2006/relationships/hyperlink" Id="rId122" Target="https://doi.org/10.1016/j.ijhydene.2020.03.027" TargetMode="External" /><Relationship Type="http://schemas.openxmlformats.org/officeDocument/2006/relationships/hyperlink" Id="rId138" Target="https://doi.org/10.1016/j.ijhydene.2020.04.161" TargetMode="External" /><Relationship Type="http://schemas.openxmlformats.org/officeDocument/2006/relationships/hyperlink" Id="rId188" Target="https://doi.org/10.1016/j.ijhydene.2020.06.165" TargetMode="External" /><Relationship Type="http://schemas.openxmlformats.org/officeDocument/2006/relationships/hyperlink" Id="rId158" Target="https://doi.org/10.1016/j.ijhydene.2021.03.240" TargetMode="External" /><Relationship Type="http://schemas.openxmlformats.org/officeDocument/2006/relationships/hyperlink" Id="rId114" Target="https://doi.org/10.1016/j.ijhydene.2021.06.101" TargetMode="External" /><Relationship Type="http://schemas.openxmlformats.org/officeDocument/2006/relationships/hyperlink" Id="rId190" Target="https://doi.org/10.1016/j.ijhydene.2021.07.191" TargetMode="External" /><Relationship Type="http://schemas.openxmlformats.org/officeDocument/2006/relationships/hyperlink" Id="rId132" Target="https://doi.org/10.1016/j.ijhydene.2022.09.127" TargetMode="External" /><Relationship Type="http://schemas.openxmlformats.org/officeDocument/2006/relationships/hyperlink" Id="rId176" Target="https://doi.org/10.1016/j.ijhydene.2023.09.065" TargetMode="External" /><Relationship Type="http://schemas.openxmlformats.org/officeDocument/2006/relationships/hyperlink" Id="rId124" Target="https://doi.org/10.1016/j.jallcom.2019.152800" TargetMode="External" /><Relationship Type="http://schemas.openxmlformats.org/officeDocument/2006/relationships/hyperlink" Id="rId202" Target="https://doi.org/10.1016/j.jhazmat.2012.01.064" TargetMode="External" /><Relationship Type="http://schemas.openxmlformats.org/officeDocument/2006/relationships/hyperlink" Id="rId164" Target="https://doi.org/10.1016/j.talanta.2021.122104" TargetMode="External" /><Relationship Type="http://schemas.openxmlformats.org/officeDocument/2006/relationships/hyperlink" Id="rId170" Target="https://doi.org/10.1038/s41529-022-00218-4" TargetMode="External" /><Relationship Type="http://schemas.openxmlformats.org/officeDocument/2006/relationships/hyperlink" Id="rId168" Target="https://doi.org/10.1038/s41570-025-00740-4" TargetMode="External" /><Relationship Type="http://schemas.openxmlformats.org/officeDocument/2006/relationships/hyperlink" Id="rId160" Target="https://doi.org/10.1038/s41592-024-02362-y" TargetMode="External" /><Relationship Type="http://schemas.openxmlformats.org/officeDocument/2006/relationships/hyperlink" Id="rId166" Target="https://doi.org/10.1038/s41929-024-01150-3" TargetMode="External" /><Relationship Type="http://schemas.openxmlformats.org/officeDocument/2006/relationships/hyperlink" Id="rId136" Target="https://doi.org/10.1039/c7ra01839h" TargetMode="External" /><Relationship Type="http://schemas.openxmlformats.org/officeDocument/2006/relationships/hyperlink" Id="rId110" Target="https://doi.org/10.1039/d2ra01231f" TargetMode="External" /><Relationship Type="http://schemas.openxmlformats.org/officeDocument/2006/relationships/hyperlink" Id="rId112" Target="https://doi.org/10.1111/j.1551-2916.2010.03969.x" TargetMode="External" /><Relationship Type="http://schemas.openxmlformats.org/officeDocument/2006/relationships/hyperlink" Id="rId174" Target="https://doi.org/10.1242/jeb.243225" TargetMode="External" /><Relationship Type="http://schemas.openxmlformats.org/officeDocument/2006/relationships/hyperlink" Id="rId102" Target="https://doi.org/10.1590/s0104-66322012000200014" TargetMode="External" /><Relationship Type="http://schemas.openxmlformats.org/officeDocument/2006/relationships/hyperlink" Id="rId96" Target="https://doi.org/10.3389/fenrg.2024.1441155" TargetMode="External" /><Relationship Type="http://schemas.openxmlformats.org/officeDocument/2006/relationships/hyperlink" Id="rId144" Target="https://doi.org/10.3390/app15052640" TargetMode="External" /><Relationship Type="http://schemas.openxmlformats.org/officeDocument/2006/relationships/hyperlink" Id="rId146" Target="https://doi.org/10.3390/en16145554" TargetMode="External" /><Relationship Type="http://schemas.openxmlformats.org/officeDocument/2006/relationships/hyperlink" Id="rId148" Target="https://doi.org/10.3390/hydrogen7020055" TargetMode="External" /><Relationship Type="http://schemas.openxmlformats.org/officeDocument/2006/relationships/hyperlink" Id="rId180" Target="https://doi.org/10.3390/ma11101990" TargetMode="External" /><Relationship Type="http://schemas.openxmlformats.org/officeDocument/2006/relationships/hyperlink" Id="rId126" Target="https://doi.org/10.3390/ma15031197" TargetMode="External" /><Relationship Type="http://schemas.openxmlformats.org/officeDocument/2006/relationships/hyperlink" Id="rId152" Target="https://doi.org/10.3390/ma17112637" TargetMode="External" /><Relationship Type="http://schemas.openxmlformats.org/officeDocument/2006/relationships/hyperlink" Id="rId150" Target="https://doi.org/10.3390/met13020185" TargetMode="External" /><Relationship Type="http://schemas.openxmlformats.org/officeDocument/2006/relationships/hyperlink" Id="rId134" Target="https://doi.org/10.4236/epe.2015.79041" TargetMode="External" /><Relationship Type="http://schemas.openxmlformats.org/officeDocument/2006/relationships/hyperlink" Id="rId83" Target="https://doi.org/10.5281/zenodo.20751918" TargetMode="External" /><Relationship Type="http://schemas.openxmlformats.org/officeDocument/2006/relationships/hyperlink" Id="rId154" Target="https://doi.org/10.9767/bcrec.200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Apparent Contradictions in the Aluminum–Water Hydrolysis Literature are Predominantly Methodological: a Provenance-Tracked, Leakage-Controlled Analysis</dc:title>
  <dc:creator>Dogukan Unal</dc:creator>
  <cp:keywords/>
  <dcterms:created xsi:type="dcterms:W3CDTF">2026-06-18T19:10:28Z</dcterms:created>
  <dcterms:modified xsi:type="dcterms:W3CDTF">2026-06-18T19:10:28Z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Two decades of aluminum–water hydrolysis experiments have produced a literature that contradicts itself: reported activation energies span 3.5–102.6 kJ mol^{-1} and the direction of the particle-size effect changes sign across studies. Whether these contradictions reflect genuine physico-chemical regimes or artifacts of non-standardized protocols is the question we address with a leakage-controlled machine-learning evaluation framework. We curate a provenance-tracked, quality-tiered open dataset of 315 condition-level hydrogen-yield rows from 31 independent studies (plus a separate 76-row kinetic table), with pre-registered hypotheses and transparent null reporting. Under study-grouped cross-validation, six machine-learning models collapse from R^2\!\approx\!0.55 (random splits) to R^2&lt;0 (optimism gap 0.62–0.85, R^2_{\rm rand}\!-\!R^2_{\rm grp}): the literature does not pool naively. Variance decomposition attributes \approx\!72\% of between-study yield variance to methodological covariates versus \approx\!2\% (95 % CI 0.01–0.37) for the physico-chemical regime label, with hydrogen measurement apparatus the largest single source (\approx\!43\%) and temperature-control method explaining \approx\!8\%. A complementary mixed-effects meta-regression finds no significant regime moderation (p=0.32–0.45, 0/8 Holm-corrected interactions). The flagship particle-size “contradiction” dissolves: within every study that reports particle size as a variable (n\!=\!5 of 31; 59/315 rows), the within-study effect is consistently negative, identifying the cross-study apparent flip as an integration artifact. We release the curated dataset, the reproducible analysis pipeline, and a proposed minimum-information reporting checklist to make future experiments poolable across laboratories. The framework generalizes to energy-domain machine-learning applications with group structure in training and test records, such as laboratory or protocol identity.</vt:lpwstr>
  </property>
  <property fmtid="{D5CDD505-2E9C-101B-9397-08002B2CF9AE}" pid="3" name="bibliography">
    <vt:lpwstr>references.bib</vt:lpwstr>
  </property>
  <property fmtid="{D5CDD505-2E9C-101B-9397-08002B2CF9AE}" pid="4" name="csl">
    <vt:lpwstr>elsevier-vancouver.csl</vt:lpwstr>
  </property>
</Properties>
</file>