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df" ContentType="application/pdf"/>
  <Override PartName="/word/media/rId46.pdf" ContentType="application/pdf"/>
  <Override PartName="/word/media/rId50.pdf" ContentType="application/pdf"/>
  <Override PartName="/word/media/rId54.pdf" ContentType="application/pdf"/>
  <Override PartName="/word/media/rId21.pdf" ContentType="application/pdf"/>
  <Override PartName="/word/media/rId58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Apparent Contradictions in the Aluminum–Water Hydrolysis Literature</w:t>
      </w:r>
      <w:r>
        <w:t xml:space="preserve"> </w:t>
      </w:r>
      <w:r>
        <w:t xml:space="preserve">are Predominantly Methodological: a Provenance-Tracked, Leakage-Controlled Analysis</w:t>
      </w:r>
    </w:p>
    <w:p>
      <w:pPr>
        <w:pStyle w:val="Author"/>
      </w:pPr>
      <w:r>
        <w:t xml:space="preserve">Dogukan Unal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Two decades of aluminum–water hydrolysis experiments have produced a literature</w:t>
      </w:r>
      <w:r>
        <w:t xml:space="preserve"> </w:t>
      </w:r>
      <w:r>
        <w:t xml:space="preserve">that contradicts itself: reported activation energies span</w:t>
      </w:r>
      <w:r>
        <w:t xml:space="preserve"> </w:t>
      </w:r>
      <m:oMath>
        <m:r>
          <m:t>3.5</m:t>
        </m:r>
      </m:oMath>
      <w:r>
        <w:t xml:space="preserve">–</w:t>
      </w:r>
      <m:oMath>
        <m:r>
          <m:t>102.6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the direction of the particle-size effect changes sign across studies. Whether these</w:t>
      </w:r>
      <w:r>
        <w:t xml:space="preserve"> </w:t>
      </w:r>
      <w:r>
        <w:t xml:space="preserve">contradictions reflect genuine physico-chemical regimes or artifacts of non-standardized</w:t>
      </w:r>
      <w:r>
        <w:t xml:space="preserve"> </w:t>
      </w:r>
      <w:r>
        <w:t xml:space="preserve">protocols is the question we address with a leakage-controlled machine-learning evaluation</w:t>
      </w:r>
      <w:r>
        <w:t xml:space="preserve"> </w:t>
      </w:r>
      <w:r>
        <w:t xml:space="preserve">framework. We curate a provenance-tracked, quality-tiered open dataset of 315 condition-level</w:t>
      </w:r>
      <w:r>
        <w:t xml:space="preserve"> </w:t>
      </w:r>
      <w:r>
        <w:t xml:space="preserve">hydrogen-yield rows from 31 independent studies (plus a separate 76-row kinetic table), with</w:t>
      </w:r>
      <w:r>
        <w:t xml:space="preserve"> </w:t>
      </w:r>
      <w:r>
        <w:t xml:space="preserve">pre-registered hypotheses and transparent null reporting. Under study-grouped cross-validation,</w:t>
      </w:r>
      <w:r>
        <w:t xml:space="preserve"> </w:t>
      </w:r>
      <w:r>
        <w:t xml:space="preserve">six comparative machine-learning models collapse from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0.55</m:t>
        </m:r>
      </m:oMath>
      <w:r>
        <w:t xml:space="preserve"> </w:t>
      </w:r>
      <w:r>
        <w:t xml:space="preserve">(random splits)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(optimism gap</w:t>
      </w:r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)—the literature does not pool naively. A</w:t>
      </w:r>
      <w:r>
        <w:t xml:space="preserve"> </w:t>
      </w:r>
      <w:r>
        <w:t xml:space="preserve">between-study variance decomposition attributes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55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between-study</w:t>
      </w:r>
      <w:r>
        <w:t xml:space="preserve"> </w:t>
      </w:r>
      <w:r>
        <w:t xml:space="preserve">yield variance to</w:t>
      </w:r>
      <w:r>
        <w:t xml:space="preserve"> </w:t>
      </w:r>
      <w:r>
        <w:rPr>
          <w:i/>
          <w:iCs/>
        </w:rPr>
        <w:t xml:space="preserve">methodological</w:t>
      </w:r>
      <w:r>
        <w:t xml:space="preserve"> </w:t>
      </w:r>
      <w:r>
        <w:t xml:space="preserve">covariates versus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(bootstrap 95 % CI 0.02–0.37) for the physico-chemical regime label,</w:t>
      </w:r>
      <w:r>
        <w:t xml:space="preserve"> </w:t>
      </w:r>
      <w:r>
        <w:t xml:space="preserve">with temperature-control method alone the largest single</w:t>
      </w:r>
      <w:r>
        <w:t xml:space="preserve"> </w:t>
      </w:r>
      <w:r>
        <w:t xml:space="preserve">source (</w:t>
      </w:r>
      <m:oMath>
        <m:r>
          <m:rPr>
            <m:sty m:val="p"/>
          </m:rPr>
          <m:t>≈</m:t>
        </m:r>
        <m:r>
          <m:t>​</m:t>
        </m:r>
        <m:r>
          <m:t>33</m:t>
        </m:r>
        <m:r>
          <m:rPr>
            <m:sty m:val="p"/>
          </m:rPr>
          <m:t>%</m:t>
        </m:r>
      </m:oMath>
      <w:r>
        <w:t xml:space="preserve">). A complementary mixed-effects meta-regression finds no significant</w:t>
      </w:r>
      <w:r>
        <w:t xml:space="preserve"> </w:t>
      </w:r>
      <w:r>
        <w:t xml:space="preserve">regime moderation (</w:t>
      </w:r>
      <m:oMath>
        <m:r>
          <m:t>p</m:t>
        </m:r>
        <m:r>
          <m:rPr>
            <m:sty m:val="p"/>
          </m:rPr>
          <m:t>=</m:t>
        </m:r>
        <m:r>
          <m:t>0.32</m:t>
        </m:r>
      </m:oMath>
      <w:r>
        <w:t xml:space="preserve">–</w:t>
      </w:r>
      <m:oMath>
        <m:r>
          <m:t>0.45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Holm-corrected interactions). The flagship</w:t>
      </w:r>
      <w:r>
        <w:t xml:space="preserve"> </w:t>
      </w:r>
      <w:r>
        <w:t xml:space="preserve">particle-size</w:t>
      </w:r>
      <w:r>
        <w:t xml:space="preserve"> </w:t>
      </w:r>
      <w:r>
        <w:t xml:space="preserve">“contradiction”</w:t>
      </w:r>
      <w:r>
        <w:t xml:space="preserve"> </w:t>
      </w:r>
      <w:r>
        <w:t xml:space="preserve">dissolves: within every study that reports particle size</w:t>
      </w:r>
      <w:r>
        <w:t xml:space="preserve"> </w:t>
      </w:r>
      <w:r>
        <w:t xml:space="preserve">as a variable (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5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31</m:t>
        </m:r>
      </m:oMath>
      <w:r>
        <w:t xml:space="preserve">;</w:t>
      </w:r>
      <w:r>
        <w:t xml:space="preserve"> </w:t>
      </w:r>
      <m:oMath>
        <m:r>
          <m:t>59</m:t>
        </m:r>
        <m:r>
          <m:rPr>
            <m:sty m:val="p"/>
          </m:rPr>
          <m:t>/</m:t>
        </m:r>
        <m:r>
          <m:t>315</m:t>
        </m:r>
      </m:oMath>
      <w:r>
        <w:t xml:space="preserve"> </w:t>
      </w:r>
      <w:r>
        <w:t xml:space="preserve">rows), the within-study effect is consistently</w:t>
      </w:r>
      <w:r>
        <w:t xml:space="preserve"> </w:t>
      </w:r>
      <w:r>
        <w:t xml:space="preserve">negative, identifying the cross-study</w:t>
      </w:r>
      <w:r>
        <w:t xml:space="preserve"> </w:t>
      </w:r>
      <w:r>
        <w:t xml:space="preserve">apparent flip as an integration artifact. We release the curated dataset, the reproducible</w:t>
      </w:r>
      <w:r>
        <w:t xml:space="preserve"> </w:t>
      </w:r>
      <w:r>
        <w:t xml:space="preserve">analysis pipeline, and a proposed minimum-information reporting checklist to make future</w:t>
      </w:r>
      <w:r>
        <w:t xml:space="preserve"> </w:t>
      </w:r>
      <w:r>
        <w:t xml:space="preserve">experiments poolable across laboratories.</w:t>
      </w:r>
    </w:p>
    <w:p>
      <w:pPr>
        <w:pStyle w:val="FirstParagraph"/>
      </w:pPr>
      <w:r>
        <w:t xml:space="preserve">aluminum–water hydrolysis ,hydrogen production ,data leakage ,</w:t>
      </w:r>
      <w:r>
        <w:t xml:space="preserve"> </w:t>
      </w:r>
      <w:r>
        <w:t xml:space="preserve">meta-analysis ,reproducibility ,open dataset</w:t>
      </w:r>
    </w:p>
    <w:bookmarkStart w:id="9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</w:pPr>
      <w:r>
        <w:t xml:space="preserve">Leakage-controlled ML evaluation: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0.55</m:t>
        </m:r>
      </m:oMath>
      <w:r>
        <w:t xml:space="preserve"> </w:t>
      </w:r>
      <w:r>
        <w:t xml:space="preserve">(random);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&lt;</m:t>
        </m:r>
        <m:r>
          <m:t>​</m:t>
        </m:r>
        <m:r>
          <m:t>0</m:t>
        </m:r>
      </m:oMath>
      <w:r>
        <w:t xml:space="preserve"> </w:t>
      </w:r>
      <w:r>
        <w:t xml:space="preserve">(grouped); gap 0.62–0.85.</w:t>
      </w:r>
    </w:p>
    <w:p>
      <w:pPr>
        <w:numPr>
          <w:ilvl w:val="0"/>
          <w:numId w:val="1001"/>
        </w:numPr>
      </w:pPr>
      <w:r>
        <w:t xml:space="preserve">Open dataset: 315 yield rows + 76 kinetic rows from 31 studies, CC-BY.</w:t>
      </w:r>
    </w:p>
    <w:p>
      <w:pPr>
        <w:numPr>
          <w:ilvl w:val="0"/>
          <w:numId w:val="1001"/>
        </w:numPr>
      </w:pPr>
      <w:r>
        <w:t xml:space="preserve">Methodology explains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55% of between-study yield variance vs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2% for regime.</w:t>
      </w:r>
    </w:p>
    <w:p>
      <w:pPr>
        <w:numPr>
          <w:ilvl w:val="0"/>
          <w:numId w:val="1001"/>
        </w:numPr>
      </w:pPr>
      <w:r>
        <w:t xml:space="preserve">Temperature-control method alone is the single largest variance source (</w:t>
      </w:r>
      <m:oMath>
        <m:r>
          <m:rPr>
            <m:sty m:val="p"/>
          </m:rPr>
          <m:t>≈</m:t>
        </m:r>
      </m:oMath>
      <w:r>
        <w:t xml:space="preserve">33%).</w:t>
      </w:r>
    </w:p>
    <w:p>
      <w:pPr>
        <w:numPr>
          <w:ilvl w:val="0"/>
          <w:numId w:val="1001"/>
        </w:numPr>
      </w:pPr>
      <w:r>
        <w:t xml:space="preserve">Particle-size</w:t>
      </w:r>
      <w:r>
        <w:t xml:space="preserve"> </w:t>
      </w:r>
      <w:r>
        <w:t xml:space="preserve">“contradiction”</w:t>
      </w:r>
      <w:r>
        <w:t xml:space="preserve"> </w:t>
      </w:r>
      <w:r>
        <w:t xml:space="preserve">is an integration artifact: 5/5 within-study effects negative.</w:t>
      </w:r>
    </w:p>
    <w:bookmarkEnd w:id="9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reaction of aluminum with water,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(or via hydroxides), is an attractive route to hydrogen on demand: it is triggered by</w:t>
      </w:r>
      <w:r>
        <w:t xml:space="preserve"> </w:t>
      </w:r>
      <w:r>
        <w:t xml:space="preserve">water alone, stores energy at high density, and needs no high-pressure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infrastructure. Two decades of experiments have mapped how temperature, alkalinity,</w:t>
      </w:r>
      <w:r>
        <w:t xml:space="preserve"> </w:t>
      </w:r>
      <w:r>
        <w:t xml:space="preserve">particle size, alloying or activation method, and water chemistry control the yield and</w:t>
      </w:r>
      <w:r>
        <w:t xml:space="preserve"> </w:t>
      </w:r>
      <w:r>
        <w:t xml:space="preserve">rate. Yet the resulting literature is internally contradictory. Reported apparent</w:t>
      </w:r>
      <w:r>
        <w:t xml:space="preserve"> </w:t>
      </w:r>
      <w:r>
        <w:t xml:space="preserve">activation energies span</w:t>
      </w:r>
      <w:r>
        <w:t xml:space="preserve"> </w:t>
      </w:r>
      <m:oMath>
        <m:r>
          <m:t>3.5</m:t>
        </m:r>
      </m:oMath>
      <w:r>
        <w:t xml:space="preserve">–</w:t>
      </w:r>
      <m:oMath>
        <m:r>
          <m:t>102.6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 within the single</w:t>
      </w:r>
      <w:r>
        <w:t xml:space="preserve"> </w:t>
      </w:r>
      <w:r>
        <w:t xml:space="preserve">liquid-metal-activated regime this spread is still</w:t>
      </w:r>
      <w:r>
        <w:t xml:space="preserve"> </w:t>
      </w:r>
      <m:oMath>
        <m:r>
          <m:t>8.5</m:t>
        </m:r>
      </m:oMath>
      <w:r>
        <w:t xml:space="preserve">–</w:t>
      </w:r>
      <m:oMath>
        <m:r>
          <m:t>58.0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. The direction of the particle-size effect changes</w:t>
      </w:r>
      <w:r>
        <w:t xml:space="preserve"> </w:t>
      </w:r>
      <w:r>
        <w:t xml:space="preserve">sign when studies are compared across the literature, yet within every study that varies</w:t>
      </w:r>
      <w:r>
        <w:t xml:space="preserve"> </w:t>
      </w:r>
      <w:r>
        <w:t xml:space="preserve">particle size the effect is consistently negative</w:t>
      </w:r>
      <w:r>
        <w:t xml:space="preserve"> </w:t>
      </w:r>
      <w:r>
        <w:t xml:space="preserve">. The rate–yield trade-off</w:t>
      </w:r>
      <w:r>
        <w:t xml:space="preserve"> </w:t>
      </w:r>
      <w:r>
        <w:t xml:space="preserve">is inconsistent; and studies disagree on which parameter dominates. These contradictions</w:t>
      </w:r>
      <w:r>
        <w:t xml:space="preserve"> </w:t>
      </w:r>
      <w:r>
        <w:t xml:space="preserve">are usually attributed, in passing, to</w:t>
      </w:r>
      <w:r>
        <w:t xml:space="preserve"> </w:t>
      </w:r>
      <w:r>
        <w:t xml:space="preserve">“different conditions,”</w:t>
      </w:r>
      <w:r>
        <w:t xml:space="preserve"> </w:t>
      </w:r>
      <w:r>
        <w:t xml:space="preserve">but the attribution has</w:t>
      </w:r>
      <w:r>
        <w:t xml:space="preserve"> </w:t>
      </w:r>
      <w:r>
        <w:t xml:space="preserve">never been tested quantitatively.</w:t>
      </w:r>
    </w:p>
    <w:p>
      <w:pPr>
        <w:pStyle w:val="BodyText"/>
      </w:pPr>
      <w:r>
        <w:t xml:space="preserve">This is the unresolved question we address:</w:t>
      </w:r>
      <w:r>
        <w:t xml:space="preserve"> </w:t>
      </w:r>
      <w:r>
        <w:rPr>
          <w:i/>
          <w:iCs/>
        </w:rPr>
        <w:t xml:space="preserve">are the apparent inter-study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contradictions genuine physico-chemical regime differences, or artifacts of isolated,</w:t>
      </w:r>
      <w:r>
        <w:rPr>
          <w:i/>
          <w:iCs/>
        </w:rPr>
        <w:t xml:space="preserve"> </w:t>
      </w:r>
      <w:r>
        <w:rPr>
          <w:i/>
          <w:iCs/>
        </w:rPr>
        <w:t xml:space="preserve">non-standardized experimental conditions?</w:t>
      </w:r>
      <w:r>
        <w:t xml:space="preserve"> </w:t>
      </w:r>
      <w:r>
        <w:t xml:space="preserve">The distinction matters because it determines</w:t>
      </w:r>
      <w:r>
        <w:t xml:space="preserve"> </w:t>
      </w:r>
      <w:r>
        <w:t xml:space="preserve">whether the literature can be pooled to build predictive design models. Prior</w:t>
      </w:r>
      <w:r>
        <w:t xml:space="preserve"> </w:t>
      </w:r>
      <w:r>
        <w:t xml:space="preserve">machine-learning work on aluminum–water hydrolysis is, to our knowledge, limited to a</w:t>
      </w:r>
      <w:r>
        <w:t xml:space="preserve"> </w:t>
      </w:r>
      <w:r>
        <w:t xml:space="preserve">single-study, in-sample neural network reporting near-perfect prediction</w:t>
      </w:r>
      <w:r>
        <w:t xml:space="preserve"> </w:t>
      </w:r>
      <w:r>
        <w:t xml:space="preserve">. Such a near-perfect in-sample fit is exactly the generalization</w:t>
      </w:r>
      <w:r>
        <w:t xml:space="preserve"> </w:t>
      </w:r>
      <w:r>
        <w:t xml:space="preserve">illusion that a cross-study analysis must guard against: a model that interpolates one</w:t>
      </w:r>
      <w:r>
        <w:t xml:space="preserve"> </w:t>
      </w:r>
      <w:r>
        <w:t xml:space="preserve">laboratory’s parameter grid says nothing about whether the literature agrees.</w:t>
      </w:r>
    </w:p>
    <w:p>
      <w:pPr>
        <w:pStyle w:val="BodyText"/>
      </w:pPr>
      <w:r>
        <w:t xml:space="preserve">We take the opposite stance. We unify the scattered literature into a single</w:t>
      </w:r>
      <w:r>
        <w:t xml:space="preserve"> </w:t>
      </w:r>
      <w:r>
        <w:t xml:space="preserve">provenance-tracked dataset, apply leakage-controlled evaluation to test how far one study</w:t>
      </w:r>
      <w:r>
        <w:t xml:space="preserve"> </w:t>
      </w:r>
      <w:r>
        <w:t xml:space="preserve">transfers to another, and use between-study variance decomposition to identify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accounts for the differences when transfer fails. We pre-registered the</w:t>
      </w:r>
      <w:r>
        <w:t xml:space="preserve"> </w:t>
      </w:r>
      <w:r>
        <w:t xml:space="preserve">analyses and their success criteria before computation and report nulls as</w:t>
      </w:r>
      <w:r>
        <w:t xml:space="preserve"> </w:t>
      </w:r>
      <w:r>
        <w:t xml:space="preserve">“no</w:t>
      </w:r>
      <w:r>
        <w:t xml:space="preserve"> </w:t>
      </w:r>
      <w:r>
        <w:t xml:space="preserve">detectable effect at this sample size”</w:t>
      </w:r>
      <w:r>
        <w:t xml:space="preserve"> </w:t>
      </w:r>
      <w:r>
        <w:t xml:space="preserve">rather than as evidence of absence.</w:t>
      </w:r>
    </w:p>
    <w:bookmarkStart w:id="10" w:name="contributions."/>
    <w:p>
      <w:pPr>
        <w:pStyle w:val="Heading4"/>
      </w:pPr>
      <w:r>
        <w:t xml:space="preserve">Contributions.</w:t>
      </w:r>
    </w:p>
    <w:p>
      <w:pPr>
        <w:numPr>
          <w:ilvl w:val="0"/>
          <w:numId w:val="1002"/>
        </w:numPr>
      </w:pPr>
      <w:r>
        <w:t xml:space="preserve">A curated, provenance-tracked, quality-tiered</w:t>
      </w:r>
      <w:r>
        <w:t xml:space="preserve"> </w:t>
      </w:r>
      <w:r>
        <w:rPr>
          <w:b/>
          <w:bCs/>
        </w:rPr>
        <w:t xml:space="preserve">open dataset</w:t>
      </w:r>
      <w:r>
        <w:t xml:space="preserve"> </w:t>
      </w:r>
      <w:r>
        <w:t xml:space="preserve">of 315</w:t>
      </w:r>
      <w:r>
        <w:t xml:space="preserve"> </w:t>
      </w:r>
      <w:r>
        <w:t xml:space="preserve">condition-level hydrogen-yield rows from 31 independent studies, with a separate</w:t>
      </w:r>
      <w:r>
        <w:t xml:space="preserve"> </w:t>
      </w:r>
      <w:r>
        <w:t xml:space="preserve">76-row kinetic table (activation energies and rates), released under CC-BY; this</w:t>
      </w:r>
      <w:r>
        <w:t xml:space="preserve"> </w:t>
      </w:r>
      <w:r>
        <w:t xml:space="preserve">dataset serves as a reproducible</w:t>
      </w:r>
      <w:r>
        <w:t xml:space="preserve"> </w:t>
      </w:r>
      <w:r>
        <w:rPr>
          <w:b/>
          <w:bCs/>
        </w:rPr>
        <w:t xml:space="preserve">ML benchmark</w:t>
      </w:r>
      <w:r>
        <w:t xml:space="preserve"> </w:t>
      </w:r>
      <w:r>
        <w:t xml:space="preserve">for cross-study generalization</w:t>
      </w:r>
      <w:r>
        <w:t xml:space="preserve"> </w:t>
      </w:r>
      <w:r>
        <w:t xml:space="preserve">in aluminum–water hydrolysis.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leakage-controlled evaluation</w:t>
      </w:r>
      <w:r>
        <w:t xml:space="preserve"> </w:t>
      </w:r>
      <w:r>
        <w:t xml:space="preserve">showing that random-split predictability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0.55</m:t>
        </m:r>
      </m:oMath>
      <w:r>
        <w:t xml:space="preserve">) collapses under study-grouped cross-validation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; optimism</w:t>
      </w:r>
      <w:r>
        <w:t xml:space="preserve"> </w:t>
      </w:r>
      <w:r>
        <w:t xml:space="preserve">gap</w:t>
      </w:r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)—the literature does not pool naively. A</w:t>
      </w:r>
      <w:r>
        <w:t xml:space="preserve"> </w:t>
      </w:r>
      <w:r>
        <w:rPr>
          <w:b/>
          <w:bCs/>
        </w:rPr>
        <w:t xml:space="preserve">negative-control</w:t>
      </w:r>
      <w:r>
        <w:rPr>
          <w:b/>
          <w:bCs/>
        </w:rPr>
        <w:t xml:space="preserve"> </w:t>
      </w:r>
      <w:r>
        <w:rPr>
          <w:b/>
          <w:bCs/>
        </w:rPr>
        <w:t xml:space="preserve">robustness check</w:t>
      </w:r>
      <w:r>
        <w:t xml:space="preserve"> </w:t>
      </w:r>
      <w:r>
        <w:t xml:space="preserve">confirms that the apparent within-class signal is porciuncula-weighted</w:t>
      </w:r>
      <w:r>
        <w:t xml:space="preserve"> </w:t>
      </w:r>
      <w:r>
        <w:t xml:space="preserve">(row-weighted LOSO</w:t>
      </w:r>
      <w:r>
        <w:t xml:space="preserve"> </w:t>
      </w:r>
      <m:oMath>
        <m:r>
          <m:rPr>
            <m:sty m:val="p"/>
          </m:rPr>
          <m:t>+</m:t>
        </m:r>
        <m:r>
          <m:t>0.83</m:t>
        </m:r>
      </m:oMath>
      <w:r>
        <w:t xml:space="preserve">) and not a genuine per-study replication signal (study-macro</w:t>
      </w:r>
      <w:r>
        <w:t xml:space="preserve"> </w:t>
      </w:r>
      <w:r>
        <w:t xml:space="preserve">LOSO</w:t>
      </w:r>
      <w:r>
        <w:t xml:space="preserve"> </w:t>
      </w:r>
      <m:oMath>
        <m:r>
          <m:rPr>
            <m:sty m:val="p"/>
          </m:rPr>
          <m:t>−</m:t>
        </m:r>
        <m:r>
          <m:t>0.31</m:t>
        </m:r>
      </m:oMath>
      <w:r>
        <w:t xml:space="preserve">).</w:t>
      </w:r>
    </w:p>
    <w:p>
      <w:pPr>
        <w:numPr>
          <w:ilvl w:val="0"/>
          <w:numId w:val="1002"/>
        </w:numPr>
      </w:pPr>
      <w:r>
        <w:t xml:space="preserve">The central quantitative finding: a study-level variance decomposition in which</w:t>
      </w:r>
      <w:r>
        <w:t xml:space="preserve"> </w:t>
      </w:r>
      <w:r>
        <w:rPr>
          <w:b/>
          <w:bCs/>
        </w:rPr>
        <w:t xml:space="preserve">methodological covariates explain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​</m:t>
        </m:r>
        <m:r>
          <m:t>55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the between-study yield</w:t>
      </w:r>
      <w:r>
        <w:rPr>
          <w:b/>
          <w:bCs/>
        </w:rPr>
        <w:t xml:space="preserve"> </w:t>
      </w:r>
      <w:r>
        <w:rPr>
          <w:b/>
          <w:bCs/>
        </w:rPr>
        <w:t xml:space="preserve">variance versus</w:t>
      </w:r>
      <w:r>
        <w:rPr>
          <w:b/>
          <w:bCs/>
        </w:rPr>
        <w:t xml:space="preserve"> </w:t>
      </w:r>
      <m:oMath>
        <m:r>
          <m:rPr>
            <m:sty m:val="p"/>
          </m:rPr>
          <m:t>≈</m:t>
        </m:r>
        <m:r>
          <m:t>​</m:t>
        </m:r>
        <m:r>
          <m:t>2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physico-chemical regime</w:t>
      </w:r>
      <w:r>
        <w:t xml:space="preserve">, with the</w:t>
      </w:r>
      <w:r>
        <w:t xml:space="preserve"> </w:t>
      </w:r>
      <w:r>
        <w:t xml:space="preserve">temperature-control method the largest single source (</w:t>
      </w:r>
      <m:oMath>
        <m:r>
          <m:rPr>
            <m:sty m:val="p"/>
          </m:rPr>
          <m:t>≈</m:t>
        </m:r>
        <m:r>
          <m:t>​</m:t>
        </m:r>
        <m:r>
          <m:t>33</m:t>
        </m:r>
        <m:r>
          <m:rPr>
            <m:sty m:val="p"/>
          </m:rPr>
          <m:t>%</m:t>
        </m:r>
      </m:oMath>
      <w:r>
        <w:t xml:space="preserve">); the effect</w:t>
      </w:r>
      <w:r>
        <w:t xml:space="preserve"> </w:t>
      </w:r>
      <w:r>
        <w:t xml:space="preserve">survives controlling for regime (incremental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r>
          <m:rPr>
            <m:sty m:val="p"/>
          </m:rPr>
          <m:t>+</m:t>
        </m:r>
        <m:r>
          <m:t>0.47</m:t>
        </m:r>
      </m:oMath>
      <w:r>
        <w:t xml:space="preserve">, bootstrap CI excludes 0).</w:t>
      </w:r>
    </w:p>
    <w:p>
      <w:pPr>
        <w:numPr>
          <w:ilvl w:val="0"/>
          <w:numId w:val="1002"/>
        </w:numPr>
      </w:pPr>
      <w:r>
        <w:t xml:space="preserve">Resolution of the</w:t>
      </w:r>
      <w:r>
        <w:t xml:space="preserve"> </w:t>
      </w:r>
      <w:r>
        <w:rPr>
          <w:b/>
          <w:bCs/>
        </w:rPr>
        <w:t xml:space="preserve">flagship particle-size contradiction</w:t>
      </w:r>
      <w:r>
        <w:t xml:space="preserve"> </w:t>
      </w:r>
      <w:r>
        <w:t xml:space="preserve">as a cross-study</w:t>
      </w:r>
      <w:r>
        <w:t xml:space="preserve"> </w:t>
      </w:r>
      <w:r>
        <w:t xml:space="preserve">integration artifact: within-study effects are consistently negative in all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studies that vary particle size (</w:t>
      </w:r>
      <m:oMath>
        <m:r>
          <m:t>ρ</m:t>
        </m:r>
        <m:r>
          <m:t>​</m:t>
        </m:r>
        <m:r>
          <m:rPr>
            <m:sty m:val="p"/>
          </m:rPr>
          <m:t>=</m:t>
        </m:r>
        <m:r>
          <m:t>​</m:t>
        </m:r>
        <m:r>
          <m:rPr>
            <m:sty m:val="p"/>
          </m:rPr>
          <m:t>−</m:t>
        </m:r>
        <m:r>
          <m:t>0.29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0.87</m:t>
        </m:r>
      </m:oMath>
      <w:r>
        <w:t xml:space="preserve">).</w:t>
      </w:r>
    </w:p>
    <w:p>
      <w:pPr>
        <w:numPr>
          <w:ilvl w:val="0"/>
          <w:numId w:val="1002"/>
        </w:numPr>
      </w:pPr>
      <w:r>
        <w:t xml:space="preserve">Transparent reporting of</w:t>
      </w:r>
      <w:r>
        <w:t xml:space="preserve"> </w:t>
      </w:r>
      <w:r>
        <w:rPr>
          <w:b/>
          <w:bCs/>
        </w:rPr>
        <w:t xml:space="preserve">null results</w:t>
      </w:r>
      <w:r>
        <w:t xml:space="preserve">: mixed-effects regime moderation</w:t>
      </w:r>
      <w:r>
        <w:t xml:space="preserve"> </w:t>
      </w:r>
      <w:r>
        <w:t xml:space="preserve">(H2,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0.32</m:t>
        </m:r>
      </m:oMath>
      <w:r>
        <w:t xml:space="preserve">–</w:t>
      </w:r>
      <m:oMath>
        <m:r>
          <m:t>0.45</m:t>
        </m:r>
      </m:oMath>
      <w:r>
        <w:t xml:space="preserve">) and Arrhenius activation-energy regime structure (H3,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r>
          <m:t>0.36</m:t>
        </m:r>
      </m:oMath>
      <w:r>
        <w:t xml:space="preserve">,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0.13</m:t>
        </m:r>
      </m:oMath>
      <w:r>
        <w:t xml:space="preserve">) are both not supported at the pre-registered bar;</w:t>
      </w:r>
      <w:r>
        <w:t xml:space="preserve"> </w:t>
      </w:r>
      <w:r>
        <w:t xml:space="preserve">we frame these as power-limited findings at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31</m:t>
        </m:r>
      </m:oMath>
      <w:r>
        <w:t xml:space="preserve"> </w:t>
      </w:r>
      <w:r>
        <w:t xml:space="preserve">studies.</w:t>
      </w:r>
    </w:p>
    <w:p>
      <w:pPr>
        <w:numPr>
          <w:ilvl w:val="0"/>
          <w:numId w:val="1002"/>
        </w:numPr>
      </w:pPr>
      <w:r>
        <w:t xml:space="preserve">A proposed</w:t>
      </w:r>
      <w:r>
        <w:t xml:space="preserve"> </w:t>
      </w:r>
      <w:r>
        <w:rPr>
          <w:b/>
          <w:bCs/>
        </w:rPr>
        <w:t xml:space="preserve">minimum-information reporting standard</w:t>
      </w:r>
      <w:r>
        <w:t xml:space="preserve"> </w:t>
      </w:r>
      <w:r>
        <w:t xml:space="preserve">for aluminum-hydrolysis</w:t>
      </w:r>
      <w:r>
        <w:t xml:space="preserve"> </w:t>
      </w:r>
      <w:r>
        <w:t xml:space="preserve">studies to make future data poolable across laboratories.</w:t>
      </w:r>
    </w:p>
    <w:bookmarkEnd w:id="10"/>
    <w:bookmarkEnd w:id="11"/>
    <w:bookmarkStart w:id="20" w:name="sec:related"/>
    <w:p>
      <w:pPr>
        <w:pStyle w:val="Heading1"/>
      </w:pPr>
      <w:r>
        <w:t xml:space="preserve">Related work</w:t>
      </w:r>
    </w:p>
    <w:bookmarkStart w:id="12" w:name="pure-alkali-and-early-rate-studies."/>
    <w:p>
      <w:pPr>
        <w:pStyle w:val="Heading4"/>
      </w:pPr>
      <w:r>
        <w:t xml:space="preserve">Pure alkali and early rate studies.</w:t>
      </w:r>
    </w:p>
    <w:p>
      <w:pPr>
        <w:pStyle w:val="FirstParagraph"/>
      </w:pPr>
      <w:r>
        <w:t xml:space="preserve">The majority of the literature covers aluminum activated by dissolved NaOH or KOH in</w:t>
      </w:r>
      <w:r>
        <w:t xml:space="preserve"> </w:t>
      </w:r>
      <w:r>
        <w:t xml:space="preserve">aqueous solution—the simplest and most studied regime. Early kinetic work by</w:t>
      </w:r>
      <w:r>
        <w:t xml:space="preserve"> </w:t>
      </w:r>
      <w:r>
        <w:t xml:space="preserve"> </w:t>
      </w:r>
      <w:r>
        <w:t xml:space="preserve"> </w:t>
      </w:r>
      <w:r>
        <w:t xml:space="preserve">established systematic temperature and</w:t>
      </w:r>
      <w:r>
        <w:t xml:space="preserve"> </w:t>
      </w:r>
      <w:r>
        <w:t xml:space="preserve">concentration factorial data for NaOH–foil experiments that remain the largest single-study</w:t>
      </w:r>
      <w:r>
        <w:t xml:space="preserve"> </w:t>
      </w:r>
      <w:r>
        <w:t xml:space="preserve">block in the open literature. Subsequent studies report yields and rates under broadly</w:t>
      </w:r>
      <w:r>
        <w:t xml:space="preserve"> </w:t>
      </w:r>
      <w:r>
        <w:t xml:space="preserve">similar conditions but incompatible protocols</w:t>
      </w:r>
      <w:r>
        <w:t xml:space="preserve"> </w:t>
      </w:r>
      <w:r>
        <w:t xml:space="preserve">.</w:t>
      </w:r>
      <w:r>
        <w:t xml:space="preserve"> </w:t>
      </w:r>
      <w:r>
        <w:t xml:space="preserve">Activation energies for this regime cluster around</w:t>
      </w:r>
      <w:r>
        <w:t xml:space="preserve"> </w:t>
      </w:r>
      <m:oMath>
        <m:r>
          <m:t>50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well-designed</w:t>
      </w:r>
      <w:r>
        <w:t xml:space="preserve"> </w:t>
      </w:r>
      <w:r>
        <w:t xml:space="preserve">studies but span</w:t>
      </w:r>
      <w:r>
        <w:t xml:space="preserve"> </w:t>
      </w:r>
      <m:oMath>
        <m:r>
          <m:t>37</m:t>
        </m:r>
      </m:oMath>
      <w:r>
        <w:t xml:space="preserve">–</w:t>
      </w:r>
      <m:oMath>
        <m:r>
          <m:t>65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across the literature.</w:t>
      </w:r>
    </w:p>
    <w:bookmarkEnd w:id="12"/>
    <w:bookmarkStart w:id="13" w:name="X47c9ecff8cc1fb8102a1def617c82f780d5707f"/>
    <w:p>
      <w:pPr>
        <w:pStyle w:val="Heading4"/>
      </w:pPr>
      <w:r>
        <w:t xml:space="preserve">Mechanically activated and alloy systems.</w:t>
      </w:r>
    </w:p>
    <w:p>
      <w:pPr>
        <w:pStyle w:val="FirstParagraph"/>
      </w:pPr>
      <w:r>
        <w:t xml:space="preserve">Ball milling with low-melting additives (Sn, Bi, In) lowers the activation barrier by</w:t>
      </w:r>
      <w:r>
        <w:t xml:space="preserve"> </w:t>
      </w:r>
      <w:r>
        <w:t xml:space="preserve">disrupting the native oxide layer and is the subject of a growing sub-literature</w:t>
      </w:r>
      <w:r>
        <w:t xml:space="preserve"> </w:t>
      </w:r>
      <w:r>
        <w:t xml:space="preserve">. Al-alloy systems</w:t>
      </w:r>
      <w:r>
        <w:t xml:space="preserve"> </w:t>
      </w:r>
      <w:r>
        <w:t xml:space="preserve">(pre-alloyed Sn, Ga, In) operate through a related but distinct dissolution mechanism</w:t>
      </w:r>
      <w:r>
        <w:t xml:space="preserve"> </w:t>
      </w:r>
      <w:r>
        <w:t xml:space="preserve">. Both groups exhibit higher reported yields at</w:t>
      </w:r>
      <w:r>
        <w:t xml:space="preserve"> </w:t>
      </w:r>
      <w:r>
        <w:t xml:space="preserve">moderate temperatures than the pure-alkali regime, but direct comparisons are complicated</w:t>
      </w:r>
      <w:r>
        <w:t xml:space="preserve"> </w:t>
      </w:r>
      <w:r>
        <w:t xml:space="preserve">by incompatible particle-size and additive specifications.</w:t>
      </w:r>
    </w:p>
    <w:bookmarkEnd w:id="13"/>
    <w:bookmarkStart w:id="14" w:name="liquid-metal-activated-systems."/>
    <w:p>
      <w:pPr>
        <w:pStyle w:val="Heading4"/>
      </w:pPr>
      <w:r>
        <w:t xml:space="preserve">Liquid-metal activated systems.</w:t>
      </w:r>
    </w:p>
    <w:p>
      <w:pPr>
        <w:pStyle w:val="FirstParagraph"/>
      </w:pPr>
      <w:r>
        <w:t xml:space="preserve">Gallium-based eutectic infiltration produces a highly active surface with dramatically</w:t>
      </w:r>
      <w:r>
        <w:t xml:space="preserve"> </w:t>
      </w:r>
      <w:r>
        <w:t xml:space="preserve">reduced apparent activation energies:</w:t>
      </w:r>
      <w:r>
        <w:t xml:space="preserve"> </w:t>
      </w:r>
      <w:r>
        <w:t xml:space="preserve"> </w:t>
      </w:r>
      <w:r>
        <w:t xml:space="preserve"> </w:t>
      </w:r>
      <w:r>
        <w:t xml:space="preserve">report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  <m:r>
          <m:t>​</m:t>
        </m:r>
        <m:r>
          <m:rPr>
            <m:sty m:val="p"/>
          </m:rPr>
          <m:t>=</m:t>
        </m:r>
        <m:r>
          <m:t>​</m:t>
        </m:r>
        <m:r>
          <m:t>8.5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a Ga–In eutectic system, while</w:t>
      </w:r>
      <w:r>
        <w:t xml:space="preserve"> </w:t>
      </w:r>
      <w:r>
        <w:t xml:space="preserve"> </w:t>
      </w:r>
      <w:r>
        <w:t xml:space="preserve"> </w:t>
      </w:r>
      <w:r>
        <w:t xml:space="preserve">report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  <m:r>
          <m:t>​</m:t>
        </m:r>
        <m:r>
          <m:rPr>
            <m:sty m:val="p"/>
          </m:rPr>
          <m:t>=</m:t>
        </m:r>
        <m:r>
          <m:t>​</m:t>
        </m:r>
        <m:r>
          <m:t>58.0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a different composition, and</w:t>
      </w:r>
      <w:r>
        <w:t xml:space="preserve"> </w:t>
      </w:r>
      <w:r>
        <w:t xml:space="preserve"> </w:t>
      </w:r>
      <w:r>
        <w:t xml:space="preserve"> </w:t>
      </w:r>
      <w:r>
        <w:t xml:space="preserve">and</w:t>
      </w:r>
      <w:r>
        <w:t xml:space="preserve"> </w:t>
      </w:r>
      <w:r>
        <w:t xml:space="preserve"> </w:t>
      </w:r>
      <w:r>
        <w:t xml:space="preserve"> </w:t>
      </w:r>
      <w:r>
        <w:t xml:space="preserve">report intermediate values. The</w:t>
      </w:r>
      <w:r>
        <w:t xml:space="preserve"> </w:t>
      </w:r>
      <m:oMath>
        <m:r>
          <m:t>8.5</m:t>
        </m:r>
      </m:oMath>
      <w:r>
        <w:t xml:space="preserve">–</w:t>
      </w:r>
      <m:oMath>
        <m:r>
          <m:t>58.0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within-regime spread is the headline apparent contradiction for this class and reflects</w:t>
      </w:r>
      <w:r>
        <w:t xml:space="preserve"> </w:t>
      </w:r>
      <w:r>
        <w:t xml:space="preserve">varying Ga loading, alloy purity, and activation pre-treatment</w:t>
      </w:r>
      <w:r>
        <w:t xml:space="preserve"> </w:t>
      </w:r>
      <w:r>
        <w:t xml:space="preserve">. Minimum-reporting-standard violations mean that many results are</w:t>
      </w:r>
      <w:r>
        <w:t xml:space="preserve"> </w:t>
      </w:r>
      <w:r>
        <w:t xml:space="preserve">not directly comparable even within this regime.</w:t>
      </w:r>
    </w:p>
    <w:bookmarkEnd w:id="14"/>
    <w:bookmarkStart w:id="15" w:name="waste-and-recycled-aluminum."/>
    <w:p>
      <w:pPr>
        <w:pStyle w:val="Heading4"/>
      </w:pPr>
      <w:r>
        <w:t xml:space="preserve">Waste and recycled aluminum.</w:t>
      </w:r>
    </w:p>
    <w:p>
      <w:pPr>
        <w:pStyle w:val="FirstParagraph"/>
      </w:pPr>
      <w:r>
        <w:t xml:space="preserve">Studies using waste or scrap aluminum have grown in number, motivated by the</w:t>
      </w:r>
      <w:r>
        <w:t xml:space="preserve"> </w:t>
      </w:r>
      <w:r>
        <w:t xml:space="preserve">simultaneous valorization of waste streams and hydrogen generation</w:t>
      </w:r>
      <w:r>
        <w:t xml:space="preserve"> </w:t>
      </w:r>
      <w:r>
        <w:t xml:space="preserve">.</w:t>
      </w:r>
      <w:r>
        <w:t xml:space="preserve"> </w:t>
      </w:r>
      <w:r>
        <w:t xml:space="preserve">Reported yields vary widely, partly because the composition of waste aluminum is</w:t>
      </w:r>
      <w:r>
        <w:t xml:space="preserve"> </w:t>
      </w:r>
      <w:r>
        <w:t xml:space="preserve">heterogeneous and poorly characterized, and partly because activation pre-treatments</w:t>
      </w:r>
      <w:r>
        <w:t xml:space="preserve"> </w:t>
      </w:r>
      <w:r>
        <w:t xml:space="preserve">(sorting, cleaning, mechanical grinding) differ across laboratories. This regime has the</w:t>
      </w:r>
      <w:r>
        <w:t xml:space="preserve"> </w:t>
      </w:r>
      <w:r>
        <w:t xml:space="preserve">highest fraction of unreported experimental parameters in our corpus.</w:t>
      </w:r>
    </w:p>
    <w:bookmarkEnd w:id="15"/>
    <w:bookmarkStart w:id="16" w:name="reviews-cataloguing-without-resolving."/>
    <w:p>
      <w:pPr>
        <w:pStyle w:val="Heading4"/>
      </w:pPr>
      <w:r>
        <w:t xml:space="preserve">Reviews: cataloguing without resolving.</w:t>
      </w:r>
    </w:p>
    <w:p>
      <w:pPr>
        <w:pStyle w:val="FirstParagraph"/>
      </w:pPr>
      <w:r>
        <w:t xml:space="preserve">Narrative reviews of the field</w:t>
      </w:r>
      <w:r>
        <w:t xml:space="preserve"> </w:t>
      </w:r>
      <w:r>
        <w:t xml:space="preserve"> </w:t>
      </w:r>
      <w:r>
        <w:t xml:space="preserve">catalogue the apparent contradictions and</w:t>
      </w:r>
      <w:r>
        <w:t xml:space="preserve"> </w:t>
      </w:r>
      <w:r>
        <w:t xml:space="preserve">emphasize the breadth of strategies, but do not pool the data, do not control for</w:t>
      </w:r>
      <w:r>
        <w:t xml:space="preserve"> </w:t>
      </w:r>
      <w:r>
        <w:t xml:space="preserve">methodological heterogeneity, and do not test whether the contradictions are regime-driven</w:t>
      </w:r>
      <w:r>
        <w:t xml:space="preserve"> </w:t>
      </w:r>
      <w:r>
        <w:t xml:space="preserve">or protocol-driven. The gap between the experimental volume and the absence of a pooled,</w:t>
      </w:r>
      <w:r>
        <w:t xml:space="preserve"> </w:t>
      </w:r>
      <w:r>
        <w:t xml:space="preserve">quantitative resolution is the direct motivation for the present work.</w:t>
      </w:r>
    </w:p>
    <w:bookmarkEnd w:id="16"/>
    <w:bookmarkStart w:id="17" w:name="X5a4923f431902bcd342fb1e68e8befb4d50bcc1"/>
    <w:p>
      <w:pPr>
        <w:pStyle w:val="Heading4"/>
      </w:pPr>
      <w:r>
        <w:t xml:space="preserve">The generalization illusion in single-study ML models.</w:t>
      </w:r>
    </w:p>
    <w:p>
      <w:pPr>
        <w:pStyle w:val="FirstParagraph"/>
      </w:pPr>
      <w:r>
        <w:t xml:space="preserve">Data-driven modeling of this reaction is nascent. The closest prior work is a single-study</w:t>
      </w:r>
      <w:r>
        <w:t xml:space="preserve"> </w:t>
      </w:r>
      <w:r>
        <w:t xml:space="preserve">artificial neural network reporting a near-perfect in-sample fit within one laboratory’s</w:t>
      </w:r>
      <w:r>
        <w:t xml:space="preserve"> </w:t>
      </w:r>
      <w:r>
        <w:t xml:space="preserve">data</w:t>
      </w:r>
      <w:r>
        <w:t xml:space="preserve"> </w:t>
      </w:r>
      <w:r>
        <w:t xml:space="preserve">. In-sample performance on one study’s parameter grid is</w:t>
      </w:r>
      <w:r>
        <w:t xml:space="preserve"> </w:t>
      </w:r>
      <w:r>
        <w:t xml:space="preserve">uninformative about cross-study transfer; our leakage analysis makes this gap explicit.</w:t>
      </w:r>
      <w:r>
        <w:t xml:space="preserve"> </w:t>
      </w:r>
      <w:r>
        <w:t xml:space="preserve">This failure mode is not unique to aluminum hydrolysis: it has been documented in materials</w:t>
      </w:r>
      <w:r>
        <w:t xml:space="preserve"> </w:t>
      </w:r>
      <w:r>
        <w:t xml:space="preserve">screening</w:t>
      </w:r>
      <w:r>
        <w:t xml:space="preserve"> </w:t>
      </w:r>
      <w:r>
        <w:t xml:space="preserve">, chemometrics</w:t>
      </w:r>
      <w:r>
        <w:t xml:space="preserve"> </w:t>
      </w:r>
      <w:r>
        <w:t xml:space="preserve">, and catalysis</w:t>
      </w:r>
      <w:r>
        <w:t xml:space="preserve"> </w:t>
      </w:r>
      <w:r>
        <w:t xml:space="preserve">data science</w:t>
      </w:r>
      <w:r>
        <w:t xml:space="preserve"> </w:t>
      </w:r>
      <w:r>
        <w:t xml:space="preserve">, and is increasingly recognized as a reproducibility risk</w:t>
      </w:r>
      <w:r>
        <w:t xml:space="preserve"> </w:t>
      </w:r>
      <w:r>
        <w:t xml:space="preserve">in AI-driven materials and energy research</w:t>
      </w:r>
      <w:r>
        <w:t xml:space="preserve"> </w:t>
      </w:r>
      <w:r>
        <w:t xml:space="preserve">.</w:t>
      </w:r>
    </w:p>
    <w:bookmarkEnd w:id="17"/>
    <w:bookmarkStart w:id="18" w:name="Xb463cde7a45395253b5e0ab599c8a2bd31bb118"/>
    <w:p>
      <w:pPr>
        <w:pStyle w:val="Heading4"/>
      </w:pPr>
      <w:r>
        <w:t xml:space="preserve">Leakage-controlled evaluation in materials science.</w:t>
      </w:r>
    </w:p>
    <w:p>
      <w:pPr>
        <w:pStyle w:val="FirstParagraph"/>
      </w:pPr>
      <w:r>
        <w:t xml:space="preserve">Grouped or blocked cross-validation—where all records from one group are withheld</w:t>
      </w:r>
      <w:r>
        <w:t xml:space="preserve"> </w:t>
      </w:r>
      <w:r>
        <w:t xml:space="preserve">together—is the established defense against optimistic within-group estimates</w:t>
      </w:r>
      <w:r>
        <w:t xml:space="preserve"> </w:t>
      </w:r>
      <w:r>
        <w:t xml:space="preserve">. The approach closely parallels leave-one-group-out designs</w:t>
      </w:r>
      <w:r>
        <w:t xml:space="preserve"> </w:t>
      </w:r>
      <w:r>
        <w:t xml:space="preserve">in meta-analysis and the block-bootstrap for correlated data. We apply it here to</w:t>
      </w:r>
      <w:r>
        <w:t xml:space="preserve"> </w:t>
      </w:r>
      <w:r>
        <w:t xml:space="preserve">aluminum hydrolysis for the first time; beyond demonstrating leakage, we use the</w:t>
      </w:r>
      <w:r>
        <w:t xml:space="preserve"> </w:t>
      </w:r>
      <w:r>
        <w:t xml:space="preserve">between-study variance structure to</w:t>
      </w:r>
      <w:r>
        <w:t xml:space="preserve"> </w:t>
      </w:r>
      <w:r>
        <w:rPr>
          <w:i/>
          <w:iCs/>
        </w:rPr>
        <w:t xml:space="preserve">attribute</w:t>
      </w:r>
      <w:r>
        <w:t xml:space="preserve"> </w:t>
      </w:r>
      <w:r>
        <w:t xml:space="preserve">the disagreement quantitatively.</w:t>
      </w:r>
    </w:p>
    <w:bookmarkEnd w:id="18"/>
    <w:bookmarkStart w:id="19" w:name="Xb5c2b3cabc0215d207f096e816652c805309335"/>
    <w:p>
      <w:pPr>
        <w:pStyle w:val="Heading4"/>
      </w:pPr>
      <w:r>
        <w:t xml:space="preserve">Methodology as a confound, and reporting standards.</w:t>
      </w:r>
    </w:p>
    <w:p>
      <w:pPr>
        <w:pStyle w:val="FirstParagraph"/>
      </w:pPr>
      <w:r>
        <w:t xml:space="preserve">Individual studies already note that protocol choices shift measured values substantially:</w:t>
      </w:r>
      <w:r>
        <w:t xml:space="preserve"> </w:t>
      </w:r>
      <w:r>
        <w:t xml:space="preserve">vessel insulation and temperature control</w:t>
      </w:r>
      <w:r>
        <w:t xml:space="preserve"> </w:t>
      </w:r>
      <w:r>
        <w:t xml:space="preserve">, water type, and</w:t>
      </w:r>
      <w:r>
        <w:t xml:space="preserve"> </w:t>
      </w:r>
      <w:r>
        <w:t xml:space="preserve">surface pre-treatment</w:t>
      </w:r>
      <w:r>
        <w:t xml:space="preserve"> </w:t>
      </w:r>
      <w:r>
        <w:t xml:space="preserve"> </w:t>
      </w:r>
      <w:r>
        <w:t xml:space="preserve">all appear as study-specific idiosyncrasies that</w:t>
      </w:r>
      <w:r>
        <w:t xml:space="preserve"> </w:t>
      </w:r>
      <w:r>
        <w:t xml:space="preserve">prevent pooling. Minimum-information reporting standards have improved poolability in</w:t>
      </w:r>
      <w:r>
        <w:t xml:space="preserve"> </w:t>
      </w:r>
      <w:r>
        <w:t xml:space="preserve">related fields—round-robin interlaboratory comparisons for MgH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 </w:t>
      </w:r>
      <w:r>
        <w:t xml:space="preserve">and biohydrogen</w:t>
      </w:r>
      <w:r>
        <w:t xml:space="preserve"> </w:t>
      </w:r>
      <w:r>
        <w:t xml:space="preserve">—demonstrating that standardized</w:t>
      </w:r>
      <w:r>
        <w:t xml:space="preserve"> </w:t>
      </w:r>
      <w:r>
        <w:t xml:space="preserve">protocols can turn an apparently contradictory literature into a comparable one. We adapt</w:t>
      </w:r>
      <w:r>
        <w:t xml:space="preserve"> </w:t>
      </w:r>
      <w:r>
        <w:t xml:space="preserve">and propose such a template for aluminum hydrolysis.</w:t>
      </w:r>
    </w:p>
    <w:bookmarkEnd w:id="19"/>
    <w:bookmarkEnd w:id="20"/>
    <w:bookmarkStart w:id="32" w:name="data-and-methods"/>
    <w:p>
      <w:pPr>
        <w:pStyle w:val="Heading1"/>
      </w:pPr>
      <w:r>
        <w:t xml:space="preserve">Data and methods</w:t>
      </w:r>
    </w:p>
    <w:bookmarkStart w:id="26" w:name="Xd4ab298b50328ba3e0c8e916a14a50174fcc05a"/>
    <w:p>
      <w:pPr>
        <w:pStyle w:val="Heading2"/>
      </w:pPr>
      <w:r>
        <w:t xml:space="preserve">Literature screening and dataset construction</w:t>
      </w:r>
    </w:p>
    <w:p>
      <w:pPr>
        <w:pStyle w:val="FirstParagraph"/>
      </w:pPr>
      <w:r>
        <w:t xml:space="preserve">We identified candidate studies by keyword search, forward and backward citation</w:t>
      </w:r>
      <w:r>
        <w:t xml:space="preserve"> </w:t>
      </w:r>
      <w:r>
        <w:t xml:space="preserve">chaining from established reviews, and systematic inspection of relevant journal indices</w:t>
      </w:r>
      <w:r>
        <w:t xml:space="preserve"> </w:t>
      </w:r>
      <w:r>
        <w:t xml:space="preserve">through early 2026. Full texts were obtained for all candidate articles; 59 papers were</w:t>
      </w:r>
      <w:r>
        <w:t xml:space="preserve"> </w:t>
      </w:r>
      <w:r>
        <w:t xml:space="preserve">screened against the inclusion criterion: at least one numeric hydrogen outcome (yield or</w:t>
      </w:r>
      <w:r>
        <w:t xml:space="preserve"> </w:t>
      </w:r>
      <w:r>
        <w:t xml:space="preserve">reaction rate) reported with the experimental conditions explicitly stated. Thirty-one</w:t>
      </w:r>
      <w:r>
        <w:t xml:space="preserve"> </w:t>
      </w:r>
      <w:r>
        <w:t xml:space="preserve">studies met that criterion and constitute the data corpus</w:t>
      </w:r>
      <w:r>
        <w:t xml:space="preserve"> </w:t>
      </w:r>
      <w:r>
        <w:t xml:space="preserve">;</w:t>
      </w:r>
      <w:r>
        <w:t xml:space="preserve"> </w:t>
      </w:r>
      <w:r>
        <w:t xml:space="preserve">the remaining screened papers—comparative reviews and system-specific studies that do</w:t>
      </w:r>
      <w:r>
        <w:t xml:space="preserve"> </w:t>
      </w:r>
      <w:r>
        <w:t xml:space="preserve">not report extractable condition-level yield or rate data—are cited in Related Work by</w:t>
      </w:r>
      <w:r>
        <w:t xml:space="preserve"> </w:t>
      </w:r>
      <w:r>
        <w:t xml:space="preserve">regime (Section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From these 31 studies we extracted every distinct experimental condition, yielding a</w:t>
      </w:r>
      <w:r>
        <w:t xml:space="preserve"> </w:t>
      </w:r>
      <w:r>
        <w:t xml:space="preserve">flat-format dataset with 30 columns per row. Physical parameters include temperature (K),</w:t>
      </w:r>
      <w:r>
        <w:t xml:space="preserve"> </w:t>
      </w:r>
      <w:r>
        <w:t xml:space="preserve">alkali-solution concentration (mol L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particle size (median</w:t>
      </w:r>
      <w:r>
        <w:t xml:space="preserve"> </w:t>
      </w:r>
      <m:oMath>
        <m:sSub>
          <m:e>
            <m:r>
              <m:t>d</m:t>
            </m:r>
          </m:e>
          <m:sub>
            <m:r>
              <m:t>50</m:t>
            </m:r>
          </m:sub>
        </m:sSub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m),</w:t>
      </w:r>
      <w:r>
        <w:t xml:space="preserve"> </w:t>
      </w:r>
      <w:r>
        <w:t xml:space="preserve">aluminium purity or alloy composition, activator type and loading, and</w:t>
      </w:r>
      <w:r>
        <w:t xml:space="preserve"> </w:t>
      </w:r>
      <w:r>
        <w:t xml:space="preserve">water-to-aluminium mass ratio. Methodological metadata encode temperature-control 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isothermal_bath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self_heating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uncontrolled</w:t>
      </w:r>
      <w:r>
        <w:t xml:space="preserve">), measurement</w:t>
      </w:r>
      <w:r>
        <w:t xml:space="preserve"> </w:t>
      </w:r>
      <w:r>
        <w:t xml:space="preserve">method (</w:t>
      </w:r>
      <w:r>
        <w:rPr>
          <w:rStyle w:val="VerbatimChar"/>
        </w:rPr>
        <w:t xml:space="preserve">water_displacement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gc</w:t>
      </w:r>
      <w:r>
        <w:t xml:space="preserve">), vessel geometry</w:t>
      </w:r>
      <w:r>
        <w:t xml:space="preserve"> </w:t>
      </w:r>
      <w:r>
        <w:t xml:space="preserve">class, water type, and quality tier (A/B/C). Full provenance is stored per row: study</w:t>
      </w:r>
      <w:r>
        <w:t xml:space="preserve"> </w:t>
      </w:r>
      <w:r>
        <w:t xml:space="preserve">DOI, the table or figure from which each value was read, extraction method (direct or</w:t>
      </w:r>
      <w:r>
        <w:t xml:space="preserve"> </w:t>
      </w:r>
      <w:r>
        <w:t xml:space="preserve">digitized), and extractor identity. The grouping key for all cross-study analyses is the</w:t>
      </w:r>
      <w:r>
        <w:t xml:space="preserve"> </w:t>
      </w:r>
      <w:r>
        <w:t xml:space="preserve">study DOI. Absent quantities (conditions where</w:t>
      </w:r>
      <w:r>
        <w:t xml:space="preserve"> </w:t>
      </w:r>
      <m:oMath>
        <m:r>
          <m:t>η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</m:t>
        </m:r>
      </m:oMath>
      <w:r>
        <w:t xml:space="preserve"> </w:t>
      </w:r>
      <w:r>
        <w:t xml:space="preserve">is physically meaningful) are</w:t>
      </w:r>
      <w:r>
        <w:t xml:space="preserve"> </w:t>
      </w:r>
      <w:r>
        <w:t xml:space="preserve">encoded as</w:t>
      </w:r>
      <w:r>
        <w:t xml:space="preserve"> </w:t>
      </w:r>
      <m:oMath>
        <m:r>
          <m:t>0</m:t>
        </m:r>
      </m:oMath>
      <w:r>
        <w:t xml:space="preserve">; unreported quantities are stored as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and never conflated</w:t>
      </w:r>
      <w:r>
        <w:t xml:space="preserve"> </w:t>
      </w:r>
      <w:r>
        <w:t xml:space="preserve">with absent ones.</w:t>
      </w:r>
    </w:p>
    <w:p>
      <w:pPr>
        <w:pStyle w:val="BodyText"/>
      </w:pPr>
      <w:r>
        <w:t xml:space="preserve">Each study is assigned exactly one physico-chemical regime label</w:t>
      </w:r>
      <w:r>
        <w:t xml:space="preserve"> </w:t>
      </w:r>
      <m:oMath>
        <m:r>
          <m:rPr>
            <m:nor/>
            <m:scr m:val="monospace"/>
            <m:sty m:val="p"/>
          </m:rPr>
          <m:t>system_class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cr m:val="monospace"/>
            <m:sty m:val="p"/>
          </m:rPr>
          <m:t>pure_al_alkali</m:t>
        </m:r>
        <m:r>
          <m:rPr>
            <m:sty m:val="p"/>
          </m:rPr>
          <m:t>,</m:t>
        </m:r>
        <m:r>
          <m:t> </m:t>
        </m:r>
        <m:r>
          <m:rPr>
            <m:nor/>
            <m:scr m:val="monospace"/>
            <m:sty m:val="p"/>
          </m:rPr>
          <m:t>al_alloy</m:t>
        </m:r>
        <m:r>
          <m:rPr>
            <m:sty m:val="p"/>
          </m:rPr>
          <m:t>,</m:t>
        </m:r>
        <m:r>
          <m:t> </m:t>
        </m:r>
        <m:r>
          <m:rPr>
            <m:nor/>
            <m:scr m:val="monospace"/>
            <m:sty m:val="p"/>
          </m:rPr>
          <m:t>mechanically_activated</m:t>
        </m:r>
        <m:r>
          <m:rPr>
            <m:sty m:val="p"/>
          </m:rPr>
          <m:t>,</m:t>
        </m:r>
        <m:r>
          <m:t> </m:t>
        </m:r>
        <m:r>
          <m:rPr>
            <m:nor/>
            <m:scr m:val="monospace"/>
            <m:sty m:val="p"/>
          </m:rPr>
          <m:t>liquid_metal_activated</m:t>
        </m:r>
        <m:r>
          <m:rPr>
            <m:sty m:val="p"/>
          </m:rPr>
          <m:t>,</m:t>
        </m:r>
        <m:r>
          <m:t> </m:t>
        </m:r>
        <m:r>
          <m:rPr>
            <m:nor/>
            <m:scr m:val="monospace"/>
            <m:sty m:val="p"/>
          </m:rPr>
          <m:t>waste_al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derived from the source materials-and-methods section and verified during the</w:t>
      </w:r>
      <w:r>
        <w:t xml:space="preserve"> </w:t>
      </w:r>
      <w:r>
        <w:t xml:space="preserve">classification audit described below. The final yield dataset has 315 condition-level</w:t>
      </w:r>
      <w:r>
        <w:t xml:space="preserve"> </w:t>
      </w:r>
      <w:r>
        <w:t xml:space="preserve">rows from 31 studies (Fig. </w:t>
      </w:r>
      <w:hyperlink w:anchor="fig:dataset">
        <w:r>
          <w:rPr>
            <w:rStyle w:val="Hyperlink"/>
          </w:rPr>
          <w:t xml:space="preserve">1</w:t>
        </w:r>
      </w:hyperlink>
      <w:r>
        <w:t xml:space="preserve">); a separate 76-row kinetic table</w:t>
      </w:r>
      <w:r>
        <w:t xml:space="preserve"> </w:t>
      </w:r>
      <w:r>
        <w:t xml:space="preserve">holds Arrhenius activation energies and reaction rates, with their own provenance and</w:t>
      </w:r>
      <w:r>
        <w:t xml:space="preserve"> </w:t>
      </w:r>
      <w:r>
        <w:t xml:space="preserve">fit-quality columns, and is never merged into the yield table.</w:t>
      </w:r>
      <w:r>
        <w:t xml:space="preserve"> </w:t>
      </w:r>
      <w:r>
        <w:t xml:space="preserve">The tables remain separate because yield (</w:t>
      </w:r>
      <m:oMath>
        <m:r>
          <m:t>η</m:t>
        </m:r>
      </m:oMath>
      <w:r>
        <w:t xml:space="preserve">, a cumulative fraction at a fixed endpoint)</w:t>
      </w:r>
      <w:r>
        <w:t xml:space="preserve"> </w:t>
      </w:r>
      <w:r>
        <w:t xml:space="preserve">and kinetic parameters (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, peak rate, half-time) are distinct outcome types</w:t>
      </w:r>
      <w:r>
        <w:t xml:space="preserve"> </w:t>
      </w:r>
      <w:r>
        <w:t xml:space="preserve">with incompatible units and different quality gates; merging would require normalization</w:t>
      </w:r>
      <w:r>
        <w:t xml:space="preserve"> </w:t>
      </w:r>
      <w:r>
        <w:t xml:space="preserve">assumptions not justified in a meta-analytic context.</w:t>
      </w:r>
      <w:r>
        <w:t xml:space="preserve"> </w:t>
      </w:r>
      <w:r>
        <w:t xml:space="preserve">Table </w:t>
      </w:r>
      <w:hyperlink w:anchor="tab:dataset_compositi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per-regime composition; the complete 31-study source list with</w:t>
      </w:r>
      <w:r>
        <w:t xml:space="preserve"> </w:t>
      </w:r>
      <w:r>
        <w:t xml:space="preserve">temperature, concentration, and particle-size ranges appears in Table SI-1.</w:t>
      </w:r>
    </w:p>
    <w:bookmarkStart w:id="24" w:name="fig:dataset"/>
    <w:p>
      <w:pPr>
        <w:pStyle w:val="CaptionedFigure"/>
      </w:pPr>
      <w:r>
        <w:drawing>
          <wp:inline>
            <wp:extent cx="4907280" cy="216922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5_dataset_composition.pdf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6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curated open dataset.</w:t>
      </w:r>
      <w:r>
        <w:t xml:space="preserve"> </w:t>
      </w:r>
      <w:r>
        <w:t xml:space="preserve">Per-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yield-row counts with study</w:t>
      </w:r>
      <w:r>
        <w:t xml:space="preserve"> </w:t>
      </w:r>
      <w:r>
        <w:t xml:space="preserve">counts (left) and the A/B/C quality-tier composition (right); the separate 76-row kinetic table is</w:t>
      </w:r>
      <w:r>
        <w:t xml:space="preserve"> </w:t>
      </w:r>
      <w:r>
        <w:t xml:space="preserve">noted. 315 yield rows from 31 studies, released under CC-BY.</w:t>
      </w:r>
    </w:p>
    <w:bookmarkEnd w:id="24"/>
    <w:bookmarkStart w:id="25" w:name="tab:dataset_composition"/>
    <w:p>
      <w:pPr>
        <w:pStyle w:val="TableCaption"/>
      </w:pPr>
      <w:r>
        <w:rPr>
          <w:b/>
          <w:bCs/>
        </w:rPr>
        <w:t xml:space="preserve">Dataset composition by physico-chemical regime.</w:t>
      </w:r>
      <w:r>
        <w:t xml:space="preserve"> </w:t>
      </w:r>
      <w:r>
        <w:t xml:space="preserve">Each study appears in</w:t>
      </w:r>
      <w:r>
        <w:t xml:space="preserve"> </w:t>
      </w:r>
      <w:r>
        <w:t xml:space="preserve">exactly one regime. Yield rows are condition-level records reporting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yield</w:t>
      </w:r>
      <w:r>
        <w:t xml:space="preserve"> </w:t>
      </w:r>
      <w:r>
        <w:t xml:space="preserve">(</w:t>
      </w:r>
      <m:oMath>
        <m:r>
          <m:t>η</m:t>
        </m:r>
      </m:oMath>
      <w:r>
        <w:t xml:space="preserve">, % of the 1244 mL g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pure-Al theoretical); kinetic rows hold</w:t>
      </w:r>
      <w:r>
        <w:t xml:space="preserve"> </w:t>
      </w:r>
      <w:r>
        <w:t xml:space="preserve">Arrhenius activation energies or rate measurements. The complete study-level source</w:t>
      </w:r>
      <w:r>
        <w:t xml:space="preserve"> </w:t>
      </w:r>
      <w:r>
        <w:t xml:space="preserve">list with experimental condition ranges is given in Table SI-1.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set composition by physico-chemical regime. Each study appears in exactly one regime. Yield rows are condition-level records reporting H_2 yield (\eta, % of the 1244 mL g^{-1} pure-Al theoretical); kinetic rows hold Arrhenius activation energies or rate measurements. The complete study-level source list with experimental condition ranges is given in Table SI-1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Regime (</w:t>
            </w:r>
            <w:r>
              <w:rPr>
                <w:rStyle w:val="VerbatimChar"/>
              </w:rPr>
              <w:t xml:space="preserve">system_class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Studies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Yield rows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Kinetic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al_alloy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mechanically_activated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liquid_metal_activated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76</w:t>
            </w:r>
          </w:p>
        </w:tc>
      </w:tr>
    </w:tbl>
    <w:bookmarkEnd w:id="25"/>
    <w:bookmarkEnd w:id="26"/>
    <w:bookmarkStart w:id="28" w:name="sec:qc"/>
    <w:p>
      <w:pPr>
        <w:pStyle w:val="Heading2"/>
      </w:pPr>
      <w:r>
        <w:t xml:space="preserve">Quality control</w:t>
      </w:r>
    </w:p>
    <w:p>
      <w:pPr>
        <w:pStyle w:val="FirstParagraph"/>
      </w:pPr>
      <w:r>
        <w:t xml:space="preserve">Quality control followed four procedures, summarised in Table </w:t>
      </w:r>
      <w:hyperlink w:anchor="tab:qc_summary">
        <w:r>
          <w:rPr>
            <w:rStyle w:val="Hyperlink"/>
          </w:rPr>
          <w:t xml:space="preserve">2</w:t>
        </w:r>
      </w:hyperlink>
      <w:r>
        <w:t xml:space="preserve">.</w:t>
      </w:r>
      <w:r>
        <w:t xml:space="preserve"> </w:t>
      </w:r>
      <w:r>
        <w:t xml:space="preserve">First, approximately 16 % of yield rows (52 rows from 5 studies) were re-extracted</w:t>
      </w:r>
      <w:r>
        <w:t xml:space="preserve"> </w:t>
      </w:r>
      <w:r>
        <w:t xml:space="preserve">independently using different source annotations; 52/52 rows reached exact numeric</w:t>
      </w:r>
      <w:r>
        <w:t xml:space="preserve"> </w:t>
      </w:r>
      <w:r>
        <w:t xml:space="preserve">agreement, confirming extraction fidelity. Second, a classification audit</w:t>
      </w:r>
      <w:r>
        <w:t xml:space="preserve"> </w:t>
      </w:r>
      <w:r>
        <w:t xml:space="preserve">re-derived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for all 31 studies directly from source materials and</w:t>
      </w:r>
      <w:r>
        <w:t xml:space="preserve"> </w:t>
      </w:r>
      <w:r>
        <w:t xml:space="preserve">methods: one error was found and corrected.</w:t>
      </w:r>
      <w:r>
        <w:t xml:space="preserve"> </w:t>
      </w:r>
      <w:r>
        <w:t xml:space="preserve"> </w:t>
      </w:r>
      <w:r>
        <w:t xml:space="preserve"> </w:t>
      </w:r>
      <w:r>
        <w:t xml:space="preserve">had been provisionally labelled</w:t>
      </w:r>
      <w:r>
        <w:t xml:space="preserve"> </w:t>
      </w:r>
      <w:r>
        <w:rPr>
          <w:rStyle w:val="VerbatimChar"/>
        </w:rPr>
        <w:t xml:space="preserve">mechanically_activated</w:t>
      </w:r>
      <w:r>
        <w:t xml:space="preserve"> </w:t>
      </w:r>
      <w:r>
        <w:t xml:space="preserve">but its activation mechanism is gallium–indium eutectic infiltration, placing it</w:t>
      </w:r>
      <w:r>
        <w:t xml:space="preserve"> </w:t>
      </w:r>
      <w:r>
        <w:t xml:space="preserve">unambiguously in</w:t>
      </w:r>
      <w:r>
        <w:t xml:space="preserve"> </w:t>
      </w:r>
      <w:r>
        <w:rPr>
          <w:rStyle w:val="VerbatimChar"/>
        </w:rPr>
        <w:t xml:space="preserve">liquid_metal_activated</w:t>
      </w:r>
      <w:r>
        <w:t xml:space="preserve">. No further label changes were</w:t>
      </w:r>
      <w:r>
        <w:t xml:space="preserve"> </w:t>
      </w:r>
      <w:r>
        <w:t xml:space="preserve">required. Third, five digitized kinetic curves were re-read by an independent pass</w:t>
      </w:r>
      <w:r>
        <w:t xml:space="preserve"> </w:t>
      </w:r>
      <w:r>
        <w:t xml:space="preserve">using a different screen resolution; mean point deviation was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1.5</m:t>
        </m:r>
        <m:r>
          <m:rPr>
            <m:sty m:val="p"/>
          </m:rPr>
          <m:t>%</m:t>
        </m:r>
      </m:oMath>
      <w:r>
        <w:t xml:space="preserve">, within</w:t>
      </w:r>
      <w:r>
        <w:t xml:space="preserve"> </w:t>
      </w:r>
      <w:r>
        <w:t xml:space="preserve">accepted digitization tolerance (</w:t>
      </w:r>
      <m:oMath>
        <m:r>
          <m:rPr>
            <m:sty m:val="p"/>
          </m:rPr>
          <m:t>&lt;</m:t>
        </m:r>
        <m:r>
          <m:t>​</m:t>
        </m:r>
        <m:r>
          <m:t>3</m:t>
        </m:r>
        <m:r>
          <m:rPr>
            <m:sty m:val="p"/>
          </m:rPr>
          <m:t>%</m:t>
        </m:r>
      </m:oMath>
      <w:r>
        <w:t xml:space="preserve">). Fourth, studies contributing to the kinetic</w:t>
      </w:r>
      <w:r>
        <w:t xml:space="preserve"> </w:t>
      </w:r>
      <w:r>
        <w:t xml:space="preserve">table were subjected to an Arrhenius quality gate: a linear fit of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rate</m:t>
        </m:r>
        <m:r>
          <m:rPr>
            <m:sty m:val="p"/>
          </m:rPr>
          <m:t>)</m:t>
        </m:r>
      </m:oMath>
      <w:r>
        <w:t xml:space="preserve"> </w:t>
      </w:r>
      <w:r>
        <w:t xml:space="preserve">vs. 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was required to achieve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​</m:t>
        </m:r>
        <m:r>
          <m:t>0.90</m:t>
        </m:r>
      </m:oMath>
      <w:r>
        <w:t xml:space="preserve"> </w:t>
      </w:r>
      <w:r>
        <w:t xml:space="preserve">on at least three distinct</w:t>
      </w:r>
      <w:r>
        <w:t xml:space="preserve"> </w:t>
      </w:r>
      <w:r>
        <w:t xml:space="preserve">temperature points. Seventeen studies passed; two were dropped.</w:t>
      </w:r>
      <w:r>
        <w:t xml:space="preserve"> </w:t>
      </w:r>
      <w:r>
        <w:t xml:space="preserve"> </w:t>
      </w:r>
      <w:r>
        <w:t xml:space="preserve"> </w:t>
      </w:r>
      <w:r>
        <w:t xml:space="preserve">gave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r>
          <m:t>0.846</m:t>
        </m:r>
      </m:oMath>
      <w:r>
        <w:t xml:space="preserve"> </w:t>
      </w:r>
      <w:r>
        <w:t xml:space="preserve">(one outlier point destabilised</w:t>
      </w:r>
      <w:r>
        <w:t xml:space="preserve"> </w:t>
      </w:r>
      <w:r>
        <w:t xml:space="preserve">the fit);</w:t>
      </w:r>
      <w:r>
        <w:t xml:space="preserve"> </w:t>
      </w:r>
      <w:r>
        <w:t xml:space="preserve"> </w:t>
      </w:r>
      <w:r>
        <w:t xml:space="preserve"> </w:t>
      </w:r>
      <w:r>
        <w:t xml:space="preserve">could not be fit reliably because the</w:t>
      </w:r>
      <w:r>
        <w:t xml:space="preserve"> </w:t>
      </w:r>
      <w:r>
        <w:t xml:space="preserve">lowest-temperature reaction was already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complete within ten seconds and</w:t>
      </w:r>
      <w:r>
        <w:t xml:space="preserve"> </w:t>
      </w:r>
      <w:r>
        <w:t xml:space="preserve">the additive loading was confounded with temperature across curves. Both retain their</w:t>
      </w:r>
      <w:r>
        <w:t xml:space="preserve"> </w:t>
      </w:r>
      <w:r>
        <w:t xml:space="preserve">yield rows in the primary dataset but contribute no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estimate.</w:t>
      </w:r>
    </w:p>
    <w:bookmarkStart w:id="27" w:name="tab:qc_summary"/>
    <w:p>
      <w:pPr>
        <w:pStyle w:val="TableCaption"/>
      </w:pPr>
      <w:r>
        <w:rPr>
          <w:b/>
          <w:bCs/>
        </w:rPr>
        <w:t xml:space="preserve">Quality-control procedures and outcomes.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y-control procedures and outcom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rows, 5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52/52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31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error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reclassified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Digitization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kinetic curves re-read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1.5% point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Arrhenius 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Studies with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​</m:t>
              </m:r>
              <m:r>
                <m:t>3</m:t>
              </m:r>
            </m:oMath>
            <w:r>
              <w:t xml:space="preserve"> </w:t>
            </w:r>
            <w:r>
              <w:t xml:space="preserve">T-point rate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passed (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≥</m:t>
              </m:r>
              <m:r>
                <m:t>​</m:t>
              </m:r>
              <m:r>
                <m:t>0.90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</w:t>
            </w:r>
            <w:r>
              <w:t xml:space="preserve"> </w:t>
            </w:r>
            <w:r>
              <w:t xml:space="preserve"> </w:t>
            </w:r>
            <w:r>
              <w:t xml:space="preserve">dropped</w:t>
            </w:r>
          </w:p>
        </w:tc>
      </w:tr>
    </w:tbl>
    <w:bookmarkEnd w:id="27"/>
    <w:bookmarkEnd w:id="28"/>
    <w:bookmarkStart w:id="29" w:name="leakage-controlled-evaluation"/>
    <w:p>
      <w:pPr>
        <w:pStyle w:val="Heading2"/>
      </w:pPr>
      <w:r>
        <w:t xml:space="preserve">Leakage-controlled evaluation</w:t>
      </w:r>
    </w:p>
    <w:p>
      <w:pPr>
        <w:pStyle w:val="FirstParagraph"/>
      </w:pPr>
      <w:r>
        <w:t xml:space="preserve">For each of six comparative regressors—ElasticNet,</w:t>
      </w:r>
      <w:r>
        <w:t xml:space="preserve"> </w:t>
      </w:r>
      <m:oMath>
        <m:r>
          <m:t>k</m:t>
        </m:r>
      </m:oMath>
      <w:r>
        <w:t xml:space="preserve">-nearest neighbours (</w:t>
      </w:r>
      <m:oMath>
        <m:r>
          <m:t>k</m:t>
        </m:r>
      </m:oMath>
      <w:r>
        <w:t xml:space="preserve">NN),</w:t>
      </w:r>
      <w:r>
        <w:t xml:space="preserve"> </w:t>
      </w:r>
      <w:r>
        <w:t xml:space="preserve">random forest (RF), XGBoost (XGB), LightGBM (LGBM), and Gaussian process (GP)—we</w:t>
      </w:r>
      <w:r>
        <w:t xml:space="preserve"> </w:t>
      </w:r>
      <w:r>
        <w:t xml:space="preserve">estimated the held-out coefficient of determination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two cross-validation</w:t>
      </w:r>
      <w:r>
        <w:t xml:space="preserve"> </w:t>
      </w:r>
      <w:r>
        <w:t xml:space="preserve">protocols. In the</w:t>
      </w:r>
      <w:r>
        <w:t xml:space="preserve"> </w:t>
      </w:r>
      <w:r>
        <w:rPr>
          <w:i/>
          <w:iCs/>
        </w:rPr>
        <w:t xml:space="preserve">random-split</w:t>
      </w:r>
      <w:r>
        <w:t xml:space="preserve"> </w:t>
      </w:r>
      <w:r>
        <w:t xml:space="preserve">protocol, records are assigned to folds</w:t>
      </w:r>
      <w:r>
        <w:t xml:space="preserve"> </w:t>
      </w:r>
      <w:r>
        <w:t xml:space="preserve">independently of their study origin, the standard approach in prior ML literature on</w:t>
      </w:r>
      <w:r>
        <w:t xml:space="preserve"> </w:t>
      </w:r>
      <w:r>
        <w:t xml:space="preserve">this domain. In the</w:t>
      </w:r>
      <w:r>
        <w:t xml:space="preserve"> </w:t>
      </w:r>
      <w:r>
        <w:rPr>
          <w:i/>
          <w:iCs/>
        </w:rPr>
        <w:t xml:space="preserve">study-grouped</w:t>
      </w:r>
      <w:r>
        <w:t xml:space="preserve"> </w:t>
      </w:r>
      <w:r>
        <w:t xml:space="preserve">protocol, all records from a given study are</w:t>
      </w:r>
      <w:r>
        <w:t xml:space="preserve"> </w:t>
      </w:r>
      <w:r>
        <w:t xml:space="preserve">withheld together, ensuring no study contributes to both training and test partitions.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optimism gap</w:t>
      </w:r>
      <w:r>
        <w:t xml:space="preserve">,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random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rPr>
                <m:nor/>
                <m:sty m:val="p"/>
              </m:rPr>
              <m:t>grouped</m:t>
            </m:r>
          </m:sub>
          <m:sup>
            <m:r>
              <m:t>2</m:t>
            </m:r>
          </m:sup>
        </m:sSubSup>
      </m:oMath>
      <w:r>
        <w:t xml:space="preserve">, measures how</w:t>
      </w:r>
      <w:r>
        <w:t xml:space="preserve"> </w:t>
      </w:r>
      <w:r>
        <w:t xml:space="preserve">much random splitting overstates cross-study generalization.</w:t>
      </w:r>
    </w:p>
    <w:p>
      <w:pPr>
        <w:pStyle w:val="BodyText"/>
      </w:pPr>
      <w:r>
        <w:t xml:space="preserve">Missing values are handled per model family. Tree-based models (RF, XGB, LGBM) exploit</w:t>
      </w:r>
      <w:r>
        <w:t xml:space="preserve"> </w:t>
      </w:r>
      <w:r>
        <w:t xml:space="preserve">their native missing-value pathways and require no imputation. Linear and kernel models</w:t>
      </w:r>
      <w:r>
        <w:t xml:space="preserve"> </w:t>
      </w:r>
      <w:r>
        <w:t xml:space="preserve">(ElasticNet, GP) receive median imputation and one-hot encoding for categorical</w:t>
      </w:r>
      <w:r>
        <w:t xml:space="preserve"> </w:t>
      </w:r>
      <w:r>
        <w:t xml:space="preserve">variables; imputation statistics are computed on the training fold only and applied to</w:t>
      </w:r>
      <w:r>
        <w:t xml:space="preserve"> </w:t>
      </w:r>
      <w:r>
        <w:t xml:space="preserve">the held-out fold to prevent leakage through imputation. Permutation importance and</w:t>
      </w:r>
      <w:r>
        <w:t xml:space="preserve"> </w:t>
      </w:r>
      <w:r>
        <w:t xml:space="preserve">SHAP values are estimated from in-sample RF fits and used descriptively.</w:t>
      </w:r>
    </w:p>
    <w:p>
      <w:pPr>
        <w:pStyle w:val="BodyText"/>
      </w:pPr>
      <w:r>
        <w:t xml:space="preserve">A negative-control robustness check (TEST 1) substitutes the study-grouped</w:t>
      </w:r>
      <w:r>
        <w:t xml:space="preserve"> </w:t>
      </w:r>
      <w:r>
        <w:t xml:space="preserve">macro-average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a row-weighted LOSO (leave-one-study-out)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confirm</w:t>
      </w:r>
      <w:r>
        <w:t xml:space="preserve"> </w:t>
      </w:r>
      <w:r>
        <w:t xml:space="preserve">that the performance collapse is not an artifact of the aggregation rule.</w:t>
      </w:r>
    </w:p>
    <w:bookmarkEnd w:id="29"/>
    <w:bookmarkStart w:id="30" w:name="sec:variance_decomp"/>
    <w:p>
      <w:pPr>
        <w:pStyle w:val="Heading2"/>
      </w:pPr>
      <w:r>
        <w:t xml:space="preserve">Between-study variance decomposition and mixed-effects regression</w:t>
      </w:r>
    </w:p>
    <w:p>
      <w:pPr>
        <w:pStyle w:val="FirstParagraph"/>
      </w:pPr>
      <w:r>
        <w:t xml:space="preserve">To identify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drives between-study disagreement, we aggregate to the study</w:t>
      </w:r>
      <w:r>
        <w:t xml:space="preserve"> </w:t>
      </w:r>
      <w:r>
        <w:t xml:space="preserve">level (one row per study: mean yield and modal covariate values for that study) and</w:t>
      </w:r>
      <w:r>
        <w:t xml:space="preserve"> </w:t>
      </w:r>
      <w:r>
        <w:t xml:space="preserve">decompose the total between-study variance of mean yield. For a categorical predictor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the variance share 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residual sum of squares after fitting</w:t>
      </w:r>
      <w:r>
        <w:t xml:space="preserve"> </w:t>
      </w:r>
      <w:r>
        <w:t xml:space="preserve">group means of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 </w:t>
      </w:r>
      <w:r>
        <w:t xml:space="preserve">is the total sum of squares of</w:t>
      </w:r>
      <w:r>
        <w:t xml:space="preserve"> </w:t>
      </w:r>
      <w:r>
        <w:t xml:space="preserve">between-study mean yield (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31</m:t>
        </m:r>
      </m:oMath>
      <w:r>
        <w:t xml:space="preserve"> </w:t>
      </w:r>
      <w:r>
        <w:t xml:space="preserve">studies). We compare the physical-regime 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system_class</w:t>
      </w:r>
      <w:r>
        <w:t xml:space="preserve">) against five methodological covariates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temperature_control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measurement_method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vessel_type</w:t>
      </w:r>
      <w:r>
        <w:t xml:space="preserve">), individually and jointly.</w:t>
      </w:r>
      <w:r>
        <w:t xml:space="preserve"> </w:t>
      </w:r>
      <w:r>
        <w:t xml:space="preserve">All headline</w:t>
      </w:r>
      <w:r>
        <w:t xml:space="preserve"> </w:t>
      </w:r>
      <m:oMath>
        <m:sSubSup>
          <m:e>
            <m:r>
              <m:t>R</m:t>
            </m:r>
          </m:e>
          <m:sub>
            <m:r>
              <m:t>C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values carry cluster-bootstrap confidence intervals (</w:t>
      </w:r>
      <m:oMath>
        <m:r>
          <m:t>B</m:t>
        </m:r>
        <m:r>
          <m:t>​</m:t>
        </m:r>
        <m:r>
          <m:rPr>
            <m:sty m:val="p"/>
          </m:rPr>
          <m:t>=</m:t>
        </m:r>
        <m:r>
          <m:t>​</m:t>
        </m:r>
        <m:r>
          <m:t>1000</m:t>
        </m:r>
      </m:oMath>
      <w:r>
        <w:t xml:space="preserve">,</w:t>
      </w:r>
      <w:r>
        <w:t xml:space="preserve"> </w:t>
      </w:r>
      <w:r>
        <w:t xml:space="preserve">resampling complete studies with replacement). Incremental comparisons and cross-tabulations</w:t>
      </w:r>
      <w:r>
        <w:t xml:space="preserve"> </w:t>
      </w:r>
      <w:r>
        <w:t xml:space="preserve">use Holm correction throughout.</w:t>
      </w:r>
    </w:p>
    <w:p>
      <w:pPr>
        <w:pStyle w:val="BodyText"/>
      </w:pPr>
      <w:r>
        <w:t xml:space="preserve">Complementing the variance decomposition, we fit a mixed-effects meta-regression</w:t>
      </w:r>
      <w:r>
        <w:t xml:space="preserve"> </w:t>
      </w:r>
      <w:r>
        <w:t xml:space="preserve">(statsmodels</w:t>
      </w:r>
      <w:r>
        <w:t xml:space="preserve"> </w:t>
      </w:r>
      <w:r>
        <w:rPr>
          <w:rStyle w:val="VerbatimChar"/>
        </w:rPr>
        <w:t xml:space="preserve">MixedLM</w:t>
      </w:r>
      <w:r>
        <w:t xml:space="preserve">, REML) with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and standardised</w:t>
      </w:r>
      <w:r>
        <w:t xml:space="preserve"> </w:t>
      </w:r>
      <w:r>
        <w:t xml:space="preserve">physical covariates as fixed effects, and a random intercept per</w:t>
      </w:r>
      <w:r>
        <w:t xml:space="preserve"> </w:t>
      </w:r>
      <w:r>
        <w:rPr>
          <w:rStyle w:val="VerbatimChar"/>
        </w:rPr>
        <w:t xml:space="preserve">study_id</w:t>
      </w:r>
      <w:r>
        <w:t xml:space="preserve">.</w:t>
      </w:r>
      <w:r>
        <w:t xml:space="preserve"> </w:t>
      </w:r>
      <w:r>
        <w:t xml:space="preserve">The mixed-effects model operates on row-level yield data (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299</m:t>
        </m:r>
      </m:oMath>
      <w:r>
        <w:t xml:space="preserve"> </w:t>
      </w:r>
      <w:r>
        <w:t xml:space="preserve">rows from</w:t>
      </w:r>
      <w:r>
        <w:t xml:space="preserve"> </w:t>
      </w:r>
      <m:oMath>
        <m:r>
          <m:t>27</m:t>
        </m:r>
      </m:oMath>
      <w:r>
        <w:t xml:space="preserve"> studies; rows with missing temperature excluded). This directly tests hypothesis</w:t>
      </w:r>
      <w:r>
        <w:t xml:space="preserve"> </w:t>
      </w:r>
      <w:r>
        <w:t xml:space="preserve">H2: that the physico-chemical regime label moderates hydrogen yield after accounting</w:t>
      </w:r>
      <w:r>
        <w:t xml:space="preserve"> </w:t>
      </w:r>
      <w:r>
        <w:t xml:space="preserve">for unobserved between-study heterogeneity. Fixed-effect significance uses Wald tests;</w:t>
      </w:r>
      <w:r>
        <w:t xml:space="preserve"> </w:t>
      </w:r>
      <w:r>
        <w:t xml:space="preserve">all parameter</w:t>
      </w:r>
      <m:oMath>
        <m:r>
          <m:rPr>
            <m:sty m:val="p"/>
          </m:rPr>
          <m:t>×</m:t>
        </m:r>
      </m:oMath>
      <w:r>
        <w:rPr>
          <w:rStyle w:val="VerbatimChar"/>
        </w:rPr>
        <w:t xml:space="preserve">system_class</w:t>
      </w:r>
      <w:r>
        <w:t xml:space="preserve"> </w:t>
      </w:r>
      <w:r>
        <w:t xml:space="preserve">interactions use Holm correction. The</w:t>
      </w:r>
      <w:r>
        <w:t xml:space="preserve"> </w:t>
      </w:r>
      <w:r>
        <w:t xml:space="preserve">Arrhenius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analysis (H3) applies the same cluster-bootstrap framework to</w:t>
      </w:r>
      <w:r>
        <w:t xml:space="preserve"> </w:t>
      </w:r>
      <w:r>
        <w:t xml:space="preserve">the 17-study kinetic subsample.</w:t>
      </w:r>
    </w:p>
    <w:bookmarkEnd w:id="30"/>
    <w:bookmarkStart w:id="31" w:name="discipline"/>
    <w:p>
      <w:pPr>
        <w:pStyle w:val="Heading2"/>
      </w:pPr>
      <w:r>
        <w:t xml:space="preserve">Discipline</w:t>
      </w:r>
    </w:p>
    <w:p>
      <w:pPr>
        <w:pStyle w:val="FirstParagraph"/>
      </w:pPr>
      <w:r>
        <w:t xml:space="preserve">Hypotheses and success thresholds were pre-specified and frozen before computation</w:t>
      </w:r>
      <w:r>
        <w:t xml:space="preserve"> </w:t>
      </w:r>
      <w:r>
        <w:t xml:space="preserve">(protocol in</w:t>
      </w:r>
      <w:r>
        <w:t xml:space="preserve"> </w:t>
      </w:r>
      <w:r>
        <w:rPr>
          <w:rStyle w:val="VerbatimChar"/>
        </w:rPr>
        <w:t xml:space="preserve">plan/analysis-protocol.md</w:t>
      </w:r>
      <w:r>
        <w:t xml:space="preserve">, versioned in the companion data release). Language on</w:t>
      </w:r>
      <w:r>
        <w:t xml:space="preserve"> </w:t>
      </w:r>
      <w:r>
        <w:t xml:space="preserve">observational findings is associational, not causal. Null results are reported as</w:t>
      </w:r>
      <w:r>
        <w:t xml:space="preserve"> </w:t>
      </w:r>
      <w:r>
        <w:t xml:space="preserve">“no</w:t>
      </w:r>
      <w:r>
        <w:t xml:space="preserve"> </w:t>
      </w:r>
      <w:r>
        <w:t xml:space="preserve">detectable effect at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31</m:t>
        </m:r>
      </m:oMath>
      <w:r>
        <w:t xml:space="preserve"> </w:t>
      </w:r>
      <w:r>
        <w:t xml:space="preserve">studies /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9</m:t>
        </m:r>
      </m:oMath>
      <w:r>
        <w:t xml:space="preserve"> </w:t>
      </w:r>
      <w:r>
        <w:t xml:space="preserve">per regime.”</w:t>
      </w:r>
      <w:r>
        <w:t xml:space="preserve"> </w:t>
      </w:r>
      <w:r>
        <w:t xml:space="preserve">SHAP values and</w:t>
      </w:r>
      <w:r>
        <w:t xml:space="preserve"> </w:t>
      </w:r>
      <w:r>
        <w:t xml:space="preserve">permutation importances are used descriptively to characterize which features the models</w:t>
      </w:r>
      <w:r>
        <w:t xml:space="preserve"> </w:t>
      </w:r>
      <w:r>
        <w:t xml:space="preserve">draw on; they are not interpreted as evidence of physical causation. All quantities in</w:t>
      </w:r>
      <w:r>
        <w:t xml:space="preserve"> </w:t>
      </w:r>
      <w:r>
        <w:t xml:space="preserve">this paper trace to a committed analysis artifact, and the full pipeline is released</w:t>
      </w:r>
      <w:r>
        <w:t xml:space="preserve"> </w:t>
      </w:r>
      <w:r>
        <w:t xml:space="preserve">with the dataset.</w:t>
      </w:r>
    </w:p>
    <w:bookmarkEnd w:id="31"/>
    <w:bookmarkEnd w:id="32"/>
    <w:bookmarkStart w:id="63" w:name="results"/>
    <w:p>
      <w:pPr>
        <w:pStyle w:val="Heading1"/>
      </w:pPr>
      <w:r>
        <w:t xml:space="preserve">Results</w:t>
      </w:r>
    </w:p>
    <w:bookmarkStart w:id="33" w:name="sec:test1"/>
    <w:p>
      <w:pPr>
        <w:pStyle w:val="Heading2"/>
      </w:pPr>
      <w:r>
        <w:t xml:space="preserve">TEST 1 negative control: the cross-study signal is not a genuine</w:t>
      </w:r>
      <w:r>
        <w:t xml:space="preserve"> </w:t>
      </w:r>
      <w:r>
        <w:t xml:space="preserve">replication signal</w:t>
      </w:r>
    </w:p>
    <w:p>
      <w:pPr>
        <w:pStyle w:val="FirstParagraph"/>
      </w:pPr>
      <w:r>
        <w:t xml:space="preserve">Before reporting the primary results, we establish that the apparent within-regime</w:t>
      </w:r>
      <w:r>
        <w:t xml:space="preserve"> </w:t>
      </w:r>
      <w:r>
        <w:t xml:space="preserve">cross-study signal is not genuine. Within the largest regime (</w:t>
      </w:r>
      <w:r>
        <w:rPr>
          <w:rStyle w:val="VerbatimChar"/>
        </w:rPr>
        <w:t xml:space="preserve">pure_al_alkali</w:t>
      </w:r>
      <w:r>
        <w:t xml:space="preserve">,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162</m:t>
        </m:r>
      </m:oMath>
      <w:r>
        <w:t xml:space="preserve">, 9 studies), a rows-weighted LOSO skill of</w:t>
      </w:r>
      <w:r>
        <w:t xml:space="preserve"> </w:t>
      </w:r>
      <m:oMath>
        <m:r>
          <m:rPr>
            <m:sty m:val="p"/>
          </m:rPr>
          <m:t>+</m:t>
        </m:r>
        <m:r>
          <m:t>0.825</m:t>
        </m:r>
      </m:oMath>
      <w:r>
        <w:t xml:space="preserve"> </w:t>
      </w:r>
      <w:r>
        <w:t xml:space="preserve">looks impressive.</w:t>
      </w:r>
      <w:r>
        <w:t xml:space="preserve"> </w:t>
      </w:r>
      <w:r>
        <w:t xml:space="preserve">However, one study—</w:t>
      </w:r>
      <w:r>
        <w:t xml:space="preserve"> </w:t>
      </w:r>
      <w:r>
        <w:t xml:space="preserve">—contributes</w:t>
      </w:r>
      <w:r>
        <w:t xml:space="preserve"> </w:t>
      </w:r>
      <w:r>
        <w:t xml:space="preserve">120 of 162 rows (74%) and achieves LOSO skill</w:t>
      </w:r>
      <w:r>
        <w:t xml:space="preserve"> </w:t>
      </w:r>
      <m:oMath>
        <m:r>
          <m:rPr>
            <m:sty m:val="p"/>
          </m:rPr>
          <m:t>+</m:t>
        </m:r>
        <m:r>
          <m:t>0.926</m:t>
        </m:r>
      </m:oMath>
      <w:r>
        <w:t xml:space="preserve">; when skill is averaged uniformly</w:t>
      </w:r>
      <w:r>
        <w:t xml:space="preserve"> </w:t>
      </w:r>
      <w:r>
        <w:t xml:space="preserve">over studies (study-macro LOSO) rather than over rows, it falls to</w:t>
      </w:r>
      <w:r>
        <w:t xml:space="preserve"> </w:t>
      </w:r>
      <m:oMath>
        <m:r>
          <m:rPr>
            <m:sty m:val="p"/>
          </m:rPr>
          <m:t>−</m:t>
        </m:r>
        <m:r>
          <m:t>0.311</m:t>
        </m:r>
      </m:oMath>
      <w:r>
        <w:t xml:space="preserve">. MAE doubles</w:t>
      </w:r>
      <w:r>
        <w:t xml:space="preserve"> </w:t>
      </w:r>
      <w:r>
        <w:t xml:space="preserve">from</w:t>
      </w:r>
      <w:r>
        <w:t xml:space="preserve"> </w:t>
      </w:r>
      <m:oMath>
        <m:r>
          <m:t>9.3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17.2</m:t>
        </m:r>
      </m:oMath>
      <w:r>
        <w:t xml:space="preserve"> % yield on removing that study from the training pool.</w:t>
      </w:r>
      <w:r>
        <w:t xml:space="preserve"> </w:t>
      </w:r>
      <w:r>
        <w:t xml:space="preserve">Of the nine studies, 5/9 beat the class mean when tested individually; the four failing</w:t>
      </w:r>
      <w:r>
        <w:t xml:space="preserve"> </w:t>
      </w:r>
      <w:r>
        <w:t xml:space="preserve">studies miss badly (skill</w:t>
      </w:r>
      <w:r>
        <w:t xml:space="preserve"> </w:t>
      </w:r>
      <m:oMath>
        <m:r>
          <m:rPr>
            <m:sty m:val="p"/>
          </m:rPr>
          <m:t>−</m:t>
        </m:r>
        <m:r>
          <m:t>0.10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3.3</m:t>
        </m:r>
      </m:oMath>
      <w:r>
        <w:t xml:space="preserve">). The row-weighted and study-macro metrics</w:t>
      </w:r>
      <w:r>
        <w:t xml:space="preserve"> </w:t>
      </w:r>
      <w:r>
        <w:t xml:space="preserve">diverge by</w:t>
      </w:r>
      <w:r>
        <w:t xml:space="preserve"> </w:t>
      </w:r>
      <m:oMath>
        <m:r>
          <m:t>1.14</m:t>
        </m:r>
      </m:oMath>
      <w:r>
        <w:t xml:space="preserve">—the headline score is porciuncula-weighted, not a replication signal.</w:t>
      </w:r>
      <w:r>
        <w:t xml:space="preserve"> </w:t>
      </w:r>
      <w:r>
        <w:t xml:space="preserve">A row-weighted metric should therefore not be used to claim cross-study performance on</w:t>
      </w:r>
      <w:r>
        <w:t xml:space="preserve"> </w:t>
      </w:r>
      <w:r>
        <w:t xml:space="preserve">this corpus.</w:t>
      </w:r>
    </w:p>
    <w:bookmarkEnd w:id="33"/>
    <w:bookmarkStart w:id="35" w:name="X108cd0756bab8fa94b8b42039af10a2bbbf31ed"/>
    <w:p>
      <w:pPr>
        <w:pStyle w:val="Heading2"/>
      </w:pPr>
      <w:r>
        <w:t xml:space="preserve">The literature does not pool: a large and robust optimism gap</w:t>
      </w:r>
    </w:p>
    <w:p>
      <w:pPr>
        <w:pStyle w:val="FirstParagraph"/>
      </w:pPr>
      <w:r>
        <w:t xml:space="preserve">Table </w:t>
      </w:r>
      <w:hyperlink w:anchor="tab:cv_summar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full per-model cross-validation results. Under</w:t>
      </w:r>
      <w:r>
        <w:t xml:space="preserve"> </w:t>
      </w:r>
      <w:r>
        <w:t xml:space="preserve">random</w:t>
      </w:r>
      <w:r>
        <w:t xml:space="preserve"> </w:t>
      </w:r>
      <m:oMath>
        <m:r>
          <m:t>k</m:t>
        </m:r>
      </m:oMath>
      <w:r>
        <w:t xml:space="preserve">-fold splits, tree models reach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0.55</m:t>
        </m:r>
      </m:oMath>
      <w:r>
        <w:t xml:space="preserve">–</w:t>
      </w:r>
      <m:oMath>
        <m:r>
          <m:t>0.57</m:t>
        </m:r>
      </m:oMath>
      <w:r>
        <w:t xml:space="preserve"> </w:t>
      </w:r>
      <w:r>
        <w:t xml:space="preserve">(random forest</w:t>
      </w:r>
      <w:r>
        <w:t xml:space="preserve"> </w:t>
      </w:r>
      <m:oMath>
        <m:r>
          <m:t>0.564</m:t>
        </m:r>
      </m:oMath>
      <w:r>
        <w:t xml:space="preserve">, LightGBM</w:t>
      </w:r>
      <w:r>
        <w:t xml:space="preserve"> </w:t>
      </w:r>
      <m:oMath>
        <m:r>
          <m:t>0.572</m:t>
        </m:r>
      </m:oMath>
      <w:r>
        <w:t xml:space="preserve">, XGBoost</w:t>
      </w:r>
      <w:r>
        <w:t xml:space="preserve"> </w:t>
      </w:r>
      <m:oMath>
        <m:r>
          <m:t>0.545</m:t>
        </m:r>
      </m:oMath>
      <w:r>
        <w:t xml:space="preserve">). Under study-grouped cross-validation the</w:t>
      </w:r>
      <w:r>
        <w:t xml:space="preserve"> </w:t>
      </w:r>
      <w:r>
        <w:t xml:space="preserve">same models collapse to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&lt;</m:t>
        </m:r>
        <m:r>
          <m:t>​</m:t>
        </m:r>
        <m:r>
          <m:t>0</m:t>
        </m:r>
      </m:oMath>
      <w:r>
        <w:t xml:space="preserve">—all six regressors perform worse than predicting</w:t>
      </w:r>
      <w:r>
        <w:t xml:space="preserve"> </w:t>
      </w:r>
      <w:r>
        <w:t xml:space="preserve">the global mean—for optimism gaps of</w:t>
      </w:r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 </w:t>
      </w:r>
      <w:r>
        <w:t xml:space="preserve">(tree models) and up to</w:t>
      </w:r>
      <w:r>
        <w:t xml:space="preserve"> </w:t>
      </w:r>
      <m:oMath>
        <m:r>
          <m:t>6.27</m:t>
        </m:r>
      </m:oMath>
      <w:r>
        <w:t xml:space="preserve"> </w:t>
      </w:r>
      <w:r>
        <w:t xml:space="preserve">(ElasticNet). The gap persists after removing</w:t>
      </w:r>
      <w:r>
        <w:t xml:space="preserve"> </w:t>
      </w:r>
      <w:r>
        <w:t xml:space="preserve">: RF gap</w:t>
      </w:r>
      <w:r>
        <w:t xml:space="preserve"> </w:t>
      </w:r>
      <m:oMath>
        <m:r>
          <m:t>0.622</m:t>
        </m:r>
        <m:r>
          <m:rPr>
            <m:sty m:val="p"/>
          </m:rPr>
          <m:t>→</m:t>
        </m:r>
        <m:r>
          <m:t>0.484</m:t>
        </m:r>
      </m:oMath>
      <w:r>
        <w:t xml:space="preserve">, LGBM</w:t>
      </w:r>
      <w:r>
        <w:t xml:space="preserve"> </w:t>
      </w:r>
      <m:oMath>
        <m:r>
          <m:t>0.828</m:t>
        </m:r>
        <m:r>
          <m:rPr>
            <m:sty m:val="p"/>
          </m:rPr>
          <m:t>→</m:t>
        </m:r>
        <m:r>
          <m:t>0.730</m:t>
        </m:r>
      </m:oMath>
      <w:r>
        <w:t xml:space="preserve">, XGB</w:t>
      </w:r>
      <w:r>
        <w:t xml:space="preserve"> </w:t>
      </w:r>
      <m:oMath>
        <m:r>
          <m:t>0.845</m:t>
        </m:r>
        <m:r>
          <m:rPr>
            <m:sty m:val="p"/>
          </m:rPr>
          <m:t>→</m:t>
        </m:r>
        <m:r>
          <m:t>0.632</m:t>
        </m:r>
      </m:oMath>
      <w:r>
        <w:t xml:space="preserve">, confirming it is not driven</w:t>
      </w:r>
      <w:r>
        <w:t xml:space="preserve"> </w:t>
      </w:r>
      <w:r>
        <w:t xml:space="preserve">by one dominant study (Fig. </w:t>
      </w:r>
      <w:hyperlink w:anchor="fig:gap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34" w:name="tab:cv_summary"/>
    <w:p>
      <w:pPr>
        <w:pStyle w:val="TableCaption"/>
      </w:pPr>
      <w:r>
        <w:rPr>
          <w:b/>
          <w:bCs/>
        </w:rPr>
        <w:t xml:space="preserve">Leakage-controlled cross-validation results for all six regressors.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rand</m:t>
            </m:r>
          </m:sub>
          <m:sup>
            <m:r>
              <m:t>2</m:t>
            </m:r>
          </m:sup>
        </m:sSubSup>
      </m:oMath>
      <w:r>
        <w:t xml:space="preserve">: random-split;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grp</m:t>
            </m:r>
          </m:sub>
          <m:sup>
            <m:r>
              <m:t>2</m:t>
            </m:r>
          </m:sup>
        </m:sSubSup>
      </m:oMath>
      <w:r>
        <w:t xml:space="preserve">: study-grouped;</w:t>
      </w:r>
      <w:r>
        <w:t xml:space="preserve"> </w:t>
      </w:r>
      <w:r>
        <w:t xml:space="preserve">Gap </w:t>
      </w:r>
      <m:oMath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rPr>
                <m:nor/>
                <m:sty m:val="p"/>
              </m:rPr>
              <m:t>rand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rPr>
                <m:nor/>
                <m:sty m:val="p"/>
              </m:rPr>
              <m:t>grp</m:t>
            </m:r>
          </m:sub>
          <m:sup>
            <m:r>
              <m:t>2</m:t>
            </m:r>
          </m:sup>
        </m:sSubSup>
      </m:oMath>
      <w:r>
        <w:t xml:space="preserve">;</w:t>
      </w:r>
      <w:r>
        <w:t xml:space="preserve"> </w:t>
      </w:r>
      <w:r>
        <w:t xml:space="preserve">RMSE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grp</m:t>
            </m:r>
          </m:sub>
        </m:sSub>
      </m:oMath>
      <w:r>
        <w:t xml:space="preserve">: study-grouped RMSE in % yield.</w:t>
      </w:r>
      <w:r>
        <w:t xml:space="preserve"> </w:t>
      </w:r>
      <w:r>
        <w:t xml:space="preserve">Porc-out columns show the grouped results after removing</w:t>
      </w:r>
      <w:r>
        <w:t xml:space="preserve"> 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eakage-controlled cross-validation results for all six regressors. R^2_{\text{rand}}: random-split; R^2_{\text{grp}}: study-grouped; Gap = R^2_{\text{rand}} - R^2_{\text{grp}}; RMSE_{\text{grp}}: study-grouped RMSE in % yield. Porc-out columns show the grouped results after removing 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rand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grp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nor/>
                      <m:sty m:val="p"/>
                    </m:rPr>
                    <m:t>grp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grp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(porc-out)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Gap (porc-out)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Gaussian 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1.487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6.081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34"/>
    <w:bookmarkEnd w:id="35"/>
    <w:bookmarkStart w:id="36" w:name="Xc7f41d189191773e4c1220d601865a3a41c24a0"/>
    <w:p>
      <w:pPr>
        <w:pStyle w:val="Heading2"/>
      </w:pPr>
      <w:r>
        <w:t xml:space="preserve">Methodology, not physical regime, explains the between-study variance</w:t>
      </w:r>
    </w:p>
    <w:p>
      <w:pPr>
        <w:pStyle w:val="FirstParagraph"/>
      </w:pPr>
      <w:r>
        <w:t xml:space="preserve">At the study level,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total yield variance lies between studies</w:t>
      </w:r>
      <w:r>
        <w:t xml:space="preserve"> </w:t>
      </w:r>
      <w:r>
        <w:t xml:space="preserve">(</w:t>
      </w:r>
      <m:oMath>
        <m:sSubSup>
          <m:e>
            <m:r>
              <m:t>η</m:t>
            </m:r>
          </m:e>
          <m:sub>
            <m:r>
              <m:rPr>
                <m:nor/>
                <m:sty m:val="p"/>
              </m:rPr>
              <m:t>study</m:t>
            </m:r>
          </m:sub>
          <m:sup>
            <m:r>
              <m:t>2</m:t>
            </m:r>
          </m:sup>
        </m:sSubSup>
        <m:r>
          <m:t>​</m:t>
        </m:r>
        <m:r>
          <m:rPr>
            <m:sty m:val="p"/>
          </m:rPr>
          <m:t>=</m:t>
        </m:r>
        <m:r>
          <m:t>​</m:t>
        </m:r>
        <m:r>
          <m:t>0.496</m:t>
        </m:r>
      </m:oMath>
      <w:r>
        <w:t xml:space="preserve">; this is a robust one-way decomposition, as the</w:t>
      </w:r>
      <w:r>
        <w:t xml:space="preserve"> </w:t>
      </w:r>
      <w:r>
        <w:t xml:space="preserve">null-model random-intercept in the mixed-effects fit collapsed to the boundary). The</w:t>
      </w:r>
      <w:r>
        <w:t xml:space="preserve"> </w:t>
      </w:r>
      <w:r>
        <w:t xml:space="preserve">physico-chemical regime label explains almost none of it: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cr m:val="monospace"/>
                <m:sty m:val="p"/>
              </m:rPr>
              <m:t>system_class</m:t>
            </m:r>
          </m:sub>
          <m:sup>
            <m:r>
              <m:t>2</m:t>
            </m:r>
          </m:sup>
        </m:sSubSup>
        <m:r>
          <m:t>​</m:t>
        </m:r>
        <m:r>
          <m:rPr>
            <m:sty m:val="p"/>
          </m:rPr>
          <m:t>=</m:t>
        </m:r>
        <m:r>
          <m:t>​</m:t>
        </m:r>
        <m:r>
          <m:t>0.018</m:t>
        </m:r>
      </m:oMath>
      <w:r>
        <w:t xml:space="preserve"> </w:t>
      </w:r>
      <w:r>
        <w:t xml:space="preserve">(cluster-bootstrap 95 % CI</w:t>
      </w:r>
      <w:r>
        <w:t xml:space="preserve"> </w:t>
      </w:r>
      <m:oMath>
        <m:r>
          <m:rPr>
            <m:sty m:val="p"/>
          </m:rPr>
          <m:t>[</m:t>
        </m:r>
        <m:r>
          <m:t>0.015</m:t>
        </m:r>
        <m:r>
          <m:rPr>
            <m:sty m:val="p"/>
          </m:rPr>
          <m:t>,</m:t>
        </m:r>
        <m:r>
          <m:t> </m:t>
        </m:r>
        <m:r>
          <m:t>0.373</m:t>
        </m:r>
        <m:r>
          <m:rPr>
            <m:sty m:val="p"/>
          </m:rPr>
          <m:t>]</m:t>
        </m:r>
      </m:oMath>
      <w:r>
        <w:t xml:space="preserve">).</w:t>
      </w:r>
      <w:r>
        <w:t xml:space="preserve"> </w:t>
      </w:r>
      <w:r>
        <w:t xml:space="preserve">Methodological covariates jointly explain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r>
          <m:t>0.553</m:t>
        </m:r>
      </m:oMath>
      <w:r>
        <w:t xml:space="preserve"> </w:t>
      </w:r>
      <w:r>
        <w:t xml:space="preserve">(CI</w:t>
      </w:r>
      <w:r>
        <w:t xml:space="preserve"> </w:t>
      </w:r>
      <m:oMath>
        <m:r>
          <m:rPr>
            <m:sty m:val="p"/>
          </m:rPr>
          <m:t>[</m:t>
        </m:r>
        <m:r>
          <m:t>0.361</m:t>
        </m:r>
        <m:r>
          <m:rPr>
            <m:sty m:val="p"/>
          </m:rPr>
          <m:t>,</m:t>
        </m:r>
        <m:r>
          <m:t> </m:t>
        </m:r>
        <m:r>
          <m:t>0.999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27</m:t>
        </m:r>
        <m:r>
          <m:rPr>
            <m:sty m:val="p"/>
          </m:rPr>
          <m:t>×</m:t>
        </m:r>
      </m:oMath>
      <w:r>
        <w:t xml:space="preserve"> </w:t>
      </w:r>
      <w:r>
        <w:t xml:space="preserve">more (Fig. </w:t>
      </w:r>
      <w:hyperlink w:anchor="fig:variance">
        <w:r>
          <w:rPr>
            <w:rStyle w:val="Hyperlink"/>
          </w:rPr>
          <w:t xml:space="preserve">3</w:t>
        </w:r>
      </w:hyperlink>
      <w:r>
        <w:t xml:space="preserve">). The single largest source is the</w:t>
      </w:r>
      <w:r>
        <w:t xml:space="preserve"> </w:t>
      </w:r>
      <w:r>
        <w:rPr>
          <w:i/>
          <w:iCs/>
        </w:rPr>
        <w:t xml:space="preserve">temperature-control method</w:t>
      </w:r>
      <w:r>
        <w:t xml:space="preserve">: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cr m:val="monospace"/>
                <m:sty m:val="p"/>
              </m:rPr>
              <m:t>temperature_control</m:t>
            </m:r>
          </m:sub>
          <m:sup>
            <m:r>
              <m:t>2</m:t>
            </m:r>
          </m:sup>
        </m:sSubSup>
        <m:r>
          <m:t>​</m:t>
        </m:r>
        <m:r>
          <m:rPr>
            <m:sty m:val="p"/>
          </m:rPr>
          <m:t>=</m:t>
        </m:r>
        <m:r>
          <m:t>​</m:t>
        </m:r>
        <m:r>
          <m:t>0.332</m:t>
        </m:r>
      </m:oMath>
      <w:r>
        <w:t xml:space="preserve"> </w:t>
      </w:r>
      <w:r>
        <w:t xml:space="preserve">(CI</w:t>
      </w:r>
      <w:r>
        <w:t xml:space="preserve"> </w:t>
      </w:r>
      <m:oMath>
        <m:r>
          <m:rPr>
            <m:sty m:val="p"/>
          </m:rPr>
          <m:t>[</m:t>
        </m:r>
        <m:r>
          <m:t>0.030</m:t>
        </m:r>
        <m:r>
          <m:rPr>
            <m:sty m:val="p"/>
          </m:rPr>
          <m:t>,</m:t>
        </m:r>
        <m:r>
          <m:t> </m:t>
        </m:r>
        <m:r>
          <m:t>0.676</m:t>
        </m:r>
        <m:r>
          <m:rPr>
            <m:sty m:val="p"/>
          </m:rPr>
          <m:t>]</m:t>
        </m:r>
      </m:oMath>
      <w:r>
        <w:t xml:space="preserve">); studies using a self-heating protocol report higher mean yields</w:t>
      </w:r>
      <w:r>
        <w:t xml:space="preserve"> </w:t>
      </w:r>
      <w:r>
        <w:t xml:space="preserve">(</w:t>
      </w:r>
      <m:oMath>
        <m:r>
          <m:t>86</m:t>
        </m:r>
        <m:r>
          <m:rPr>
            <m:sty m:val="p"/>
          </m:rPr>
          <m:t>%</m:t>
        </m:r>
      </m:oMath>
      <w:r>
        <w:t xml:space="preserve">) than isothermal-bath studies (</w:t>
      </w:r>
      <m:oMath>
        <m:r>
          <m:t>75</m:t>
        </m:r>
        <m:r>
          <m:rPr>
            <m:sty m:val="p"/>
          </m:rPr>
          <m:t>%</m:t>
        </m:r>
      </m:oMath>
      <w:r>
        <w:t xml:space="preserve">), and uncontrolled studies far lower</w:t>
      </w:r>
      <w:r>
        <w:t xml:space="preserve"> </w:t>
      </w:r>
      <w:r>
        <w:t xml:space="preserve">(</w:t>
      </w:r>
      <m:oMath>
        <m:r>
          <m:t>32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t xml:space="preserve">This signal is not a relabeling of study identity or physical regime. Each</w:t>
      </w:r>
      <w:r>
        <w:t xml:space="preserve"> </w:t>
      </w:r>
      <w:r>
        <w:t xml:space="preserve">temperature-control level is shared by many studies (</w:t>
      </w:r>
      <m:oMath>
        <m:r>
          <m:t>22</m:t>
        </m:r>
        <m:r>
          <m:t> </m:t>
        </m:r>
        <m:r>
          <m:rPr>
            <m:sty m:val="p"/>
          </m:rPr>
          <m:t>/</m:t>
        </m:r>
        <m:r>
          <m:t> </m:t>
        </m:r>
        <m:r>
          <m:t>7</m:t>
        </m:r>
        <m:r>
          <m:t> </m:t>
        </m:r>
        <m:r>
          <m:rPr>
            <m:sty m:val="p"/>
          </m:rPr>
          <m:t>/</m:t>
        </m:r>
        <m:r>
          <m:t> </m:t>
        </m:r>
        <m:r>
          <m:t>2</m:t>
        </m:r>
      </m:oMath>
      <w:r>
        <w:t xml:space="preserve"> </w:t>
      </w:r>
      <w:r>
        <w:t xml:space="preserve">studies for</w:t>
      </w:r>
      <w:r>
        <w:t xml:space="preserve"> </w:t>
      </w:r>
      <w:r>
        <w:t xml:space="preserve">isothermal-bath / self-heating / uncontrolled) and spans four or five of the five</w:t>
      </w:r>
      <w:r>
        <w:t xml:space="preserve"> </w:t>
      </w:r>
      <w:r>
        <w:t xml:space="preserve">regimes, so it is not collinear with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. The contribution</w:t>
      </w:r>
      <w:r>
        <w:t xml:space="preserve"> </w:t>
      </w:r>
      <w:r>
        <w:rPr>
          <w:i/>
          <w:iCs/>
        </w:rPr>
        <w:t xml:space="preserve">survives controlling for regime</w:t>
      </w:r>
      <w:r>
        <w:t xml:space="preserve">: incremental variance explained by temperature</w:t>
      </w:r>
      <w:r>
        <w:t xml:space="preserve"> </w:t>
      </w:r>
      <w:r>
        <w:t xml:space="preserve">control given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0.467</m:t>
        </m:r>
      </m:oMath>
      <w:r>
        <w:t xml:space="preserve"> </w:t>
      </w:r>
      <w:r>
        <w:t xml:space="preserve">(bootstrap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0.037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+</m:t>
        </m:r>
        <m:r>
          <m:t>0.772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excluding</w:t>
      </w:r>
      <w:r>
        <w:t xml:space="preserve"> </w:t>
      </w:r>
      <m:oMath>
        <m:r>
          <m:t>0</m:t>
        </m:r>
      </m:oMath>
      <w:r>
        <w:t xml:space="preserve">), whereas regime given method adds only</w:t>
      </w:r>
      <w:r>
        <w:t xml:space="preserve"> </w:t>
      </w:r>
      <m:oMath>
        <m:r>
          <m:rPr>
            <m:sty m:val="p"/>
          </m:rPr>
          <m:t>+</m:t>
        </m:r>
        <m:r>
          <m:t>0.153</m:t>
        </m:r>
      </m:oMath>
      <w:r>
        <w:t xml:space="preserve">. Residual between-study</w:t>
      </w:r>
      <w:r>
        <w:t xml:space="preserve"> </w:t>
      </w:r>
      <w:r>
        <w:t xml:space="preserve">spread remains within the dominant isothermal-bath level (yield range</w:t>
      </w:r>
      <w:r>
        <w:t xml:space="preserve"> </w:t>
      </w:r>
      <m:oMath>
        <m:r>
          <m:t>26</m:t>
        </m:r>
      </m:oMath>
      <w:r>
        <w:t xml:space="preserve">–</w:t>
      </w:r>
      <m:oMath>
        <m:r>
          <m:t>100</m:t>
        </m:r>
      </m:oMath>
      <w:r>
        <w:t xml:space="preserve"> %,</w:t>
      </w:r>
      <w:r>
        <w:t xml:space="preserve"> </w:t>
      </w:r>
      <w:r>
        <w:t xml:space="preserve">s.d. </w:t>
      </w:r>
      <m:oMath>
        <m:r>
          <m:t>18.7</m:t>
        </m:r>
      </m:oMath>
      <w:r>
        <w:t xml:space="preserve"> %), so temperature control is the largest single source of between-study</w:t>
      </w:r>
      <w:r>
        <w:t xml:space="preserve"> </w:t>
      </w:r>
      <w:r>
        <w:t xml:space="preserve">variance, though not the only one.</w:t>
      </w:r>
    </w:p>
    <w:bookmarkEnd w:id="36"/>
    <w:bookmarkStart w:id="37" w:name="Xd505c3875cecbd81f1a9755dddf3c481e86c330"/>
    <w:p>
      <w:pPr>
        <w:pStyle w:val="Heading2"/>
      </w:pPr>
      <w:r>
        <w:t xml:space="preserve">Mixed-effects regime moderation: not supported (H2)</w:t>
      </w:r>
    </w:p>
    <w:p>
      <w:pPr>
        <w:pStyle w:val="FirstParagraph"/>
      </w:pPr>
      <w:r>
        <w:t xml:space="preserve">A mixed-effects meta-regression (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299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27</m:t>
        </m:r>
      </m:oMath>
      <w:r>
        <w:t xml:space="preserve"> studies, REML, random intercept</w:t>
      </w:r>
      <w:r>
        <w:t xml:space="preserve"> </w:t>
      </w:r>
      <w:r>
        <w:t xml:space="preserve">per study) with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as the fixed regime effect finds no significant</w:t>
      </w:r>
      <w:r>
        <w:t xml:space="preserve"> </w:t>
      </w:r>
      <w:r>
        <w:t xml:space="preserve">moderation at any pre-registered Holm-corrected bar. The joint Wald test on the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main effect gives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0.32</m:t>
        </m:r>
      </m:oMath>
      <w:r>
        <w:t xml:space="preserve"> </w:t>
      </w:r>
      <w:r>
        <w:t xml:space="preserve">on the full dataset,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0.45</m:t>
        </m:r>
      </m:oMath>
      <w:r>
        <w:t xml:space="preserve"> </w:t>
      </w:r>
      <w:r>
        <w:t xml:space="preserve">removing</w:t>
      </w:r>
      <w:r>
        <w:t xml:space="preserve"> </w:t>
      </w:r>
      <w:r>
        <w:t xml:space="preserve">, and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0.41</m:t>
        </m:r>
      </m:oMath>
      <w:r>
        <w:t xml:space="preserve"> </w:t>
      </w:r>
      <w:r>
        <w:t xml:space="preserve">on A/B-tier</w:t>
      </w:r>
      <w:r>
        <w:t xml:space="preserve"> </w:t>
      </w:r>
      <w:r>
        <w:t xml:space="preserve">studies only. None of the</w:t>
      </w:r>
      <w:r>
        <w:t xml:space="preserve"> </w:t>
      </w:r>
      <m:oMath>
        <m:r>
          <m:t>8</m:t>
        </m:r>
      </m:oMath>
      <w:r>
        <w:t xml:space="preserve"> parameter</w:t>
      </w:r>
      <m:oMath>
        <m:r>
          <m:rPr>
            <m:sty m:val="p"/>
          </m:rPr>
          <m:t>×</m:t>
        </m:r>
      </m:oMath>
      <w:r>
        <w:rPr>
          <w:rStyle w:val="VerbatimChar"/>
        </w:rPr>
        <w:t xml:space="preserve">system_class</w:t>
      </w:r>
      <w:r>
        <w:t xml:space="preserve"> </w:t>
      </w:r>
      <w:r>
        <w:t xml:space="preserve">interactions</w:t>
      </w:r>
      <w:r>
        <w:t xml:space="preserve"> </w:t>
      </w:r>
      <w:r>
        <w:t xml:space="preserve">survive Holm correction in any of the three subsets (</w:t>
      </w:r>
      <m:oMath>
        <m:r>
          <m:t>0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every time; closest:</w:t>
      </w:r>
      <w:r>
        <w:t xml:space="preserve"> </w:t>
      </w:r>
      <w:r>
        <w:t xml:space="preserve">temperature</w:t>
      </w:r>
      <m:oMath>
        <m:r>
          <m:rPr>
            <m:sty m:val="p"/>
          </m:rPr>
          <m:t>×</m:t>
        </m:r>
      </m:oMath>
      <w:r>
        <w:t xml:space="preserve">liquid_metal in A/B-tier, raw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0.007</m:t>
        </m:r>
      </m:oMath>
      <w:r>
        <w:t xml:space="preserve">, Holm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0.057</m:t>
        </m:r>
      </m:oMath>
      <w:r>
        <w:t xml:space="preserve">).</w:t>
      </w:r>
      <w:r>
        <w:t xml:space="preserve"> </w:t>
      </w:r>
      <w:r>
        <w:t xml:space="preserve">A cluster bootstrap over studies confirms fragility: the system_class main effect</w:t>
      </w:r>
      <w:r>
        <w:t xml:space="preserve"> </w:t>
      </w:r>
      <w:r>
        <w:t xml:space="preserve">reaches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&lt;</m:t>
        </m:r>
        <m:r>
          <m:t>​</m:t>
        </m:r>
        <m:r>
          <m:t>0.05</m:t>
        </m:r>
      </m:oMath>
      <w:r>
        <w:t xml:space="preserve"> </w:t>
      </w:r>
      <w:r>
        <w:t xml:space="preserve">in only</w:t>
      </w:r>
      <w:r>
        <w:t xml:space="preserve"> </w:t>
      </w:r>
      <m:oMath>
        <m:r>
          <m:t>34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bootstrap resamples (median bootstrap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0.14</m:t>
        </m:r>
      </m:oMath>
      <w:r>
        <w:t xml:space="preserve">). H2 is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: conditioning on physico-chemical regime</w:t>
      </w:r>
      <w:r>
        <w:t xml:space="preserve"> </w:t>
      </w:r>
      <w:r>
        <w:t xml:space="preserve">does not resolve the between-study contradictions.</w:t>
      </w:r>
    </w:p>
    <w:bookmarkEnd w:id="37"/>
    <w:bookmarkStart w:id="39" w:name="X337b42e9d5ed03b81211dfcc6cbbf536caa4f94"/>
    <w:p>
      <w:pPr>
        <w:pStyle w:val="Heading2"/>
      </w:pPr>
      <w:r>
        <w:t xml:space="preserve">Activation energy does not organize by regime (H3)</w:t>
      </w:r>
    </w:p>
    <w:p>
      <w:pPr>
        <w:pStyle w:val="FirstParagraph"/>
      </w:pPr>
      <w:r>
        <w:t xml:space="preserve">Per-study median apparent activation energies from the 17-study kinetic sample are</w:t>
      </w:r>
      <w:r>
        <w:t xml:space="preserve"> </w:t>
      </w:r>
      <m:oMath>
        <m:r>
          <m:t>52.0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pure_al_alkali</w:t>
      </w:r>
      <w:r>
        <w:t xml:space="preserve">,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5</m:t>
        </m:r>
      </m:oMath>
      <w:r>
        <w:t xml:space="preserve">),</w:t>
      </w:r>
      <w:r>
        <w:t xml:space="preserve"> </w:t>
      </w:r>
      <m:oMath>
        <m:r>
          <m:t>47.4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waste_al</w:t>
      </w:r>
      <w:r>
        <w:t xml:space="preserve">,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3</m:t>
        </m:r>
      </m:oMath>
      <w:r>
        <w:t xml:space="preserve">),</w:t>
      </w:r>
      <w:r>
        <w:t xml:space="preserve"> </w:t>
      </w:r>
      <m:oMath>
        <m:r>
          <m:t>36.2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liquid_metal_activated</w:t>
      </w:r>
      <w:r>
        <w:t xml:space="preserve">,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4</m:t>
        </m:r>
      </m:oMath>
      <w:r>
        <w:t xml:space="preserve">;</w:t>
      </w:r>
      <w:r>
        <w:t xml:space="preserve"> </w:t>
      </w:r>
      <w:r>
        <w:t xml:space="preserve">range</w:t>
      </w:r>
      <w:r>
        <w:t xml:space="preserve"> </w:t>
      </w:r>
      <m:oMath>
        <m:r>
          <m:t>8.5</m:t>
        </m:r>
      </m:oMath>
      <w:r>
        <w:t xml:space="preserve">–</w:t>
      </w:r>
      <m:oMath>
        <m:r>
          <m:t>58.0</m:t>
        </m:r>
      </m:oMath>
      <w:r>
        <w:t xml:space="preserve">),</w:t>
      </w:r>
      <w:r>
        <w:t xml:space="preserve"> </w:t>
      </w:r>
      <m:oMath>
        <m:r>
          <m:t>39.2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al_alloy</w:t>
      </w:r>
      <w:r>
        <w:t xml:space="preserve">,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1</m:t>
        </m:r>
      </m:oMath>
      <w:r>
        <w:t xml:space="preserve">), and</w:t>
      </w:r>
      <w:r>
        <w:t xml:space="preserve"> </w:t>
      </w:r>
      <m:oMath>
        <m:r>
          <m:t>23.7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mechanically_activated</w:t>
      </w:r>
      <w:r>
        <w:t xml:space="preserve">,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4</m:t>
        </m:r>
      </m:oMath>
      <w:r>
        <w:t xml:space="preserve">) (Table </w:t>
      </w:r>
      <w:hyperlink w:anchor="tab:ea_summary">
        <w:r>
          <w:rPr>
            <w:rStyle w:val="Hyperlink"/>
          </w:rPr>
          <w:t xml:space="preserve">4</w:t>
        </w:r>
      </w:hyperlink>
      <w:r>
        <w:t xml:space="preserve">;</w:t>
      </w:r>
      <w:r>
        <w:t xml:space="preserve"> </w:t>
      </w:r>
      <w:r>
        <w:t xml:space="preserve">Fig. </w:t>
      </w:r>
      <w:hyperlink w:anchor="fig:ea">
        <w:r>
          <w:rPr>
            <w:rStyle w:val="Hyperlink"/>
          </w:rPr>
          <w:t xml:space="preserve">5</w:t>
        </w:r>
      </w:hyperlink>
      <w:r>
        <w:t xml:space="preserve">). A variance decomposition of per-study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by regime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r>
          <m:t>0.361</m:t>
        </m:r>
      </m:oMath>
      <w:r>
        <w:t xml:space="preserve">, permutation</w:t>
      </w:r>
      <w:r>
        <w:t xml:space="preserve"> </w:t>
      </w:r>
      <m:oMath>
        <m:r>
          <m:t>p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0.129</m:t>
        </m:r>
      </m:oMath>
      <w:r>
        <w:t xml:space="preserve"> </w:t>
      </w:r>
      <w:r>
        <w:t xml:space="preserve">(bootstrap 95 % CI</w:t>
      </w:r>
      <w:r>
        <w:t xml:space="preserve"> </w:t>
      </w:r>
      <m:oMath>
        <m:r>
          <m:rPr>
            <m:sty m:val="p"/>
          </m:rPr>
          <m:t>[</m:t>
        </m:r>
        <m:r>
          <m:t>0.127</m:t>
        </m:r>
        <m:r>
          <m:rPr>
            <m:sty m:val="p"/>
          </m:rPr>
          <m:t>,</m:t>
        </m:r>
        <m:r>
          <m:t> </m:t>
        </m:r>
        <m:r>
          <m:t>0.808</m:t>
        </m:r>
        <m:r>
          <m:rPr>
            <m:sty m:val="p"/>
          </m:rPr>
          <m:t>]</m:t>
        </m:r>
      </m:oMath>
      <w:r>
        <w:t xml:space="preserve">)</w:t>
      </w:r>
      <w:r>
        <w:t xml:space="preserve"> </w:t>
      </w:r>
      <w:r>
        <w:t xml:space="preserve">on the four classes with</w:t>
      </w:r>
      <w:r>
        <w:t xml:space="preserve"> </w:t>
      </w:r>
      <m:oMath>
        <m:r>
          <m:rPr>
            <m:sty m:val="p"/>
          </m:rPr>
          <m:t>≥</m:t>
        </m:r>
        <m:r>
          <m:t>​</m:t>
        </m:r>
        <m:r>
          <m:t>3</m:t>
        </m:r>
      </m:oMath>
      <w:r>
        <w:t xml:space="preserve"> </w:t>
      </w:r>
      <w:r>
        <w:t xml:space="preserve">studies. H3 is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: the</w:t>
      </w:r>
      <w:r>
        <w:t xml:space="preserve"> </w:t>
      </w:r>
      <w:r>
        <w:t xml:space="preserve">coarse regime label does not explain the apparent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spread. The</w:t>
      </w:r>
      <w:r>
        <w:t xml:space="preserve"> </w:t>
      </w:r>
      <w:r>
        <w:rPr>
          <w:rStyle w:val="VerbatimChar"/>
        </w:rPr>
        <w:t xml:space="preserve">liquid_metal_activated</w:t>
      </w:r>
      <w:r>
        <w:t xml:space="preserve"> </w:t>
      </w:r>
      <w:r>
        <w:t xml:space="preserve">within-class spread (</w:t>
      </w:r>
      <m:oMath>
        <m:r>
          <m:t>8.5</m:t>
        </m:r>
      </m:oMath>
      <w:r>
        <w:t xml:space="preserve">–</w:t>
      </w:r>
      <m:oMath>
        <m:r>
          <m:t>58.0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</w:t>
      </w:r>
      <w:r>
        <w:t xml:space="preserve"> </w:t>
      </w:r>
      <w:r>
        <w:t xml:space="preserve">is as large as the between-class spread, suggesting unresolved within-regime</w:t>
      </w:r>
      <w:r>
        <w:t xml:space="preserve"> </w:t>
      </w:r>
      <w:r>
        <w:t xml:space="preserve">heterogeneity rather than true thermodynamic regime structure.</w:t>
      </w:r>
    </w:p>
    <w:bookmarkStart w:id="38" w:name="tab:ea_summary"/>
    <w:p>
      <w:pPr>
        <w:pStyle w:val="TableCaption"/>
      </w:pPr>
      <w:r>
        <w:rPr>
          <w:b/>
          <w:bCs/>
        </w:rPr>
        <w:t xml:space="preserve">Apparent activation energy by physico-chemical regime.</w:t>
      </w:r>
      <w:r>
        <w:t xml:space="preserve"> </w:t>
      </w:r>
      <w:r>
        <w:t xml:space="preserve">Per-study median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from the 17-study kinetic sample (Arrhenius gate: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​</m:t>
        </m:r>
        <m:r>
          <m:t>0.90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  <m:r>
          <m:t>​</m:t>
        </m:r>
        <m:r>
          <m:t>3</m:t>
        </m:r>
      </m:oMath>
      <w:r>
        <w:t xml:space="preserve"> </w:t>
      </w:r>
      <w:r>
        <w:t xml:space="preserve">temperature points). The range for</w:t>
      </w:r>
      <w:r>
        <w:t xml:space="preserve"> </w:t>
      </w:r>
      <w:r>
        <w:rPr>
          <w:rStyle w:val="VerbatimChar"/>
        </w:rPr>
        <w:t xml:space="preserve">liquid_metal_activated</w:t>
      </w:r>
      <w:r>
        <w:t xml:space="preserve"> </w:t>
      </w:r>
      <w:r>
        <w:t xml:space="preserve">is explicitly noted because it spans an order of</w:t>
      </w:r>
      <w:r>
        <w:t xml:space="preserve"> </w:t>
      </w:r>
      <w:r>
        <w:t xml:space="preserve">magnitude and drives the null finding. Al_alloy has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1</m:t>
        </m:r>
      </m:oMath>
      <w:r>
        <w:t xml:space="preserve"> </w:t>
      </w:r>
      <w:r>
        <w:t xml:space="preserve">study; no</w:t>
      </w:r>
      <w:r>
        <w:t xml:space="preserve"> </w:t>
      </w:r>
      <w:r>
        <w:t xml:space="preserve">distributional summary is reported. Per-study values are listed in Table SI-2.</w:t>
      </w:r>
      <w:r>
        <w:t xml:space="preserve"> </w:t>
      </w:r>
      <w:r>
        <w:t xml:space="preserve">Power is low at these</w:t>
      </w:r>
      <w:r>
        <w:t xml:space="preserve"> </w:t>
      </w:r>
      <m:oMath>
        <m:r>
          <m:t>n</m:t>
        </m:r>
      </m:oMath>
      <w:r>
        <w:t xml:space="preserve">; the finding is a null, not proof of absence of regime effects.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pparent activation energy by physico-chemical regime. Per-study median E_\mathrm{a} from the 17-study kinetic sample (Arrhenius gate: R^2\!\ge\!0.90, \ge\!3 temperature points). The range for liquid_metal_activated is explicitly noted because it spans an order of magnitude and drives the null finding. Al_alloy has n\!=\!1 study; no distributional summary is reported. Per-study values are listed in Table SI-2. Power is low at these n; the finding is a null, not proof of absence of regime effec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Studies (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t xml:space="preserve"> </w:t>
            </w:r>
            <w:r>
              <w:t xml:space="preserve">(kJ mol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liquid_metal_activated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36.2 (range: 8.5–58.0)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al_alloy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mechanically_activated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17 studies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38"/>
    <w:bookmarkEnd w:id="39"/>
    <w:bookmarkStart w:id="40" w:name="Xe8dce995d1dde6c2f852299b4ca3fe3d07b0a1a"/>
    <w:p>
      <w:pPr>
        <w:pStyle w:val="Heading2"/>
      </w:pPr>
      <w:r>
        <w:t xml:space="preserve">The flagship particle-size contradiction is a cross-study artifact</w:t>
      </w:r>
    </w:p>
    <w:p>
      <w:pPr>
        <w:pStyle w:val="FirstParagraph"/>
      </w:pPr>
      <w:r>
        <w:t xml:space="preserve">The literature’s headline contradiction is a direction-changing particle-size effect.</w:t>
      </w:r>
      <w:r>
        <w:t xml:space="preserve"> </w:t>
      </w:r>
      <w:r>
        <w:t xml:space="preserve">Within every study that varies particle size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), the within-study effect has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sign: smaller particles give higher yield (Spearman</w:t>
      </w:r>
      <w:r>
        <w:t xml:space="preserve"> </w:t>
      </w:r>
      <m:oMath>
        <m:r>
          <m:t>ρ</m:t>
        </m:r>
        <m:r>
          <m:t>​</m:t>
        </m:r>
        <m:r>
          <m:rPr>
            <m:sty m:val="p"/>
          </m:rPr>
          <m:t>=</m:t>
        </m:r>
        <m:r>
          <m:t>​</m:t>
        </m:r>
        <m:r>
          <m:rPr>
            <m:sty m:val="p"/>
          </m:rPr>
          <m:t>−</m:t>
        </m:r>
        <m:r>
          <m:t>0.29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0.87</m:t>
        </m:r>
      </m:oMath>
      <w:r>
        <w:t xml:space="preserve">; Fig. </w:t>
      </w:r>
      <w:hyperlink w:anchor="fig:particle">
        <w:r>
          <w:rPr>
            <w:rStyle w:val="Hyperlink"/>
          </w:rPr>
          <w:t xml:space="preserve">4</w:t>
        </w:r>
      </w:hyperlink>
      <w:r>
        <w:t xml:space="preserve">). The apparent</w:t>
      </w:r>
      <w:r>
        <w:t xml:space="preserve"> </w:t>
      </w:r>
      <w:r>
        <w:t xml:space="preserve">“flip”</w:t>
      </w:r>
      <w:r>
        <w:t xml:space="preserve"> </w:t>
      </w:r>
      <w:r>
        <w:t xml:space="preserve">across the literature</w:t>
      </w:r>
      <w:r>
        <w:t xml:space="preserve"> </w:t>
      </w:r>
      <w:r>
        <w:t xml:space="preserve">arises from comparing different size ranges and material regimes between studies, not</w:t>
      </w:r>
      <w:r>
        <w:t xml:space="preserve"> </w:t>
      </w:r>
      <w:r>
        <w:t xml:space="preserve">from any within-study sign reversal. The flagship contradiction is an integration</w:t>
      </w:r>
      <w:r>
        <w:t xml:space="preserve"> </w:t>
      </w:r>
      <w:r>
        <w:t xml:space="preserve">artifact. Coverage note: particle size (</w:t>
      </w:r>
      <m:oMath>
        <m:sSub>
          <m:e>
            <m:r>
              <m:t>d</m:t>
            </m:r>
          </m:e>
          <m:sub>
            <m:r>
              <m:t>50</m:t>
            </m:r>
          </m:sub>
        </m:sSub>
      </m:oMath>
      <w:r>
        <w:t xml:space="preserve">) is recorded for only</w:t>
      </w:r>
      <w:r>
        <w:t xml:space="preserve"> </w:t>
      </w:r>
      <m:oMath>
        <m:r>
          <m:t>19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yield rows (</w:t>
      </w:r>
      <m:oMath>
        <m:r>
          <m:t>59</m:t>
        </m:r>
        <m:r>
          <m:rPr>
            <m:sty m:val="p"/>
          </m:rPr>
          <m:t>/</m:t>
        </m:r>
        <m:r>
          <m:t>315</m:t>
        </m:r>
      </m:oMath>
      <w:r>
        <w:t xml:space="preserve">), and two regimes (</w:t>
      </w:r>
      <w:r>
        <w:rPr>
          <w:rStyle w:val="VerbatimChar"/>
        </w:rPr>
        <w:t xml:space="preserve">al_alloy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mechanically_activated</w:t>
      </w:r>
      <w:r>
        <w:t xml:space="preserve">) have zero particle-size entries; the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finding</w:t>
      </w:r>
      <w:r>
        <w:t xml:space="preserve"> </w:t>
      </w:r>
      <w:r>
        <w:t xml:space="preserve">is limited to the regimes and study designs where particle size was reported as a</w:t>
      </w:r>
      <w:r>
        <w:t xml:space="preserve"> </w:t>
      </w:r>
      <w:r>
        <w:t xml:space="preserve">variable.</w:t>
      </w:r>
    </w:p>
    <w:bookmarkEnd w:id="40"/>
    <w:bookmarkStart w:id="41" w:name="X0d6de73ed3684c89b392525166653c1cb98f30a"/>
    <w:p>
      <w:pPr>
        <w:pStyle w:val="Heading2"/>
      </w:pPr>
      <w:r>
        <w:t xml:space="preserve">Within-study predictability is heterogeneous (a transparent null)</w:t>
      </w:r>
    </w:p>
    <w:p>
      <w:pPr>
        <w:pStyle w:val="FirstParagraph"/>
      </w:pPr>
      <w:r>
        <w:t xml:space="preserve">Whether each study is internally predictable varies widely. Within-study LOSO skill is</w:t>
      </w:r>
      <w:r>
        <w:t xml:space="preserve"> </w:t>
      </w:r>
      <w:r>
        <w:t xml:space="preserve">clearly positive for well-designed parameter sweeps with a smooth response surface</w:t>
      </w:r>
      <w:r>
        <w:t xml:space="preserve"> </w:t>
      </w:r>
      <w:r>
        <w:t xml:space="preserve">(Fig. </w:t>
      </w:r>
      <w:hyperlink w:anchor="fig:surface">
        <w:r>
          <w:rPr>
            <w:rStyle w:val="Hyperlink"/>
          </w:rPr>
          <w:t xml:space="preserve">6</w:t>
        </w:r>
      </w:hyperlink>
      <w:r>
        <w:t xml:space="preserve">;</w:t>
      </w:r>
      <w:r>
        <w:t xml:space="preserve"> </w:t>
      </w:r>
      <w:r>
        <w:t xml:space="preserve"> </w:t>
      </w:r>
      <w:r>
        <w:t xml:space="preserve"> </w:t>
      </w:r>
      <m:oMath>
        <m:r>
          <m:rPr>
            <m:sty m:val="p"/>
          </m:rPr>
          <m:t>+</m:t>
        </m:r>
        <m:r>
          <m:t>0.84</m:t>
        </m:r>
      </m:oMath>
      <w:r>
        <w:t xml:space="preserve">,</w:t>
      </w:r>
      <w:r>
        <w:t xml:space="preserve"> </w:t>
      </w:r>
      <w:r>
        <w:t xml:space="preserve"> </w:t>
      </w:r>
      <w:r>
        <w:t xml:space="preserve"> </w:t>
      </w:r>
      <m:oMath>
        <m:r>
          <m:rPr>
            <m:sty m:val="p"/>
          </m:rPr>
          <m:t>+</m:t>
        </m:r>
        <m:r>
          <m:t>0.86</m:t>
        </m:r>
      </m:oMath>
      <w:r>
        <w:t xml:space="preserve">). But the median skill across 14 testable</w:t>
      </w:r>
      <w:r>
        <w:t xml:space="preserve"> </w:t>
      </w:r>
      <w:r>
        <w:t xml:space="preserve">studies is</w:t>
      </w:r>
      <w:r>
        <w:t xml:space="preserve"> </w:t>
      </w:r>
      <m:oMath>
        <m:r>
          <m:rPr>
            <m:sty m:val="p"/>
          </m:rPr>
          <m:t>−</m:t>
        </m:r>
        <m:r>
          <m:t>0.145</m:t>
        </m:r>
      </m:oMath>
      <w:r>
        <w:t xml:space="preserve"> </w:t>
      </w:r>
      <w:r>
        <w:t xml:space="preserve">(cluster-bootstrap 95 %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0.447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+</m:t>
        </m:r>
        <m:r>
          <m:t>0.233</m:t>
        </m:r>
        <m:r>
          <m:rPr>
            <m:sty m:val="p"/>
          </m:rPr>
          <m:t>]</m:t>
        </m:r>
      </m:oMath>
      <w:r>
        <w:t xml:space="preserve">), with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positive. The between-study variance (</w:t>
      </w:r>
      <m:oMath>
        <m:sSubSup>
          <m:e>
            <m:r>
              <m:t>η</m:t>
            </m:r>
          </m:e>
          <m:sub>
            <m:r>
              <m:rPr>
                <m:nor/>
                <m:sty m:val="p"/>
              </m:rPr>
              <m:t>study</m:t>
            </m:r>
          </m:sub>
          <m:sup>
            <m:r>
              <m:t>2</m:t>
            </m:r>
          </m:sup>
        </m:sSubSup>
        <m:r>
          <m:t>​</m:t>
        </m:r>
        <m:r>
          <m:rPr>
            <m:sty m:val="p"/>
          </m:rPr>
          <m:t>=</m:t>
        </m:r>
        <m:r>
          <m:t>​</m:t>
        </m:r>
        <m:r>
          <m:t>0.496</m:t>
        </m:r>
      </m:oMath>
      <w:r>
        <w:t xml:space="preserve">) and the consistent</w:t>
      </w:r>
      <w:r>
        <w:t xml:space="preserve"> </w:t>
      </w:r>
      <w:r>
        <w:t xml:space="preserve">particle-size direction both indicate that the underlying physics is not inconsistent;</w:t>
      </w:r>
      <w:r>
        <w:t xml:space="preserve"> </w:t>
      </w:r>
      <w:r>
        <w:t xml:space="preserve">the low within-study skill reflects heterogeneous experimental designs and per-study</w:t>
      </w:r>
      <w:r>
        <w:t xml:space="preserve"> </w:t>
      </w:r>
      <w:r>
        <w:t xml:space="preserve">sample sizes of</w:t>
      </w:r>
      <w:r>
        <w:t xml:space="preserve"> </w:t>
      </w:r>
      <m:oMath>
        <m:r>
          <m:t>5</m:t>
        </m:r>
      </m:oMath>
      <w:r>
        <w:t xml:space="preserve">–</w:t>
      </w:r>
      <m:oMath>
        <m:r>
          <m:t>120</m:t>
        </m:r>
      </m:oMath>
      <w:r>
        <w:t xml:space="preserve"> </w:t>
      </w:r>
      <w:r>
        <w:t xml:space="preserve">rows rather than genuine within-study physical noise.</w:t>
      </w:r>
    </w:p>
    <w:bookmarkEnd w:id="41"/>
    <w:bookmarkStart w:id="62" w:name="X107352f5980d1e9dc646e3a0472c508b95c9903"/>
    <w:p>
      <w:pPr>
        <w:pStyle w:val="Heading2"/>
      </w:pPr>
      <w:r>
        <w:t xml:space="preserve">Permutation importance: methodology features dominate</w:t>
      </w:r>
    </w:p>
    <w:p>
      <w:pPr>
        <w:pStyle w:val="FirstParagraph"/>
      </w:pPr>
      <w:r>
        <w:t xml:space="preserve">In-sample random-forest permutation importance ranks</w:t>
      </w:r>
      <w:r>
        <w:t xml:space="preserve"> </w:t>
      </w:r>
      <w:r>
        <w:rPr>
          <w:rStyle w:val="VerbatimChar"/>
        </w:rPr>
        <w:t xml:space="preserve">particle_size</w:t>
      </w:r>
      <w:r>
        <w:t xml:space="preserve"> </w:t>
      </w:r>
      <w:r>
        <w:t xml:space="preserve">(</w:t>
      </w:r>
      <m:oMath>
        <m:r>
          <m:t>0.597</m:t>
        </m:r>
      </m:oMath>
      <w:r>
        <w:t xml:space="preserve">)</w:t>
      </w:r>
      <w:r>
        <w:t xml:space="preserve">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in_wt_pct</w:t>
      </w:r>
      <w:r>
        <w:t xml:space="preserve"> </w:t>
      </w:r>
      <w:r>
        <w:t xml:space="preserve">(</w:t>
      </w:r>
      <m:oMath>
        <m:r>
          <m:t>0.489</m:t>
        </m:r>
      </m:oMath>
      <w:r>
        <w:t xml:space="preserve">) second, and</w:t>
      </w:r>
      <w:r>
        <w:t xml:space="preserve"> </w:t>
      </w:r>
      <w:r>
        <w:rPr>
          <w:rStyle w:val="VerbatimChar"/>
        </w:rPr>
        <w:t xml:space="preserve">temperature_k</w:t>
      </w:r>
      <w:r>
        <w:t xml:space="preserve"> </w:t>
      </w:r>
      <w:r>
        <w:t xml:space="preserve">(</w:t>
      </w:r>
      <m:oMath>
        <m:r>
          <m:t>0.269</m:t>
        </m:r>
      </m:oMath>
      <w:r>
        <w:t xml:space="preserve">) third.</w:t>
      </w:r>
      <w:r>
        <w:t xml:space="preserve"> </w:t>
      </w:r>
      <w:r>
        <w:t xml:space="preserve">The regime label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 </w:t>
      </w:r>
      <w:r>
        <w:t xml:space="preserve">ranks tenth (</w:t>
      </w:r>
      <m:oMath>
        <m:r>
          <m:t>0.032</m:t>
        </m:r>
      </m:oMath>
      <w:r>
        <w:t xml:space="preserve">)—one-nineteenth of</w:t>
      </w:r>
      <w:r>
        <w:t xml:space="preserve"> </w:t>
      </w:r>
      <w:r>
        <w:rPr>
          <w:rStyle w:val="VerbatimChar"/>
        </w:rPr>
        <w:t xml:space="preserve">particle_size</w:t>
      </w:r>
      <w:r>
        <w:t xml:space="preserve">—consistent with the variance-decomposition finding that</w:t>
      </w:r>
      <w:r>
        <w:t xml:space="preserve"> </w:t>
      </w:r>
      <w:r>
        <w:t xml:space="preserve">methodology rather than regime drives apparent yield differences. Alkali concentration</w:t>
      </w:r>
      <w:r>
        <w:t xml:space="preserve"> </w:t>
      </w:r>
      <w:r>
        <w:t xml:space="preserve">ranks fourteenth (</w:t>
      </w:r>
      <m:oMath>
        <m:r>
          <m:t>0.009</m:t>
        </m:r>
      </m:oMath>
      <w:r>
        <w:t xml:space="preserve">). SHAP cross-fold rank stability (mean pairwise Spearman across</w:t>
      </w:r>
      <w:r>
        <w:t xml:space="preserve"> </w:t>
      </w:r>
      <w:r>
        <w:t xml:space="preserve">grouped folds) is</w:t>
      </w:r>
      <w:r>
        <w:t xml:space="preserve"> </w:t>
      </w:r>
      <m:oMath>
        <m:r>
          <m:t>0.66</m:t>
        </m:r>
      </m:oMath>
      <w:r>
        <w:t xml:space="preserve"> / </w:t>
      </w:r>
      <m:oMath>
        <m:r>
          <m:t>0.68</m:t>
        </m:r>
      </m:oMath>
      <w:r>
        <w:t xml:space="preserve"> / </w:t>
      </w:r>
      <m:oMath>
        <m:r>
          <m:t>0.70</m:t>
        </m:r>
      </m:oMath>
      <w:r>
        <w:t xml:space="preserve"> </w:t>
      </w:r>
      <w:r>
        <w:t xml:space="preserve">(seeds</w:t>
      </w:r>
      <w:r>
        <w:t xml:space="preserve"> </w:t>
      </w:r>
      <m:oMath>
        <m:r>
          <m:t>0</m:t>
        </m:r>
      </m:oMath>
      <w:r>
        <w:t xml:space="preserve"> / </w:t>
      </w:r>
      <m:oMath>
        <m:r>
          <m:t>42</m:t>
        </m:r>
      </m:oMath>
      <w:r>
        <w:t xml:space="preserve"> / </w:t>
      </w:r>
      <m:oMath>
        <m:r>
          <m:t>7</m:t>
        </m:r>
      </m:oMath>
      <w:r>
        <w:t xml:space="preserve">): the feature</w:t>
      </w:r>
      <w:r>
        <w:t xml:space="preserve"> </w:t>
      </w:r>
      <w:r>
        <w:t xml:space="preserve">hierarchy is moderately stable but should not be over-interpreted given the poor</w:t>
      </w:r>
      <w:r>
        <w:t xml:space="preserve"> </w:t>
      </w:r>
      <w:r>
        <w:t xml:space="preserve">between-study predictive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45" w:name="fig:gap"/>
    <w:p>
      <w:pPr>
        <w:pStyle w:val="CaptionedFigure"/>
      </w:pPr>
      <w:r>
        <w:drawing>
          <wp:inline>
            <wp:extent cx="3492500" cy="24638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1_optimism_gap.pdf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Leakage control.</w:t>
      </w:r>
      <w:r>
        <w:t xml:space="preserve"> </w:t>
      </w:r>
      <w:r>
        <w:t xml:space="preserve">Each model is a dumbbell from its study-grouped cross-validated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( </w:t>
      </w:r>
      <m:oMath>
        <m:r>
          <m:rPr>
            <m:sty m:val="p"/>
          </m:rPr>
          <m:t>•</m:t>
        </m:r>
      </m:oMath>
      <w:r>
        <w:t xml:space="preserve"> ) to its random-split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( </w:t>
      </w:r>
      <m:oMath>
        <m:r>
          <m:rPr>
            <m:sty m:val="p"/>
          </m:rPr>
          <m:t>◼</m:t>
        </m:r>
      </m:oMath>
      <w:r>
        <w:t xml:space="preserve"> ); the open diamond is the</w:t>
      </w:r>
      <w:r>
        <w:t xml:space="preserve"> </w:t>
      </w:r>
      <w:r>
        <w:t xml:space="preserve">study-grouped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after removing the single largest study (tree models only). Tree models reach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0.55</m:t>
        </m:r>
      </m:oMath>
      <w:r>
        <w:t xml:space="preserve"> </w:t>
      </w:r>
      <w:r>
        <w:t xml:space="preserve">under random splits but fall below zero under study-grouped cross-validation</w:t>
      </w:r>
      <w:r>
        <w:t xml:space="preserve"> </w:t>
      </w:r>
      <w:r>
        <w:t xml:space="preserve">(optimism gap</w:t>
      </w:r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): a model trained on some studies does not predict an unseen study.</w:t>
      </w:r>
    </w:p>
    <w:bookmarkEnd w:id="45"/>
    <w:bookmarkStart w:id="49" w:name="fig:variance"/>
    <w:p>
      <w:pPr>
        <w:pStyle w:val="CaptionedFigure"/>
      </w:pPr>
      <w:r>
        <w:drawing>
          <wp:inline>
            <wp:extent cx="4373880" cy="249473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2_variance_decomposition.pd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49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Methodology, not physical regime, explains the between-study yield variance</w:t>
      </w:r>
      <w:r>
        <w:rPr>
          <w:b/>
          <w:bCs/>
        </w:rPr>
        <w:t xml:space="preserve"> </w:t>
      </w:r>
      <w:r>
        <w:rPr>
          <w:b/>
          <w:bCs/>
        </w:rPr>
        <w:t xml:space="preserve">(headline).</w:t>
      </w:r>
      <w:r>
        <w:t xml:space="preserve"> </w:t>
      </w:r>
      <w:r>
        <w:t xml:space="preserve">Between-study variance of study-mean yield explained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dot) with a 95%</w:t>
      </w:r>
      <w:r>
        <w:t xml:space="preserve"> </w:t>
      </w:r>
      <w:r>
        <w:t xml:space="preserve">cluster-bootstrap confidence interval (bar), one row per predictor. The physico-chemical regime</w:t>
      </w:r>
      <w:r>
        <w:t xml:space="preserve"> </w:t>
      </w:r>
      <w:r>
        <w:t xml:space="preserve">label (</w:t>
      </w:r>
      <w:r>
        <w:rPr>
          <w:rStyle w:val="VerbatimChar"/>
        </w:rPr>
        <w:t xml:space="preserve">system_class</w:t>
      </w:r>
      <w:r>
        <w:t xml:space="preserve">) explains</w:t>
      </w:r>
      <w:r>
        <w:t xml:space="preserve"> </w:t>
      </w:r>
      <m:oMath>
        <m:r>
          <m:t>0.02</m:t>
        </m:r>
      </m:oMath>
      <w:r>
        <w:t xml:space="preserve">; all methodological covariates jointly explain</w:t>
      </w:r>
      <w:r>
        <w:t xml:space="preserve"> </w:t>
      </w:r>
      <m:oMath>
        <m:r>
          <m:t>0.55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​</m:t>
        </m:r>
        <m:r>
          <m:t>27</m:t>
        </m:r>
        <m:r>
          <m:rPr>
            <m:sty m:val="p"/>
          </m:rPr>
          <m:t>×</m:t>
        </m:r>
      </m:oMath>
      <w:r>
        <w:t xml:space="preserve">), and the temperature-control method alone explains</w:t>
      </w:r>
      <w:r>
        <w:t xml:space="preserve"> </w:t>
      </w:r>
      <m:oMath>
        <m:r>
          <m:t>0.33</m:t>
        </m:r>
      </m:oMath>
      <w:r>
        <w:t xml:space="preserve">.</w:t>
      </w:r>
      <w:r>
        <w:t xml:space="preserve"> </w:t>
      </w:r>
      <w:r>
        <w:t xml:space="preserve">Associational; the temperature-control effect survives controlling for regime (incremental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0.47</m:t>
        </m:r>
      </m:oMath>
      <w:r>
        <w:t xml:space="preserve">, bootstrap CI excludes</w:t>
      </w:r>
      <w:r>
        <w:t xml:space="preserve"> </w:t>
      </w:r>
      <m:oMath>
        <m:r>
          <m:t>0</m:t>
        </m:r>
      </m:oMath>
      <w:r>
        <w:t xml:space="preserve">).</w:t>
      </w:r>
    </w:p>
    <w:bookmarkEnd w:id="49"/>
    <w:bookmarkStart w:id="53" w:name="fig:particle"/>
    <w:p>
      <w:pPr>
        <w:pStyle w:val="CaptionedFigure"/>
      </w:pPr>
      <w:r>
        <w:drawing>
          <wp:inline>
            <wp:extent cx="3111500" cy="23241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3_particle_size_consistency.pd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The flagship particle-size contradiction is internally consistent.</w:t>
      </w:r>
      <w:r>
        <w:t xml:space="preserve"> </w:t>
      </w:r>
      <w:r>
        <w:t xml:space="preserve">Raw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50</m:t>
            </m:r>
          </m:sub>
        </m:sSub>
        <m:r>
          <m:rPr>
            <m:sty m:val="p"/>
          </m:rPr>
          <m:t>,</m:t>
        </m:r>
        <m:r>
          <m:rPr>
            <m:nor/>
            <m:sty m:val="p"/>
          </m:rPr>
          <m:t>yield</m:t>
        </m:r>
        <m:r>
          <m:rPr>
            <m:sty m:val="p"/>
          </m:rPr>
          <m:t>)</m:t>
        </m:r>
      </m:oMath>
      <w:r>
        <w:t xml:space="preserve"> </w:t>
      </w:r>
      <w:r>
        <w:t xml:space="preserve">points per study (log</w:t>
      </w:r>
      <w:r>
        <w:t xml:space="preserve"> </w:t>
      </w:r>
      <m:oMath>
        <m:r>
          <m:t>x</m:t>
        </m:r>
      </m:oMath>
      <w:r>
        <w:t xml:space="preserve">) with a robust Theil–Sen trend line; the</w:t>
      </w:r>
      <w:r>
        <w:t xml:space="preserve"> </w:t>
      </w:r>
      <w:r>
        <w:t xml:space="preserve">per-study Spearman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in the legend. All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studies trend negative (smaller particle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higher yield), so the literature-wide</w:t>
      </w:r>
      <w:r>
        <w:t xml:space="preserve"> </w:t>
      </w:r>
      <w:r>
        <w:t xml:space="preserve">“flip”</w:t>
      </w:r>
      <w:r>
        <w:t xml:space="preserve"> </w:t>
      </w:r>
      <w:r>
        <w:t xml:space="preserve">is a cross-study integration</w:t>
      </w:r>
      <w:r>
        <w:t xml:space="preserve"> </w:t>
      </w:r>
      <w:r>
        <w:t xml:space="preserve">artifact, not a within-study sign reversal.</w:t>
      </w:r>
    </w:p>
    <w:bookmarkEnd w:id="53"/>
    <w:bookmarkStart w:id="57" w:name="fig:ea"/>
    <w:p>
      <w:pPr>
        <w:pStyle w:val="CaptionedFigure"/>
      </w:pPr>
      <w:r>
        <w:drawing>
          <wp:inline>
            <wp:extent cx="3520440" cy="225745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4_ea_spread.pdf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25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Apparent activation energy does not organize by physical regime.</w:t>
      </w:r>
      <w:r>
        <w:t xml:space="preserve"> </w:t>
      </w:r>
      <w:r>
        <w:t xml:space="preserve">Per-study</w:t>
      </w:r>
      <w:r>
        <w:t xml:space="preserve"> </w:t>
      </w:r>
      <w:r>
        <w:t xml:space="preserve">apparent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(points) with a class-median bar per</w:t>
      </w:r>
      <w:r>
        <w:t xml:space="preserve"> </w:t>
      </w:r>
      <w:r>
        <w:rPr>
          <w:rStyle w:val="VerbatimChar"/>
        </w:rPr>
        <w:t xml:space="preserve">system_class</w:t>
      </w:r>
      <w:r>
        <w:t xml:space="preserve">; the shaded</w:t>
      </w:r>
      <w:r>
        <w:t xml:space="preserve"> </w:t>
      </w:r>
      <w:r>
        <w:t xml:space="preserve">band is the literature range</w:t>
      </w:r>
      <w:r>
        <w:t xml:space="preserve"> </w:t>
      </w:r>
      <m:oMath>
        <m:r>
          <m:t>3.5</m:t>
        </m:r>
      </m:oMath>
      <w:r>
        <w:t xml:space="preserve">–</w:t>
      </w:r>
      <m:oMath>
        <m:r>
          <m:t>102.6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The within-regime spread is comparable</w:t>
      </w:r>
      <w:r>
        <w:t xml:space="preserve"> </w:t>
      </w:r>
      <w:r>
        <w:t xml:space="preserve">to the between-regime spread (</w:t>
      </w:r>
      <w:r>
        <w:rPr>
          <w:rStyle w:val="VerbatimChar"/>
        </w:rPr>
        <w:t xml:space="preserve">liquid_metal_activated</w:t>
      </w:r>
      <w:r>
        <w:t xml:space="preserve"> </w:t>
      </w:r>
      <w:r>
        <w:t xml:space="preserve">alone spans</w:t>
      </w:r>
      <w:r>
        <w:t xml:space="preserve"> </w:t>
      </w:r>
      <m:oMath>
        <m:r>
          <m:t>8.5</m:t>
        </m:r>
      </m:oMath>
      <w:r>
        <w:t xml:space="preserve">–</w:t>
      </w:r>
      <m:oMath>
        <m:r>
          <m:t>58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</w:t>
      </w:r>
    </w:p>
    <w:bookmarkEnd w:id="57"/>
    <w:bookmarkStart w:id="61" w:name="fig:surface"/>
    <w:p>
      <w:pPr>
        <w:pStyle w:val="CaptionedFigure"/>
      </w:pPr>
      <w:r>
        <w:drawing>
          <wp:inline>
            <wp:extent cx="5067300" cy="259397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6_within_study_surface.pdf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9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Within a single well-designed study the response is smooth.</w:t>
      </w:r>
      <w:r>
        <w:t xml:space="preserve"> </w:t>
      </w:r>
      <w:r>
        <w:t xml:space="preserve"> </w:t>
      </w:r>
      <w:r>
        <w:t xml:space="preserve"> </w:t>
      </w:r>
      <w:r>
        <w:t xml:space="preserve">(NaOH, foil) temperature </w:t>
      </w:r>
      <m:oMath>
        <m:r>
          <m:rPr>
            <m:sty m:val="p"/>
          </m:rPr>
          <m:t>×</m:t>
        </m:r>
      </m:oMath>
      <w:r>
        <w:t xml:space="preserve"> concentration factorial: (a) a 2D contour and (b) the same data</w:t>
      </w:r>
      <w:r>
        <w:t xml:space="preserve"> </w:t>
      </w:r>
      <w:r>
        <w:t xml:space="preserve">as a 3D surface. Within this study the yield rises smoothly and monotonically with both temperature</w:t>
      </w:r>
      <w:r>
        <w:t xml:space="preserve"> </w:t>
      </w:r>
      <w:r>
        <w:t xml:space="preserve">and alkali concentration—within-study data are clean, locating the contradictions in the</w:t>
      </w:r>
      <w:r>
        <w:t xml:space="preserve"> </w:t>
      </w:r>
      <w:r>
        <w:t xml:space="preserve">cross-study integration. (3D shown only here, where the data are an intrinsic response surface, and</w:t>
      </w:r>
      <w:r>
        <w:t xml:space="preserve"> </w:t>
      </w:r>
      <w:r>
        <w:t xml:space="preserve">always with the 2D companion.)</w:t>
      </w:r>
    </w:p>
    <w:bookmarkEnd w:id="61"/>
    <w:bookmarkEnd w:id="62"/>
    <w:bookmarkEnd w:id="63"/>
    <w:bookmarkStart w:id="79" w:name="discussion"/>
    <w:p>
      <w:pPr>
        <w:pStyle w:val="Heading1"/>
      </w:pPr>
      <w:r>
        <w:t xml:space="preserve">Discussion</w:t>
      </w:r>
    </w:p>
    <w:bookmarkStart w:id="64" w:name="what-the-contradictions-areand-are-not"/>
    <w:p>
      <w:pPr>
        <w:pStyle w:val="Heading2"/>
      </w:pPr>
      <w:r>
        <w:t xml:space="preserve">What the contradictions are—and are not</w:t>
      </w:r>
    </w:p>
    <w:p>
      <w:pPr>
        <w:pStyle w:val="FirstParagraph"/>
      </w:pPr>
      <w:r>
        <w:t xml:space="preserve">Taken together, the results support a single claim: the apparent inter-study contradictions</w:t>
      </w:r>
      <w:r>
        <w:t xml:space="preserve"> </w:t>
      </w:r>
      <w:r>
        <w:t xml:space="preserve">in aluminum–water hydrolysis are</w:t>
      </w:r>
      <w:r>
        <w:t xml:space="preserve"> </w:t>
      </w:r>
      <w:r>
        <w:rPr>
          <w:i/>
          <w:iCs/>
        </w:rPr>
        <w:t xml:space="preserve">predominantly methodological</w:t>
      </w:r>
      <w:r>
        <w:t xml:space="preserve">. Naive pooling</w:t>
      </w:r>
      <w:r>
        <w:t xml:space="preserve"> </w:t>
      </w:r>
      <w:r>
        <w:t xml:space="preserve">overstates predictability by</w:t>
      </w:r>
      <w:r>
        <w:t xml:space="preserve"> 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; the physico-chemical regime label</w:t>
      </w:r>
      <w:r>
        <w:t xml:space="preserve"> </w:t>
      </w:r>
      <w:r>
        <w:t xml:space="preserve">explains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of between-study yield variance while methodological covariates</w:t>
      </w:r>
      <w:r>
        <w:t xml:space="preserve"> </w:t>
      </w:r>
      <w:r>
        <w:t xml:space="preserve">explain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55</m:t>
        </m:r>
        <m:r>
          <m:rPr>
            <m:sty m:val="p"/>
          </m:rPr>
          <m:t>%</m:t>
        </m:r>
      </m:oMath>
      <w:r>
        <w:t xml:space="preserve">; the flagship particle-size contradiction dissolves. The practical</w:t>
      </w:r>
      <w:r>
        <w:t xml:space="preserve"> </w:t>
      </w:r>
      <w:r>
        <w:t xml:space="preserve">implication is direct: a hydrogen yield reported without its measurement protocol is only</w:t>
      </w:r>
      <w:r>
        <w:t xml:space="preserve"> </w:t>
      </w:r>
      <w:r>
        <w:t xml:space="preserve">weakly comparable across laboratories, and meta-analyses that pool raw yields inherit</w:t>
      </w:r>
      <w:r>
        <w:t xml:space="preserve"> </w:t>
      </w:r>
      <w:r>
        <w:t xml:space="preserve">methodological variance as if it were chemistry.</w:t>
      </w:r>
    </w:p>
    <w:p>
      <w:pPr>
        <w:pStyle w:val="BodyText"/>
      </w:pPr>
      <w:r>
        <w:t xml:space="preserve">Naming the specific apparent contradictions helps calibrate the claim. For activation</w:t>
      </w:r>
      <w:r>
        <w:t xml:space="preserve"> </w:t>
      </w:r>
      <w:r>
        <w:t xml:space="preserve">energy, the most striking contrast in the liquid-metal regime is between</w:t>
      </w:r>
      <w:r>
        <w:t xml:space="preserve"> </w:t>
      </w:r>
      <w:r>
        <w:t xml:space="preserve"> </w:t>
      </w:r>
      <w:r>
        <w:t xml:space="preserve"> </w:t>
      </w:r>
      <w:r>
        <w:t xml:space="preserve">(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  <m:r>
          <m:t>​</m:t>
        </m:r>
        <m:r>
          <m:rPr>
            <m:sty m:val="p"/>
          </m:rPr>
          <m:t>=</m:t>
        </m:r>
        <m:r>
          <m:t>​</m:t>
        </m:r>
        <m:r>
          <m:t>8.5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Ga–In eutectic, peak-rate proxy) and</w:t>
      </w:r>
      <w:r>
        <w:t xml:space="preserve"> </w:t>
      </w:r>
      <w:r>
        <w:t xml:space="preserve"> </w:t>
      </w:r>
      <w:r>
        <w:t xml:space="preserve"> </w:t>
      </w:r>
      <w:r>
        <w:t xml:space="preserve">(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  <m:r>
          <m:t>​</m:t>
        </m:r>
        <m:r>
          <m:rPr>
            <m:sty m:val="p"/>
          </m:rPr>
          <m:t>=</m:t>
        </m:r>
        <m:r>
          <m:t>​</m:t>
        </m:r>
        <m:r>
          <m:t>58.0</m:t>
        </m:r>
      </m:oMath>
      <w:r>
        <w:t xml:space="preserve"> kJ mol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Ga in KOH, tabulated rate): both are</w:t>
      </w:r>
      <w:r>
        <w:t xml:space="preserve"> </w:t>
      </w:r>
      <w:r>
        <w:t xml:space="preserve">liquid-metal-activated systems, yet they differ by nearly sevenfold. Our analysis does</w:t>
      </w:r>
      <w:r>
        <w:t xml:space="preserve"> </w:t>
      </w:r>
      <w:r>
        <w:t xml:space="preserve">not resolve whether this reflects different Ga/In loading, different activation proxies</w:t>
      </w:r>
      <w:r>
        <w:t xml:space="preserve"> </w:t>
      </w:r>
      <w:r>
        <w:t xml:space="preserve">(peak rate vs. initial rate), or different surface geometries; it demonstrates that the</w:t>
      </w:r>
      <w:r>
        <w:t xml:space="preserve"> </w:t>
      </w:r>
      <w:r>
        <w:t xml:space="preserve">current</w:t>
      </w:r>
      <w:r>
        <w:t xml:space="preserve"> </w:t>
      </w:r>
      <w:r>
        <w:t xml:space="preserve">“liquid_metal_activated”</w:t>
      </w:r>
      <w:r>
        <w:t xml:space="preserve"> </w:t>
      </w:r>
      <w:r>
        <w:t xml:space="preserve">label is too coarse to resolve this.</w:t>
      </w:r>
      <w:r>
        <w:t xml:space="preserve"> </w:t>
      </w:r>
      <w:r>
        <w:t xml:space="preserve">For particle size, cross-study comparisons are misleading because studies compare</w:t>
      </w:r>
      <w:r>
        <w:t xml:space="preserve"> </w:t>
      </w:r>
      <w:r>
        <w:t xml:space="preserve">incompatible size windows: one laboratory’s</w:t>
      </w:r>
      <w:r>
        <w:t xml:space="preserve"> </w:t>
      </w:r>
      <w:r>
        <w:t xml:space="preserve">“fine”</w:t>
      </w:r>
      <w:r>
        <w:t xml:space="preserve"> </w:t>
      </w:r>
      <w:r>
        <w:t xml:space="preserve">particles are another’s standard</w:t>
      </w:r>
      <w:r>
        <w:t xml:space="preserve"> </w:t>
      </w:r>
      <w:r>
        <w:t xml:space="preserve">size, and different regimes are mixed when averaging across studies. Within each of the</w:t>
      </w:r>
      <w:r>
        <w:t xml:space="preserve"> </w:t>
      </w:r>
      <w:r>
        <w:t xml:space="preserve">five studies that vary particle size, the effect is consistent and negative (smaller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higher yield; Spearman</w:t>
      </w:r>
      <w:r>
        <w:t xml:space="preserve"> </w:t>
      </w:r>
      <m:oMath>
        <m:r>
          <m:t>ρ</m:t>
        </m:r>
        <m:r>
          <m:t>​</m:t>
        </m:r>
        <m:r>
          <m:rPr>
            <m:sty m:val="p"/>
          </m:rPr>
          <m:t>=</m:t>
        </m:r>
        <m:r>
          <m:t>​</m:t>
        </m:r>
        <m:r>
          <m:rPr>
            <m:sty m:val="p"/>
          </m:rPr>
          <m:t>−</m:t>
        </m:r>
        <m:r>
          <m:t>0.29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0.87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). The apparent cross-study flip is</w:t>
      </w:r>
      <w:r>
        <w:t xml:space="preserve"> </w:t>
      </w:r>
      <w:r>
        <w:t xml:space="preserve">thus an artifact of comparing different experimental windows, not a genuine physics</w:t>
      </w:r>
      <w:r>
        <w:t xml:space="preserve"> </w:t>
      </w:r>
      <w:r>
        <w:t xml:space="preserve">disagreement.</w:t>
      </w:r>
    </w:p>
    <w:bookmarkEnd w:id="64"/>
    <w:bookmarkStart w:id="65" w:name="X29a7779cf6ebe8afd89d374ffa8d5876dc81c96"/>
    <w:p>
      <w:pPr>
        <w:pStyle w:val="Heading2"/>
      </w:pPr>
      <w:r>
        <w:t xml:space="preserve">Why pooling fails: the cross-study evidence in context</w:t>
      </w:r>
    </w:p>
    <w:p>
      <w:pPr>
        <w:pStyle w:val="FirstParagraph"/>
      </w:pPr>
      <w:r>
        <w:t xml:space="preserve">The scale of the optimism gap (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) is consistent with what has been found</w:t>
      </w:r>
      <w:r>
        <w:t xml:space="preserve"> </w:t>
      </w:r>
      <w:r>
        <w:t xml:space="preserve">when grouped cross-validation is applied to other domains with hidden group structure</w:t>
      </w:r>
      <w:r>
        <w:t xml:space="preserve"> </w:t>
      </w:r>
      <w:r>
        <w:t xml:space="preserve">. The closest published analogues for hydrogen generation</w:t>
      </w:r>
      <w:r>
        <w:t xml:space="preserve"> </w:t>
      </w:r>
      <w:r>
        <w:t xml:space="preserve">are the interlaboratory round-robin comparisons for MgH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storage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biohydrogen fermentation</w:t>
      </w:r>
      <w:r>
        <w:t xml:space="preserve"> </w:t>
      </w:r>
      <w:r>
        <w:t xml:space="preserve">: in both cases, identical</w:t>
      </w:r>
      <w:r>
        <w:t xml:space="preserve"> </w:t>
      </w:r>
      <w:r>
        <w:t xml:space="preserve">“conditions”</w:t>
      </w:r>
      <w:r>
        <w:t xml:space="preserve"> </w:t>
      </w:r>
      <w:r>
        <w:t xml:space="preserve">in</w:t>
      </w:r>
      <w:r>
        <w:t xml:space="preserve"> </w:t>
      </w:r>
      <w:r>
        <w:t xml:space="preserve">different laboratories produced yields spanning roughly twofold, with the spread traced</w:t>
      </w:r>
      <w:r>
        <w:t xml:space="preserve"> </w:t>
      </w:r>
      <w:r>
        <w:t xml:space="preserve">primarily to measurement and protocol choices rather than to genuine material differences.</w:t>
      </w:r>
      <w:r>
        <w:t xml:space="preserve"> </w:t>
      </w:r>
      <w:r>
        <w:t xml:space="preserve">The present result—that temperature control alone explains</w:t>
      </w:r>
      <w:r>
        <w:t xml:space="preserve"> </w:t>
      </w:r>
      <m:oMath>
        <m:r>
          <m:t>33</m:t>
        </m:r>
        <m:r>
          <m:rPr>
            <m:sty m:val="p"/>
          </m:rPr>
          <m:t>%</m:t>
        </m:r>
      </m:oMath>
      <w:r>
        <w:t xml:space="preserve"> </w:t>
      </w:r>
      <w:r>
        <w:t xml:space="preserve">of between-study</w:t>
      </w:r>
      <w:r>
        <w:t xml:space="preserve"> </w:t>
      </w:r>
      <w:r>
        <w:t xml:space="preserve">yield variance in aluminum hydrolysis—places this field in the same category. The</w:t>
      </w:r>
      <w:r>
        <w:t xml:space="preserve"> </w:t>
      </w:r>
      <w:r>
        <w:t xml:space="preserve">leakage-controlled benchmark we release is designed to let future modeling efforts detect</w:t>
      </w:r>
      <w:r>
        <w:t xml:space="preserve"> </w:t>
      </w:r>
      <w:r>
        <w:t xml:space="preserve">the same failure mode: any model that achieves positive grouped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provided</w:t>
      </w:r>
      <w:r>
        <w:t xml:space="preserve"> </w:t>
      </w:r>
      <w:r>
        <w:t xml:space="preserve">corpus under the study-grouped split would represent genuine cross-study generalization</w:t>
      </w:r>
      <w:r>
        <w:t xml:space="preserve"> </w:t>
      </w:r>
      <w:r>
        <w:t xml:space="preserve">beyond what the current literature supports.</w:t>
      </w:r>
    </w:p>
    <w:bookmarkEnd w:id="65"/>
    <w:bookmarkStart w:id="66" w:name="physics-is-not-absent"/>
    <w:p>
      <w:pPr>
        <w:pStyle w:val="Heading2"/>
      </w:pPr>
      <w:r>
        <w:t xml:space="preserve">Physics is not absent</w:t>
      </w:r>
    </w:p>
    <w:p>
      <w:pPr>
        <w:pStyle w:val="FirstParagraph"/>
      </w:pPr>
      <w:r>
        <w:t xml:space="preserve">“Predominantly methodological”</w:t>
      </w:r>
      <w:r>
        <w:t xml:space="preserve"> </w:t>
      </w:r>
      <w:r>
        <w:t xml:space="preserve">is not</w:t>
      </w:r>
      <w:r>
        <w:t xml:space="preserve"> </w:t>
      </w:r>
      <w:r>
        <w:t xml:space="preserve">“purely methodological.”</w:t>
      </w:r>
      <w:r>
        <w:t xml:space="preserve"> </w:t>
      </w:r>
      <w:r>
        <w:t xml:space="preserve">The regime label is</w:t>
      </w:r>
      <w:r>
        <w:t xml:space="preserve"> </w:t>
      </w:r>
      <w:r>
        <w:t xml:space="preserve">coarse; finer, particle-size-dependent kinetics—tunable between nano- and</w:t>
      </w:r>
      <w:r>
        <w:t xml:space="preserve"> </w:t>
      </w:r>
      <w:r>
        <w:t xml:space="preserve">micro-aluminium powders—genuinely shape the reaction</w:t>
      </w:r>
      <w:r>
        <w:t xml:space="preserve"> </w:t>
      </w:r>
      <w:r>
        <w:t xml:space="preserve">, and such</w:t>
      </w:r>
      <w:r>
        <w:t xml:space="preserve"> </w:t>
      </w:r>
      <w:r>
        <w:t xml:space="preserve">physics operates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studies, below the resolution of a five-level label and</w:t>
      </w:r>
      <w:r>
        <w:t xml:space="preserve"> </w:t>
      </w:r>
      <w:r>
        <w:t xml:space="preserve">partly absorbed into the methodological covariates with which it co-varies. Incremental</w:t>
      </w:r>
      <w:r>
        <w:t xml:space="preserve"> </w:t>
      </w:r>
      <w:r>
        <w:t xml:space="preserve">regime variance (</w:t>
      </w:r>
      <m:oMath>
        <m:r>
          <m:rPr>
            <m:sty m:val="p"/>
          </m:rPr>
          <m:t>+</m:t>
        </m:r>
        <m:r>
          <m:t>0.15</m:t>
        </m:r>
      </m:oMath>
      <w:r>
        <w:t xml:space="preserve"> </w:t>
      </w:r>
      <w:r>
        <w:t xml:space="preserve">after controlling for method) is nonzero, even if not robust.</w:t>
      </w:r>
      <w:r>
        <w:t xml:space="preserve"> </w:t>
      </w:r>
      <w:r>
        <w:t xml:space="preserve">Our attribution is also observational: because methodology is largely a study-level</w:t>
      </w:r>
      <w:r>
        <w:t xml:space="preserve"> </w:t>
      </w:r>
      <w:r>
        <w:t xml:space="preserve">attribute, the temperature-control association could be partly confounded with other</w:t>
      </w:r>
      <w:r>
        <w:t xml:space="preserve"> </w:t>
      </w:r>
      <w:r>
        <w:t xml:space="preserve">unmeasured study-level choices (principal investigator laboratory practice, instrument</w:t>
      </w:r>
      <w:r>
        <w:t xml:space="preserve"> </w:t>
      </w:r>
      <w:r>
        <w:t xml:space="preserve">calibration, student experience). We state the finding associationally and quantify,</w:t>
      </w:r>
      <w:r>
        <w:t xml:space="preserve"> </w:t>
      </w:r>
      <w:r>
        <w:t xml:space="preserve">rather than assert, its robustness.</w:t>
      </w:r>
    </w:p>
    <w:bookmarkEnd w:id="66"/>
    <w:bookmarkStart w:id="68" w:name="a-minimum-information-reporting-standard"/>
    <w:p>
      <w:pPr>
        <w:pStyle w:val="Heading2"/>
      </w:pPr>
      <w:r>
        <w:t xml:space="preserve">A minimum-information reporting standard</w:t>
      </w:r>
    </w:p>
    <w:p>
      <w:pPr>
        <w:pStyle w:val="FirstParagraph"/>
      </w:pPr>
      <w:r>
        <w:t xml:space="preserve">The remedy is standardization. Table </w:t>
      </w:r>
      <w:hyperlink w:anchor="tab:mirepor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lists the minimum information</w:t>
      </w:r>
      <w:r>
        <w:t xml:space="preserve"> </w:t>
      </w:r>
      <w:r>
        <w:t xml:space="preserve">needed to interpret a hydrogen yield across laboratories. The ordering reflects the</w:t>
      </w:r>
      <w:r>
        <w:t xml:space="preserve"> </w:t>
      </w:r>
      <w:r>
        <w:t xml:space="preserve">between-study variance contribution each field carried in our analysis: temperature</w:t>
      </w:r>
      <w:r>
        <w:t xml:space="preserve"> </w:t>
      </w:r>
      <w:r>
        <w:t xml:space="preserve">control is listed first because it was the single largest source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r>
          <m:t>0.33</m:t>
        </m:r>
      </m:oMath>
      <w:r>
        <w:t xml:space="preserve">);</w:t>
      </w:r>
      <w:r>
        <w:t xml:space="preserve"> </w:t>
      </w:r>
      <w:r>
        <w:t xml:space="preserve">measurement method and water type follow because they contribute smaller but nonzero</w:t>
      </w:r>
      <w:r>
        <w:t xml:space="preserve"> </w:t>
      </w:r>
      <w:r>
        <w:t xml:space="preserve">shares. The remaining fields—alkali type and concentration, particle size, activation</w:t>
      </w:r>
      <w:r>
        <w:t xml:space="preserve"> </w:t>
      </w:r>
      <w:r>
        <w:t xml:space="preserve">route, yield basis, rate definition—carried detectable but weaker or less-covered</w:t>
      </w:r>
      <w:r>
        <w:t xml:space="preserve"> </w:t>
      </w:r>
      <w:r>
        <w:t xml:space="preserve">signal here, yet they are practically essential for reproducibility. Provenance (DOI,</w:t>
      </w:r>
      <w:r>
        <w:t xml:space="preserve"> </w:t>
      </w:r>
      <w:r>
        <w:t xml:space="preserve">condition count, replicate count) is necessary to build cumulative, poolable evidence.</w:t>
      </w:r>
    </w:p>
    <w:p>
      <w:pPr>
        <w:pStyle w:val="BodyText"/>
      </w:pPr>
      <w:r>
        <w:t xml:space="preserve">This template is modelled on reporting standards that successfully improved poolability</w:t>
      </w:r>
      <w:r>
        <w:t xml:space="preserve"> </w:t>
      </w:r>
      <w:r>
        <w:t xml:space="preserve">in related fields: round-robin-derived checklists for MgH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biohydrogen</w:t>
      </w:r>
      <w:r>
        <w:t xml:space="preserve"> </w:t>
      </w:r>
      <w:r>
        <w:t xml:space="preserve"> </w:t>
      </w:r>
      <w:r>
        <w:t xml:space="preserve">both show that standardization shrinks interlaboratory</w:t>
      </w:r>
      <w:r>
        <w:t xml:space="preserve"> </w:t>
      </w:r>
      <w:r>
        <w:t xml:space="preserve">spread rather than eliminating it. We expect the same here: full compliance would not</w:t>
      </w:r>
      <w:r>
        <w:t xml:space="preserve"> </w:t>
      </w:r>
      <w:r>
        <w:t xml:space="preserve">remove between-study variance, but it would expose the remaining variance as physics</w:t>
      </w:r>
      <w:r>
        <w:t xml:space="preserve"> </w:t>
      </w:r>
      <w:r>
        <w:t xml:space="preserve">rather than protocol.</w:t>
      </w:r>
    </w:p>
    <w:bookmarkStart w:id="67" w:name="tab:mireport"/>
    <w:p>
      <w:pPr>
        <w:pStyle w:val="TableCaption"/>
      </w:pPr>
      <w:r>
        <w:t xml:space="preserve">Proposed minimum-information reporting standard for aluminum–water hydrolysis</w:t>
      </w:r>
      <w:r>
        <w:t xml:space="preserve"> </w:t>
      </w:r>
      <w:r>
        <w:t xml:space="preserve">hydrogen-yield studies. Items are ordered by the between-study yield variance each</w:t>
      </w:r>
      <w:r>
        <w:t xml:space="preserve"> </w:t>
      </w:r>
      <w:r>
        <w:t xml:space="preserve">carried here (Section </w:t>
      </w:r>
      <w:hyperlink w:anchor="sec:variance_decomp">
        <w:r>
          <w:rPr>
            <w:rStyle w:val="Hyperlink"/>
          </w:rPr>
          <w:t xml:space="preserve">3.4</w:t>
        </w:r>
      </w:hyperlink>
      <w:r>
        <w:t xml:space="preserve">); temperature control is the largest</w:t>
      </w:r>
      <w:r>
        <w:t xml:space="preserve"> </w:t>
      </w:r>
      <w:r>
        <w:t xml:space="preserve">single source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r>
          <m:t>0.33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posed minimum-information reporting standard for aluminum–water hydrolysis hydrogen-yield studies. Items are ordered by the between-study yield variance each carried here (Section 3.4); temperature control is the largest single source (R^2\!=\!0.33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Between-study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(isothermal bath / self-heating / uncontrolled) + setpoint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displacement / pressure / GC / mass-flow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type &amp; purity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/ tap / alkaline / saline, with conductivity or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/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 count; value reported vs. 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Reaction vessel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or closed; insulated?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(NaOH/KOH/none) + concentration (mol L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Particle size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50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μ</m:t>
              </m:r>
            </m:oMath>
            <w:r>
              <w:t xml:space="preserve">m) + sizing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/ melt-alloyed / ball-milled / liquid-metal / 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reference (mL g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); % vs. volumetric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/ maximum / average;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50</m:t>
                  </m:r>
                </m:sub>
              </m:sSub>
            </m:oMath>
            <w:r>
              <w:t xml:space="preserve">/</w:t>
            </w:r>
            <m:oMath>
              <m:sSub>
                <m:e>
                  <m:r>
                    <m:t>t</m:t>
                  </m:r>
                </m:e>
                <m:sub>
                  <m:r>
                    <m:t>80</m:t>
                  </m:r>
                </m:sub>
              </m:sSub>
            </m:oMath>
            <w:r>
              <w:t xml:space="preserve"> </w:t>
            </w:r>
            <w:r>
              <w:t xml:space="preserve">if rate is 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DOI, number of conditions, replicate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7"/>
    <w:bookmarkEnd w:id="68"/>
    <w:bookmarkStart w:id="78" w:name="sec:limitations"/>
    <w:p>
      <w:pPr>
        <w:pStyle w:val="Heading2"/>
      </w:pPr>
      <w:r>
        <w:t xml:space="preserve">Limitations</w:t>
      </w:r>
    </w:p>
    <w:bookmarkStart w:id="69" w:name="sample-size-and-power."/>
    <w:p>
      <w:pPr>
        <w:pStyle w:val="Heading4"/>
      </w:pPr>
      <w:r>
        <w:t xml:space="preserve">Sample size and power.</w:t>
      </w:r>
    </w:p>
    <w:p>
      <w:pPr>
        <w:pStyle w:val="FirstParagraph"/>
      </w:pPr>
      <w:r>
        <w:t xml:space="preserve">The analysis rests on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31</m:t>
        </m:r>
      </m:oMath>
      <w:r>
        <w:t xml:space="preserve"> </w:t>
      </w:r>
      <w:r>
        <w:t xml:space="preserve">studies (</w:t>
      </w:r>
      <m:oMath>
        <m:r>
          <m:t>3</m:t>
        </m:r>
      </m:oMath>
      <w:r>
        <w:t xml:space="preserve">–</w:t>
      </w:r>
      <m:oMath>
        <m:r>
          <m:t>9</m:t>
        </m:r>
      </m:oMath>
      <w:r>
        <w:t xml:space="preserve"> </w:t>
      </w:r>
      <w:r>
        <w:t xml:space="preserve">per regime). Null results</w:t>
      </w:r>
      <w:r>
        <w:t xml:space="preserve"> </w:t>
      </w:r>
      <w:r>
        <w:t xml:space="preserve">(no regime moderation of yield, H2; no regime structure 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, H3;</w:t>
      </w:r>
      <w:r>
        <w:t xml:space="preserve"> </w:t>
      </w:r>
      <w:r>
        <w:t xml:space="preserve">heterogeneous within-study predictability, T_A) are reported as</w:t>
      </w:r>
      <w:r>
        <w:t xml:space="preserve"> </w:t>
      </w:r>
      <w:r>
        <w:t xml:space="preserve">“no detectable effect</w:t>
      </w:r>
      <w:r>
        <w:t xml:space="preserve"> </w:t>
      </w:r>
      <w:r>
        <w:t xml:space="preserve">at this sample size,”</w:t>
      </w:r>
      <w:r>
        <w:t xml:space="preserve"> </w:t>
      </w:r>
      <w:r>
        <w:t xml:space="preserve">not as proof of absence. The between-study variance decomposition</w:t>
      </w:r>
      <w:r>
        <w:t xml:space="preserve"> </w:t>
      </w:r>
      <w:r>
        <w:t xml:space="preserve">(T_B) has cluster-bootstrap confidence intervals that are wide at this</w:t>
      </w:r>
      <w:r>
        <w:t xml:space="preserve"> </w:t>
      </w:r>
      <m:oMath>
        <m:r>
          <m:t>n</m:t>
        </m:r>
      </m:oMath>
      <w:r>
        <w:t xml:space="preserve">; the lower</w:t>
      </w:r>
      <w:r>
        <w:t xml:space="preserve"> </w:t>
      </w:r>
      <w:r>
        <w:t xml:space="preserve">bound on method-joint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0.36</m:t>
        </m:r>
      </m:oMath>
      <w:r>
        <w:t xml:space="preserve">) excludes zero but the upper bound (</w:t>
      </w:r>
      <m:oMath>
        <m:r>
          <m:t>0.999</m:t>
        </m:r>
      </m:oMath>
      <w:r>
        <w:t xml:space="preserve">) is</w:t>
      </w:r>
      <w:r>
        <w:t xml:space="preserve"> </w:t>
      </w:r>
      <w:r>
        <w:t xml:space="preserve">uninformative. Two regimes (</w:t>
      </w:r>
      <w:r>
        <w:rPr>
          <w:rStyle w:val="VerbatimChar"/>
        </w:rPr>
        <w:t xml:space="preserve">waste_al</w:t>
      </w:r>
      <w:r>
        <w:t xml:space="preserve">,</w:t>
      </w:r>
      <w:r>
        <w:t xml:space="preserve"> </w:t>
      </w:r>
      <w:r>
        <w:rPr>
          <w:rStyle w:val="VerbatimChar"/>
        </w:rPr>
        <w:t xml:space="preserve">liquid_metal_activated</w:t>
      </w:r>
      <w:r>
        <w:t xml:space="preserve">) have</w:t>
      </w:r>
      <w:r>
        <w:t xml:space="preserve"> </w:t>
      </w:r>
      <w:r>
        <w:t xml:space="preserve">fewer than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yield rows each; effect estimates for these classes are exploratory.</w:t>
      </w:r>
    </w:p>
    <w:bookmarkEnd w:id="69"/>
    <w:bookmarkStart w:id="70" w:name="associational-attribution."/>
    <w:p>
      <w:pPr>
        <w:pStyle w:val="Heading4"/>
      </w:pPr>
      <w:r>
        <w:t xml:space="preserve">Associational attribution.</w:t>
      </w:r>
    </w:p>
    <w:p>
      <w:pPr>
        <w:pStyle w:val="FirstParagraph"/>
      </w:pPr>
      <w:r>
        <w:t xml:space="preserve">All findings are associational, not causal. Because temperature-control method is largely a</w:t>
      </w:r>
      <w:r>
        <w:t xml:space="preserve"> </w:t>
      </w:r>
      <w:r>
        <w:t xml:space="preserve">study-level attribute, its</w:t>
      </w:r>
      <w:r>
        <w:t xml:space="preserve"> </w:t>
      </w:r>
      <m:oMath>
        <m:r>
          <m:t>33</m:t>
        </m:r>
        <m:r>
          <m:rPr>
            <m:sty m:val="p"/>
          </m:rPr>
          <m:t>%</m:t>
        </m:r>
      </m:oMath>
      <w:r>
        <w:t xml:space="preserve"> </w:t>
      </w:r>
      <w:r>
        <w:t xml:space="preserve">variance share could partly reflect unmeasured</w:t>
      </w:r>
      <w:r>
        <w:t xml:space="preserve"> </w:t>
      </w:r>
      <w:r>
        <w:t xml:space="preserve">study-level differences (equipment, practice, calibration) that co-vary with protocol</w:t>
      </w:r>
      <w:r>
        <w:t xml:space="preserve"> </w:t>
      </w:r>
      <w:r>
        <w:t xml:space="preserve">choice. We quantify the incremental contribution (method beyond regime:</w:t>
      </w:r>
      <w:r>
        <w:t xml:space="preserve"> </w:t>
      </w:r>
      <m:oMath>
        <m:r>
          <m:rPr>
            <m:sty m:val="p"/>
          </m:rPr>
          <m:t>+</m:t>
        </m:r>
        <m:r>
          <m:t>0.47</m:t>
        </m:r>
      </m:oMath>
      <w:r>
        <w:t xml:space="preserve">; regime</w:t>
      </w:r>
      <w:r>
        <w:t xml:space="preserve"> </w:t>
      </w:r>
      <w:r>
        <w:t xml:space="preserve">beyond method:</w:t>
      </w:r>
      <w:r>
        <w:t xml:space="preserve"> </w:t>
      </w:r>
      <m:oMath>
        <m:r>
          <m:rPr>
            <m:sty m:val="p"/>
          </m:rPr>
          <m:t>+</m:t>
        </m:r>
        <m:r>
          <m:t>0.15</m:t>
        </m:r>
      </m:oMath>
      <w:r>
        <w:t xml:space="preserve">) but do not attribute a causal mechanism.</w:t>
      </w:r>
    </w:p>
    <w:bookmarkEnd w:id="70"/>
    <w:bookmarkStart w:id="71" w:name="Xf22783069ed1a759efb9d5a14ce07a26fa88536"/>
    <w:p>
      <w:pPr>
        <w:pStyle w:val="Heading4"/>
      </w:pPr>
      <w:r>
        <w:t xml:space="preserve">Single material system and open-access bias.</w:t>
      </w:r>
    </w:p>
    <w:p>
      <w:pPr>
        <w:pStyle w:val="FirstParagraph"/>
      </w:pPr>
      <w:r>
        <w:t xml:space="preserve">The dataset covers only aluminum–water hydrolysis; the leakage finding and the</w:t>
      </w:r>
      <w:r>
        <w:t xml:space="preserve"> </w:t>
      </w:r>
      <w:r>
        <w:t xml:space="preserve">methodological-heterogeneity finding may not transfer to other reaction systems, though</w:t>
      </w:r>
      <w:r>
        <w:t xml:space="preserve"> </w:t>
      </w:r>
      <w:r>
        <w:t xml:space="preserve">analogues exist in MgH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biohydrogen</w:t>
      </w:r>
      <w:r>
        <w:t xml:space="preserve"> </w:t>
      </w:r>
      <w:r>
        <w:t xml:space="preserve">. Open-access</w:t>
      </w:r>
      <w:r>
        <w:t xml:space="preserve"> </w:t>
      </w:r>
      <w:r>
        <w:t xml:space="preserve">retrieval may bias the sample toward English-language, higher-impact, more-systematic</w:t>
      </w:r>
      <w:r>
        <w:t xml:space="preserve"> </w:t>
      </w:r>
      <w:r>
        <w:t xml:space="preserve">studies; we mitigate this with a quality tier and report the access constraint here.</w:t>
      </w:r>
    </w:p>
    <w:bookmarkEnd w:id="71"/>
    <w:bookmarkStart w:id="72" w:name="unvalidated-reporting-standard."/>
    <w:p>
      <w:pPr>
        <w:pStyle w:val="Heading4"/>
      </w:pPr>
      <w:r>
        <w:t xml:space="preserve">Unvalidated reporting standard.</w:t>
      </w:r>
    </w:p>
    <w:p>
      <w:pPr>
        <w:pStyle w:val="FirstParagraph"/>
      </w:pPr>
      <w:r>
        <w:t xml:space="preserve">The proposed minimum-information checklist (Table </w:t>
      </w:r>
      <w:hyperlink w:anchor="tab:mireport">
        <w:r>
          <w:rPr>
            <w:rStyle w:val="Hyperlink"/>
          </w:rPr>
          <w:t xml:space="preserve">5</w:t>
        </w:r>
      </w:hyperlink>
      <w:r>
        <w:t xml:space="preserve">) has not been</w:t>
      </w:r>
      <w:r>
        <w:t xml:space="preserve"> </w:t>
      </w:r>
      <w:r>
        <w:t xml:space="preserve">prospectively validated: we do not yet know how much of the residual between-study</w:t>
      </w:r>
      <w:r>
        <w:t xml:space="preserve"> </w:t>
      </w:r>
      <w:r>
        <w:t xml:space="preserve">variance it would remove in practice. It is a hypothesis about what would help, grounded</w:t>
      </w:r>
      <w:r>
        <w:t xml:space="preserve"> </w:t>
      </w:r>
      <w:r>
        <w:t xml:space="preserve">in our variance decomposition.</w:t>
      </w:r>
    </w:p>
    <w:bookmarkEnd w:id="72"/>
    <w:bookmarkStart w:id="73" w:name="single-author-and-ai-assisted-workflow."/>
    <w:p>
      <w:pPr>
        <w:pStyle w:val="Heading4"/>
      </w:pPr>
      <w:r>
        <w:t xml:space="preserve">Single-author and AI-assisted workflow.</w:t>
      </w:r>
    </w:p>
    <w:p>
      <w:pPr>
        <w:pStyle w:val="FirstParagraph"/>
      </w:pPr>
      <w:r>
        <w:t xml:space="preserve">All data extraction, curation, analysis, and writing were performed by a single author</w:t>
      </w:r>
      <w:r>
        <w:t xml:space="preserve"> </w:t>
      </w:r>
      <w:r>
        <w:t xml:space="preserve">with AI assistance (see Declaration of generative AI). Single-author extraction provides</w:t>
      </w:r>
      <w:r>
        <w:t xml:space="preserve"> </w:t>
      </w:r>
      <w:r>
        <w:t xml:space="preserve">intra-rater consistency evidence only, not inter-rater reliability: the double-extraction</w:t>
      </w:r>
      <w:r>
        <w:t xml:space="preserve"> </w:t>
      </w:r>
      <w:r>
        <w:t xml:space="preserve">check (</w:t>
      </w:r>
      <m:oMath>
        <m:r>
          <m:t>52</m:t>
        </m:r>
        <m:r>
          <m:rPr>
            <m:sty m:val="p"/>
          </m:rPr>
          <m:t>/</m:t>
        </m:r>
        <m:r>
          <m:t>52</m:t>
        </m:r>
      </m:oMath>
      <w:r>
        <w:t xml:space="preserve"> </w:t>
      </w:r>
      <w:r>
        <w:t xml:space="preserve">exact,</w:t>
      </w:r>
      <w:r>
        <w:t xml:space="preserve"> </w:t>
      </w:r>
      <m:oMath>
        <m:r>
          <m:t>52</m:t>
        </m:r>
        <m:r>
          <m:rPr>
            <m:sty m:val="p"/>
          </m:rPr>
          <m:t>/</m:t>
        </m:r>
        <m:r>
          <m:t>315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16</m:t>
        </m:r>
        <m:r>
          <m:rPr>
            <m:sty m:val="p"/>
          </m:rPr>
          <m:t>%</m:t>
        </m:r>
      </m:oMath>
      <w:r>
        <w:t xml:space="preserve">) repeated extraction by the same author on a</w:t>
      </w:r>
      <w:r>
        <w:t xml:space="preserve"> </w:t>
      </w:r>
      <w:r>
        <w:t xml:space="preserve">subset of rows, confirming self-consistency but not guarding against systematic extractor</w:t>
      </w:r>
      <w:r>
        <w:t xml:space="preserve"> </w:t>
      </w:r>
      <w:r>
        <w:t xml:space="preserve">bias shared across both passes. The remaining</w:t>
      </w:r>
      <w:r>
        <w:t xml:space="preserve"> </w:t>
      </w:r>
      <m:oMath>
        <m:r>
          <m:t>84</m:t>
        </m:r>
        <m:r>
          <m:rPr>
            <m:sty m:val="p"/>
          </m:rPr>
          <m:t>%</m:t>
        </m:r>
      </m:oMath>
      <w:r>
        <w:t xml:space="preserve"> </w:t>
      </w:r>
      <w:r>
        <w:t xml:space="preserve">of rows (</w:t>
      </w:r>
      <m:oMath>
        <m:r>
          <m:t>263</m:t>
        </m:r>
        <m:r>
          <m:rPr>
            <m:sty m:val="p"/>
          </m:rPr>
          <m:t>/</m:t>
        </m:r>
        <m:r>
          <m:t>315</m:t>
        </m:r>
      </m:oMath>
      <w:r>
        <w:t xml:space="preserve">) have no</w:t>
      </w:r>
      <w:r>
        <w:t xml:space="preserve"> </w:t>
      </w:r>
      <w:r>
        <w:t xml:space="preserve">independent extractor check. Because both passes may have relied on the same AI tool,</w:t>
      </w:r>
      <w:r>
        <w:t xml:space="preserve"> </w:t>
      </w:r>
      <w:r>
        <w:t xml:space="preserve">the</w:t>
      </w:r>
      <w:r>
        <w:t xml:space="preserve"> </w:t>
      </w:r>
      <m:oMath>
        <m:r>
          <m:t>52</m:t>
        </m:r>
        <m:r>
          <m:rPr>
            <m:sty m:val="p"/>
          </m:rPr>
          <m:t>/</m:t>
        </m:r>
        <m:r>
          <m:t>52</m:t>
        </m:r>
      </m:oMath>
      <w:r>
        <w:t xml:space="preserve"> </w:t>
      </w:r>
      <w:r>
        <w:t xml:space="preserve">agreement is a self-consistency check rather than an independent validation</w:t>
      </w:r>
      <w:r>
        <w:t xml:space="preserve"> </w:t>
      </w:r>
      <w:r>
        <w:t xml:space="preserve">against AI-introduced errors; the primary protection is the author’s manual review and</w:t>
      </w:r>
      <w:r>
        <w:t xml:space="preserve"> </w:t>
      </w:r>
      <w:r>
        <w:t xml:space="preserve">verification of every extracted value. Readers should treat the results as a first</w:t>
      </w:r>
      <w:r>
        <w:t xml:space="preserve"> </w:t>
      </w:r>
      <w:r>
        <w:t xml:space="preserve">systematic synthesis requiring external validation rather than as an established consensus.</w:t>
      </w:r>
      <w:r>
        <w:t xml:space="preserve"> </w:t>
      </w:r>
      <w:r>
        <w:t xml:space="preserve">The curated data and analysis pipeline are released openly so that independent groups can</w:t>
      </w:r>
      <w:r>
        <w:t xml:space="preserve"> </w:t>
      </w:r>
      <w:r>
        <w:t xml:space="preserve">audit extraction quality and extend the corpus.</w:t>
      </w:r>
    </w:p>
    <w:bookmarkEnd w:id="73"/>
    <w:bookmarkStart w:id="74" w:name="particle-size-finding-scope."/>
    <w:p>
      <w:pPr>
        <w:pStyle w:val="Heading4"/>
      </w:pPr>
      <w:r>
        <w:t xml:space="preserve">Particle-size finding scope.</w:t>
      </w:r>
    </w:p>
    <w:p>
      <w:pPr>
        <w:pStyle w:val="FirstParagraph"/>
      </w:pPr>
      <w:r>
        <w:t xml:space="preserve">The resolution of the particle-size contradiction rests on</w:t>
      </w:r>
      <w:r>
        <w:t xml:space="preserve"> 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5</m:t>
        </m:r>
      </m:oMath>
      <w:r>
        <w:t xml:space="preserve"> </w:t>
      </w:r>
      <w:r>
        <w:t xml:space="preserve">studies</w:t>
      </w:r>
      <w:r>
        <w:t xml:space="preserve"> </w:t>
      </w:r>
      <w:r>
        <w:t xml:space="preserve">(</w:t>
      </w:r>
      <m:oMath>
        <m:r>
          <m:t>59</m:t>
        </m:r>
        <m:r>
          <m:rPr>
            <m:sty m:val="p"/>
          </m:rPr>
          <m:t>/</m:t>
        </m:r>
        <m:r>
          <m:t>315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19</m:t>
        </m:r>
        <m:r>
          <m:rPr>
            <m:sty m:val="p"/>
          </m:rPr>
          <m:t>%</m:t>
        </m:r>
      </m:oMath>
      <w:r>
        <w:t xml:space="preserve">) that systematically vary particle size. Two regimes</w:t>
      </w:r>
      <w:r>
        <w:t xml:space="preserve"> </w:t>
      </w:r>
      <w:r>
        <w:t xml:space="preserve">(</w:t>
      </w:r>
      <w:r>
        <w:rPr>
          <w:rStyle w:val="VerbatimChar"/>
        </w:rPr>
        <w:t xml:space="preserve">al_alloy</w:t>
      </w:r>
      <w:r>
        <w:t xml:space="preserve">,</w:t>
      </w:r>
      <w:r>
        <w:t xml:space="preserve"> </w:t>
      </w:r>
      <w:r>
        <w:rPr>
          <w:rStyle w:val="VerbatimChar"/>
        </w:rPr>
        <w:t xml:space="preserve">mechanically_activated</w:t>
      </w:r>
      <w:r>
        <w:t xml:space="preserve">) have zero particle-size entries.</w:t>
      </w:r>
      <w:r>
        <w:t xml:space="preserve"> </w:t>
      </w:r>
      <w:r>
        <w:t xml:space="preserve">The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within-study consistency is a strong qualitative signal, but the</w:t>
      </w:r>
      <w:r>
        <w:t xml:space="preserve"> </w:t>
      </w:r>
      <m:oMath>
        <m:r>
          <m:t>26</m:t>
        </m:r>
      </m:oMath>
      <w:r>
        <w:t xml:space="preserve"> </w:t>
      </w:r>
      <w:r>
        <w:t xml:space="preserve">studies</w:t>
      </w:r>
      <w:r>
        <w:t xml:space="preserve"> </w:t>
      </w:r>
      <w:r>
        <w:t xml:space="preserve">that did not report particle size may differ systematically from those that did.</w:t>
      </w:r>
      <w:r>
        <w:t xml:space="preserve"> </w:t>
      </w:r>
      <w:r>
        <w:t xml:space="preserve">Whether the consistently-negative within-study effect generalises beyond the reporting</w:t>
      </w:r>
      <w:r>
        <w:t xml:space="preserve"> </w:t>
      </w:r>
      <w:r>
        <w:t xml:space="preserve">subset cannot be established from the current dataset.</w:t>
      </w:r>
    </w:p>
    <w:bookmarkEnd w:id="74"/>
    <w:bookmarkStart w:id="75" w:name="leakage-gap-as-a-conflated-signal."/>
    <w:p>
      <w:pPr>
        <w:pStyle w:val="Heading4"/>
      </w:pPr>
      <w:r>
        <w:t xml:space="preserve">Leakage gap as a conflated signal.</w:t>
      </w:r>
    </w:p>
    <w:p>
      <w:pPr>
        <w:pStyle w:val="FirstParagraph"/>
      </w:pPr>
      <w:r>
        <w:t xml:space="preserve">The optimism gap (</w:t>
      </w:r>
      <m:oMath>
        <m:r>
          <m:t>0.62</m:t>
        </m:r>
      </m:oMath>
      <w:r>
        <w:t xml:space="preserve">–</w:t>
      </w:r>
      <m:oMath>
        <m:r>
          <m:t>0.85</m:t>
        </m:r>
      </m:oMath>
      <w:r>
        <w:t xml:space="preserve"> </w:t>
      </w:r>
      <w:r>
        <w:t xml:space="preserve">for tree models) reflects two distinct phenomena:</w:t>
      </w:r>
      <w:r>
        <w:t xml:space="preserve"> </w:t>
      </w:r>
      <w:r>
        <w:t xml:space="preserve">between-study methodological heterogeneity and out-of-distribution extrapolation.</w:t>
      </w:r>
      <w:r>
        <w:t xml:space="preserve"> </w:t>
      </w:r>
      <w:r>
        <w:t xml:space="preserve">If the 31 studies explore non-overlapping regions of physicochemical parameter</w:t>
      </w:r>
      <w:r>
        <w:t xml:space="preserve"> </w:t>
      </w:r>
      <w:r>
        <w:t xml:space="preserve">space—plausible given five regimes with different activation methods, particle sizes,</w:t>
      </w:r>
      <w:r>
        <w:t xml:space="preserve"> </w:t>
      </w:r>
      <w:r>
        <w:t xml:space="preserve">and alkali types—a model trained on some studies will fail on others even under</w:t>
      </w:r>
      <w:r>
        <w:t xml:space="preserve"> </w:t>
      </w:r>
      <w:r>
        <w:t xml:space="preserve">identical measurement protocols, because the held-out study’s conditions are out of</w:t>
      </w:r>
      <w:r>
        <w:t xml:space="preserve"> </w:t>
      </w:r>
      <w:r>
        <w:t xml:space="preserve">distribution. We cannot currently separate these contributions quantitatively; the</w:t>
      </w:r>
      <w:r>
        <w:t xml:space="preserve"> </w:t>
      </w:r>
      <m:oMath>
        <m:r>
          <m:t>55</m:t>
        </m:r>
        <m:r>
          <m:rPr>
            <m:sty m:val="p"/>
          </m:rPr>
          <m:t>%</m:t>
        </m:r>
      </m:oMath>
      <w:r>
        <w:t xml:space="preserve"> </w:t>
      </w:r>
      <w:r>
        <w:t xml:space="preserve">methodology attribution addresses the heterogeneity component but does not</w:t>
      </w:r>
      <w:r>
        <w:t xml:space="preserve"> </w:t>
      </w:r>
      <w:r>
        <w:t xml:space="preserve">isolate it from extrapolation effects.</w:t>
      </w:r>
    </w:p>
    <w:bookmarkEnd w:id="75"/>
    <w:bookmarkStart w:id="76" w:name="mixed-effects-model-specification."/>
    <w:p>
      <w:pPr>
        <w:pStyle w:val="Heading4"/>
      </w:pPr>
      <w:r>
        <w:t xml:space="preserve">Mixed-effects model specification.</w:t>
      </w:r>
    </w:p>
    <w:p>
      <w:pPr>
        <w:pStyle w:val="FirstParagraph"/>
      </w:pPr>
      <w:r>
        <w:t xml:space="preserve">The mixed-effects meta-regression (H2) assumes homoscedastic within-study residual</w:t>
      </w:r>
      <w:r>
        <w:t xml:space="preserve"> </w:t>
      </w:r>
      <w:r>
        <w:t xml:space="preserve">variance. However, the within-study LOSO analysis (T_A) shows wide heterogeneity in</w:t>
      </w:r>
      <w:r>
        <w:t xml:space="preserve"> </w:t>
      </w:r>
      <w:r>
        <w:t xml:space="preserve">within-study predictability (</w:t>
      </w:r>
      <m:oMath>
        <m:sSubSup>
          <m:e>
            <m:r>
              <m:t>η</m:t>
            </m:r>
          </m:e>
          <m:sub>
            <m:r>
              <m:rPr>
                <m:nor/>
                <m:sty m:val="p"/>
              </m:rPr>
              <m:t>study</m:t>
            </m:r>
          </m:sub>
          <m:sup>
            <m:r>
              <m:t>2</m:t>
            </m:r>
          </m:sup>
        </m:sSubSup>
        <m:r>
          <m:t>​</m:t>
        </m:r>
        <m:r>
          <m:rPr>
            <m:sty m:val="p"/>
          </m:rPr>
          <m:t>=</m:t>
        </m:r>
        <m:r>
          <m:t>​</m:t>
        </m:r>
        <m:r>
          <m:t>0.496</m:t>
        </m:r>
      </m:oMath>
      <w:r>
        <w:t xml:space="preserve">). If residual variance</w:t>
      </w:r>
      <w:r>
        <w:t xml:space="preserve"> </w:t>
      </w:r>
      <w:r>
        <w:t xml:space="preserve">differs substantially across studies, REML estimates may be inefficient and fixed-effect</w:t>
      </w:r>
      <w:r>
        <w:t xml:space="preserve"> </w:t>
      </w:r>
      <w:r>
        <w:t xml:space="preserve">standard errors biased, making the null regime effect harder to interpret. Influence</w:t>
      </w:r>
      <w:r>
        <w:t xml:space="preserve"> </w:t>
      </w:r>
      <w:r>
        <w:t xml:space="preserve">diagnostics and heteroscedastic alternatives were not performed; the H2 null should be</w:t>
      </w:r>
      <w:r>
        <w:t xml:space="preserve"> </w:t>
      </w:r>
      <w:r>
        <w:t xml:space="preserve">replicated in a larger sample.</w:t>
      </w:r>
    </w:p>
    <w:bookmarkEnd w:id="76"/>
    <w:bookmarkStart w:id="77" w:name="laboratory-clustering."/>
    <w:p>
      <w:pPr>
        <w:pStyle w:val="Heading4"/>
      </w:pPr>
      <w:r>
        <w:t xml:space="preserve">Laboratory clustering.</w:t>
      </w:r>
    </w:p>
    <w:p>
      <w:pPr>
        <w:pStyle w:val="FirstParagraph"/>
      </w:pPr>
      <w:r>
        <w:t xml:space="preserve">The study-grouped cross-validation treats each DOI as an independent unit. Multiple</w:t>
      </w:r>
      <w:r>
        <w:t xml:space="preserve"> </w:t>
      </w:r>
      <w:r>
        <w:t xml:space="preserve">papers from the same laboratory or principal investigator may share unmeasured</w:t>
      </w:r>
      <w:r>
        <w:t xml:space="preserve"> </w:t>
      </w:r>
      <w:r>
        <w:t xml:space="preserve">similarities (equipment, protocols, calibration) that DOI-level grouping does not</w:t>
      </w:r>
      <w:r>
        <w:t xml:space="preserve"> </w:t>
      </w:r>
      <w:r>
        <w:t xml:space="preserve">capture. If studies cluster by laboratory, the observed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nor/>
                <m:sty m:val="p"/>
              </m:rPr>
              <m:t>grouped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may</w:t>
      </w:r>
      <w:r>
        <w:t xml:space="preserve"> </w:t>
      </w:r>
      <w:r>
        <w:t xml:space="preserve">still overestimate true cross-laboratory generalization. A lab-grouped cross-validation</w:t>
      </w:r>
      <w:r>
        <w:t xml:space="preserve"> </w:t>
      </w:r>
      <w:r>
        <w:t xml:space="preserve">was not performed; future work should construct a study-to-laboratory mapping and</w:t>
      </w:r>
      <w:r>
        <w:t xml:space="preserve"> </w:t>
      </w:r>
      <w:r>
        <w:t xml:space="preserve">test whether the optimism gap widens under stricter grouping.</w:t>
      </w:r>
    </w:p>
    <w:bookmarkEnd w:id="77"/>
    <w:bookmarkEnd w:id="78"/>
    <w:bookmarkEnd w:id="79"/>
    <w:bookmarkStart w:id="8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unified the scattered aluminum–water hydrolysis literature into a provenance-tracked,</w:t>
      </w:r>
      <w:r>
        <w:t xml:space="preserve"> </w:t>
      </w:r>
      <w:r>
        <w:t xml:space="preserve">quality-tiered open dataset and used leakage-controlled, pre-registered analysis to test</w:t>
      </w:r>
      <w:r>
        <w:t xml:space="preserve"> </w:t>
      </w:r>
      <w:r>
        <w:t xml:space="preserve">whether its long-documented contradictions are physical or methodological. The data answer</w:t>
      </w:r>
      <w:r>
        <w:t xml:space="preserve"> </w:t>
      </w:r>
      <w:r>
        <w:t xml:space="preserve">clearly, if associationally: under study-grouped evaluation naive pooling fails, the</w:t>
      </w:r>
      <w:r>
        <w:t xml:space="preserve"> </w:t>
      </w:r>
      <w:r>
        <w:t xml:space="preserve">physico-chemical regime explains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(bootstrap 95 % CI</w:t>
      </w:r>
      <w:r>
        <w:t xml:space="preserve"> </w:t>
      </w:r>
      <m:oMath>
        <m:r>
          <m:rPr>
            <m:sty m:val="p"/>
          </m:rPr>
          <m:t>[</m:t>
        </m:r>
        <m:r>
          <m:t>0.02</m:t>
        </m:r>
        <m:r>
          <m:rPr>
            <m:sty m:val="p"/>
          </m:rPr>
          <m:t>,</m:t>
        </m:r>
        <m:r>
          <m:t> </m:t>
        </m:r>
        <m:r>
          <m:t>0.37</m:t>
        </m:r>
        <m:r>
          <m:rPr>
            <m:sty m:val="p"/>
          </m:rPr>
          <m:t>]</m:t>
        </m:r>
      </m:oMath>
      <w:r>
        <w:t xml:space="preserve">) of the between-study yield variance while</w:t>
      </w:r>
      <w:r>
        <w:t xml:space="preserve"> </w:t>
      </w:r>
      <w:r>
        <w:t xml:space="preserve">methodological covariates explain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55</m:t>
        </m:r>
        <m:r>
          <m:rPr>
            <m:sty m:val="p"/>
          </m:rPr>
          <m:t>%</m:t>
        </m:r>
      </m:oMath>
      <w:r>
        <w:t xml:space="preserve"> </w:t>
      </w:r>
      <w:r>
        <w:t xml:space="preserve">(temperature control alone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33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and the flagship particle-size contradiction is consistent within studies. The contradictions</w:t>
      </w:r>
      <w:r>
        <w:t xml:space="preserve"> </w:t>
      </w:r>
      <w:r>
        <w:t xml:space="preserve">are predominantly an artifact of non-standardized measurement, not genuine regime</w:t>
      </w:r>
      <w:r>
        <w:t xml:space="preserve"> </w:t>
      </w:r>
      <w:r>
        <w:t xml:space="preserve">disagreement. Beyond the finding, the contribution is durable infrastructure—an open</w:t>
      </w:r>
      <w:r>
        <w:t xml:space="preserve"> </w:t>
      </w:r>
      <w:r>
        <w:t xml:space="preserve">dataset, a reproducible leakage-controlled benchmark, and a proposed minimum-information</w:t>
      </w:r>
      <w:r>
        <w:t xml:space="preserve"> </w:t>
      </w:r>
      <w:r>
        <w:t xml:space="preserve">reporting checklist—that, if prospectively adopted and validated, could reduce methodological</w:t>
      </w:r>
      <w:r>
        <w:t xml:space="preserve"> </w:t>
      </w:r>
      <w:r>
        <w:t xml:space="preserve">variance and improve poolability.</w:t>
      </w:r>
    </w:p>
    <w:bookmarkEnd w:id="80"/>
    <w:bookmarkStart w:id="82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curated dataset (315 condition-level yield rows and the separate 76-row kinetic table), the</w:t>
      </w:r>
      <w:r>
        <w:t xml:space="preserve"> </w:t>
      </w:r>
      <w:r>
        <w:t xml:space="preserve">analysis pipeline, and the figure-generation scripts are released openly: data under CC-BY-4.0 and</w:t>
      </w:r>
      <w:r>
        <w:t xml:space="preserve"> </w:t>
      </w:r>
      <w:r>
        <w:t xml:space="preserve">code under MIT. A versioned archive with a citable DOI is deposited at Zenodo (</w:t>
      </w:r>
      <w:r>
        <w:t xml:space="preserve">[TODO: Zenodo DOI]</w:t>
      </w:r>
      <w:r>
        <w:t xml:space="preserve">);</w:t>
      </w:r>
      <w:r>
        <w:t xml:space="preserve"> </w:t>
      </w:r>
      <w:r>
        <w:t xml:space="preserve">the development repository is at</w:t>
      </w:r>
      <w:r>
        <w:t xml:space="preserve"> </w:t>
      </w:r>
      <w:hyperlink r:id="rId81">
        <w:r>
          <w:rPr>
            <w:rStyle w:val="Hyperlink"/>
          </w:rPr>
          <w:t xml:space="preserve">https://github.com/zegran/AIH2</w:t>
        </w:r>
      </w:hyperlink>
      <w:r>
        <w:t xml:space="preserve">. A dataset card documenting the</w:t>
      </w:r>
      <w:r>
        <w:t xml:space="preserve"> </w:t>
      </w:r>
      <w:r>
        <w:t xml:space="preserve">schema, provenance, quality tiers, and scope accompanies the deposit.</w:t>
      </w:r>
    </w:p>
    <w:bookmarkEnd w:id="82"/>
    <w:bookmarkStart w:id="83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research received no specific grant from funding agencies in the public, commercial, or not-for-profit sectors.</w:t>
      </w:r>
    </w:p>
    <w:bookmarkEnd w:id="83"/>
    <w:bookmarkStart w:id="84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 declares no competing financial or personal interests.</w:t>
      </w:r>
    </w:p>
    <w:bookmarkEnd w:id="84"/>
    <w:bookmarkStart w:id="85" w:name="credit-authorship-contribution-statement"/>
    <w:p>
      <w:pPr>
        <w:pStyle w:val="Heading1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</w:rPr>
        <w:t xml:space="preserve">Dogukan Unal:</w:t>
      </w:r>
      <w:r>
        <w:t xml:space="preserve"> </w:t>
      </w:r>
      <w:r>
        <w:t xml:space="preserve">Conceptualization, Methodology, Software, Formal analysis, Data curation,</w:t>
      </w:r>
      <w:r>
        <w:t xml:space="preserve"> </w:t>
      </w:r>
      <w:r>
        <w:t xml:space="preserve">Writing – original draft, Writing – review &amp; editing, Visualization.</w:t>
      </w:r>
    </w:p>
    <w:bookmarkEnd w:id="85"/>
    <w:bookmarkStart w:id="86" w:name="Xfd35355eaff5be7167e13ac5f8f9ba5509cc5e8"/>
    <w:p>
      <w:pPr>
        <w:pStyle w:val="Heading1"/>
      </w:pPr>
      <w:r>
        <w:t xml:space="preserve">Declaration of generative AI and AI-assisted technologies</w:t>
      </w:r>
    </w:p>
    <w:p>
      <w:pPr>
        <w:pStyle w:val="FirstParagraph"/>
      </w:pPr>
      <w:r>
        <w:t xml:space="preserve">During the preparation of this work the author used generative AI agents (Anthropic’s Claude, via</w:t>
      </w:r>
      <w:r>
        <w:t xml:space="preserve"> </w:t>
      </w:r>
      <w:r>
        <w:t xml:space="preserve">the Claude Code environment) for literature triage, assistance with data extraction from source</w:t>
      </w:r>
      <w:r>
        <w:t xml:space="preserve"> </w:t>
      </w:r>
      <w:r>
        <w:t xml:space="preserve">papers, statistical analysis and analysis code, figure generation, and drafting of the manuscript.</w:t>
      </w:r>
      <w:r>
        <w:t xml:space="preserve"> </w:t>
      </w:r>
      <w:r>
        <w:t xml:space="preserve">All AI-assisted steps were carried out under the author’s direction. The author reviewed and verified</w:t>
      </w:r>
      <w:r>
        <w:t xml:space="preserve"> </w:t>
      </w:r>
      <w:r>
        <w:t xml:space="preserve">all extracted data, analyses, results, and claims, edited the AI output as needed, and takes full</w:t>
      </w:r>
      <w:r>
        <w:t xml:space="preserve"> </w:t>
      </w:r>
      <w:r>
        <w:t xml:space="preserve">responsibility for the content of this publication. The AI tools are not listed as authors and made</w:t>
      </w:r>
      <w:r>
        <w:t xml:space="preserve"> </w:t>
      </w:r>
      <w:r>
        <w:t xml:space="preserve">no independent scientific judgements.</w:t>
      </w:r>
    </w:p>
    <w:bookmarkEnd w:id="86"/>
    <w:bookmarkStart w:id="91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rPr>
          <w:b/>
          <w:bCs/>
        </w:rPr>
        <w:t xml:space="preserve">Contents:</w:t>
      </w:r>
      <w:r>
        <w:t xml:space="preserve"> </w:t>
      </w:r>
      <w:r>
        <w:t xml:space="preserve">SI-1: Complete 31-study data-source list (regime, row counts, DOI).</w:t>
      </w:r>
      <w:r>
        <w:t xml:space="preserve"> </w:t>
      </w:r>
      <w:r>
        <w:t xml:space="preserve">SI-2: Full random-forest permutation importance ranking (all 16 model features).</w:t>
      </w:r>
      <w:r>
        <w:t xml:space="preserve"> </w:t>
      </w:r>
      <w:r>
        <w:t xml:space="preserve">Full per-study Arrhenius activation energies (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t xml:space="preserve">), per-study within-study</w:t>
      </w:r>
      <w:r>
        <w:t xml:space="preserve"> </w:t>
      </w:r>
      <w:r>
        <w:t xml:space="preserve">LOSO skill values, and coverage tables are provided in the companion data release (DOI:</w:t>
      </w:r>
      <w:r>
        <w:t xml:space="preserve"> </w:t>
      </w:r>
      <w:r>
        <w:t xml:space="preserve">[TODO: Zenodo DOI]</w:t>
      </w:r>
      <w:r>
        <w:t xml:space="preserve">).</w:t>
      </w:r>
    </w:p>
    <w:bookmarkStart w:id="88" w:name="Xa9c3b58d9abd5cb8f772648c2f76997974e2040"/>
    <w:p>
      <w:pPr>
        <w:pStyle w:val="Heading2"/>
      </w:pPr>
      <w:r>
        <w:t xml:space="preserve">Table SI-1: Complete data-source study list</w:t>
      </w:r>
    </w:p>
    <w:bookmarkStart w:id="87" w:name="tab:si_sources"/>
    <w:p>
      <w:pPr>
        <w:pStyle w:val="TableCaption"/>
      </w:pPr>
      <w:r>
        <w:rPr>
          <w:b/>
          <w:bCs/>
        </w:rPr>
        <w:t xml:space="preserve">All 31 data-source studies, their physico-chemical regime, row counts,</w:t>
      </w:r>
      <w:r>
        <w:rPr>
          <w:b/>
          <w:bCs/>
        </w:rPr>
        <w:t xml:space="preserve"> </w:t>
      </w:r>
      <w:r>
        <w:rPr>
          <w:b/>
          <w:bCs/>
        </w:rPr>
        <w:t xml:space="preserve">and DOIs.</w:t>
      </w:r>
      <w:r>
        <w:t xml:space="preserve"> </w:t>
      </w:r>
      <w:r>
        <w:t xml:space="preserve">Studies are listed in order of first regime, then alphabetically by citekey.</w:t>
      </w:r>
      <w:r>
        <w:t xml:space="preserve"> </w:t>
      </w:r>
      <w:r>
        <w:t xml:space="preserve">“Yield rows”</w:t>
      </w:r>
      <w:r>
        <w:t xml:space="preserve"> </w:t>
      </w:r>
      <w:r>
        <w:t xml:space="preserve">are condition-level records in the hydrogen-yield dataset;</w:t>
      </w:r>
      <w:r>
        <w:t xml:space="preserve"> </w:t>
      </w:r>
      <w:r>
        <w:t xml:space="preserve">“kinetic rows”</w:t>
      </w:r>
      <w:r>
        <w:t xml:space="preserve"> </w:t>
      </w:r>
      <w:r>
        <w:t xml:space="preserve">are Arrhenius fits or tabulated rates in the separate kinetic table.</w:t>
      </w:r>
      <w:r>
        <w:t xml:space="preserve"> </w:t>
      </w:r>
      <w:r>
        <w:t xml:space="preserve">Full condition-range metadata (temperature, concentration, particle-size ranges) are in</w:t>
      </w:r>
      <w:r>
        <w:t xml:space="preserve"> </w:t>
      </w:r>
      <w:r>
        <w:t xml:space="preserve">the companion data release.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l 31 data-source studies, their physico-chemical regime, row counts, and DOIs. Studies are listed in order of first regime, then alphabetically by citekey. “Yield rows” are condition-level records in the hydrogen-yield dataset; “kinetic rows” are Arrhenius fits or tabulated rates in the separate kinetic table. Full condition-range metadata (temperature, concentration, particle-size ranges) are in the companion data releas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Citekey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Kinetic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pure_al_alkali</w:t>
            </w:r>
            <w:r>
              <w:t xml:space="preserve"> </w:t>
            </w:r>
            <w:r>
              <w:t xml:space="preserve">(9 studies)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10.1111/j.1551-2916.2010.03969.x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10.1590/s0104-66322012000200014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10.1016/j.ijhydene.2013.09.070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10.1016/j.energy.2017.05.031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10.1002/er.3955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10.1016/j.ijhydene.2021.06.101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10.1002/er.6478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10.1039/d2ra01231f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pure_al_alkali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10.3389/fenrg.2024.1441155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al_alloy</w:t>
            </w:r>
            <w:r>
              <w:t xml:space="preserve"> </w:t>
            </w:r>
            <w:r>
              <w:t xml:space="preserve">(3 studies)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al_alloy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10.1016/j.ijhydene.2017.02.205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al_alloy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10.1016/j.ijhydene.2018.12.124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al_alloy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10.1016/j.ijhydene.2022.09.127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mechanically_activated</w:t>
            </w:r>
            <w:r>
              <w:t xml:space="preserve"> </w:t>
            </w:r>
            <w:r>
              <w:t xml:space="preserve">(6 studies)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mechanically_activated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10.1016/j.energy.2018.05.201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mechanically_activated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10.1016/j.energy.2019.116107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mechanically_activated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10.1016/j.ijhydene.2018.09.133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mechanically_activated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10.1016/j.ijhydene.2020.03.027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mechanically_activated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10.1016/j.jallcom.2019.152800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mechanically_activated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10.3390/ma15031197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liquid_metal_activated</w:t>
            </w:r>
            <w:r>
              <w:t xml:space="preserve"> </w:t>
            </w:r>
            <w:r>
              <w:t xml:space="preserve">(5 studies)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liquid_metal_activated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10.1016/j.ijhydene.2012.02.175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liquid_metal_activated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10.1016/j.ijhydene.2015.11.122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liquid_metal_activated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10.1016/j.ijhydene.2020.04.161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liquid_metal_activated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10.1039/c7ra01839h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liquid_metal_activated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10.4236/epe.2015.79041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waste_al</w:t>
            </w:r>
            <w:r>
              <w:t xml:space="preserve"> </w:t>
            </w:r>
            <w:r>
              <w:t xml:space="preserve">(8 studies)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10.1016/j.ijhydene.2015.11.083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10.1007/s40243-024-00287-2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10.3390/en16145554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10.3390/hydrogen7020055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10.3390/app15052640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10.3390/met13020185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10.3390/ma17112637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waste_al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10.9767/bcrec.20041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76</w:t>
            </w:r>
          </w:p>
        </w:tc>
        <w:tc>
          <w:tcPr/>
          <w:p>
            <w:pPr>
              <w:pStyle w:val="Compact"/>
            </w:pPr>
          </w:p>
        </w:tc>
      </w:tr>
    </w:tbl>
    <w:bookmarkEnd w:id="87"/>
    <w:bookmarkEnd w:id="88"/>
    <w:bookmarkStart w:id="90" w:name="X24062c73f475a9049b1d4b16e83655fb497e037"/>
    <w:p>
      <w:pPr>
        <w:pStyle w:val="Heading2"/>
      </w:pPr>
      <w:r>
        <w:t xml:space="preserve">Table SI-2: Full random-forest permutation importance</w:t>
      </w:r>
    </w:p>
    <w:bookmarkStart w:id="89" w:name="tab:si_perm_imp"/>
    <w:p>
      <w:pPr>
        <w:pStyle w:val="TableCaption"/>
      </w:pPr>
      <w:r>
        <w:rPr>
          <w:b/>
          <w:bCs/>
        </w:rPr>
        <w:t xml:space="preserve">Random-forest permutation importance for all 16 model features.</w:t>
      </w:r>
      <w:r>
        <w:t xml:space="preserve"> </w:t>
      </w:r>
      <w:r>
        <w:t xml:space="preserve">In-sample fit on 315 yield rows; used descriptively only (grouped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 the</w:t>
      </w:r>
      <w:r>
        <w:t xml:space="preserve"> </w:t>
      </w:r>
      <w:r>
        <w:t xml:space="preserve">model is not a validated predictor). Feature names follow the dataset schema.</w:t>
      </w:r>
      <w:r>
        <w:t xml:space="preserve"> </w:t>
      </w:r>
      <w:r>
        <w:t xml:space="preserve">Source:</w:t>
      </w:r>
      <w:r>
        <w:t xml:space="preserve"> </w:t>
      </w:r>
      <w:r>
        <w:rPr>
          <w:rStyle w:val="VerbatimChar"/>
        </w:rPr>
        <w:t xml:space="preserve">results/real_v1/tables/permutation_importance.csv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-forest permutation importance for all 16 model features. In-sample fit on 315 yield rows; used descriptively only (grouped R^2 &lt; 0, so the model is not a validated predictor). Feature names follow the dataset schema. Source: results/real_v1/tables/permutation_importance.csv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Permutation 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particle_size_d50_um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in_wt_pct</w:t>
            </w:r>
            <w:r>
              <w:t xml:space="preserve"> </w:t>
            </w:r>
            <w:r>
              <w:t xml:space="preserve">(indium loading)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temperature_k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ga_wt_pct</w:t>
            </w:r>
            <w:r>
              <w:t xml:space="preserve"> </w:t>
            </w:r>
            <w:r>
              <w:t xml:space="preserve">(gallium loading)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al_wt_pct</w:t>
            </w:r>
            <w:r>
              <w:t xml:space="preserve"> </w:t>
            </w:r>
            <w:r>
              <w:t xml:space="preserve">(aluminium purity)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sn_wt_pct</w:t>
            </w:r>
            <w:r>
              <w:t xml:space="preserve"> </w:t>
            </w:r>
            <w:r>
              <w:t xml:space="preserve">(tin loading)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activator_ratio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morphology_flag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bi_wt_pct</w:t>
            </w:r>
            <w:r>
              <w:t xml:space="preserve"> </w:t>
            </w:r>
            <w:r>
              <w:t xml:space="preserve">(bismuth loading)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mg_wt_pct</w:t>
            </w:r>
            <w:r>
              <w:t xml:space="preserve"> </w:t>
            </w:r>
            <w:r>
              <w:t xml:space="preserve">(magnesium loading)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zn_wt_pct</w:t>
            </w:r>
            <w:r>
              <w:t xml:space="preserve"> </w:t>
            </w:r>
            <w:r>
              <w:t xml:space="preserve">(zinc loading)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alkali_conc_mol_l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alkali_type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activation_method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</w:tbl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df" /><Relationship Type="http://schemas.openxmlformats.org/officeDocument/2006/relationships/image" Id="rId46" Target="media/rId46.pdf" /><Relationship Type="http://schemas.openxmlformats.org/officeDocument/2006/relationships/image" Id="rId50" Target="media/rId50.pdf" /><Relationship Type="http://schemas.openxmlformats.org/officeDocument/2006/relationships/image" Id="rId54" Target="media/rId54.pdf" /><Relationship Type="http://schemas.openxmlformats.org/officeDocument/2006/relationships/image" Id="rId21" Target="media/rId21.pdf" /><Relationship Type="http://schemas.openxmlformats.org/officeDocument/2006/relationships/image" Id="rId58" Target="media/rId58.pdf" /><Relationship Type="http://schemas.openxmlformats.org/officeDocument/2006/relationships/hyperlink" Id="rId81" Target="https://github.com/zegran/AIH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github.com/zegran/AIH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Apparent Contradictions in the Aluminum–Water Hydrolysis Literature are Predominantly Methodological: a Provenance-Tracked, Leakage-Controlled Analysis</dc:title>
  <dc:creator>Dogukan Unal</dc:creator>
  <cp:keywords/>
  <dcterms:created xsi:type="dcterms:W3CDTF">2026-06-17T18:04:58Z</dcterms:created>
  <dcterms:modified xsi:type="dcterms:W3CDTF">2026-06-17T18:04:58Z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Two decades of aluminum–water hydrolysis experiments have produced a literature that contradicts itself: reported activation energies span 3.5–102.6 kJ mol^{-1} and the direction of the particle-size effect changes sign across studies. Whether these contradictions reflect genuine physico-chemical regimes or artifacts of non-standardized protocols is the question we address with a leakage-controlled machine-learning evaluation framework. We curate a provenance-tracked, quality-tiered open dataset of 315 condition-level hydrogen-yield rows from 31 independent studies (plus a separate 76-row kinetic table), with pre-registered hypotheses and transparent null reporting. Under study-grouped cross-validation, six comparative machine-learning models collapse from R^2\!\approx\!0.55 (random splits) to R^2&lt;0 (optimism gap 0.62–0.85)—the literature does not pool naively. A between-study variance decomposition attributes \approx\!55\% of the between-study yield variance to methodological covariates versus \approx\!2\% (bootstrap 95 % CI 0.02–0.37) for the physico-chemical regime label, with temperature-control method alone the largest single source (\approx\!33\%). A complementary mixed-effects meta-regression finds no significant regime moderation (p=0.32–0.45, 0/8 Holm-corrected interactions). The flagship particle-size “contradiction” dissolves: within every study that reports particle size as a variable (n\!=\!5 of 31; 59/315 rows), the within-study effect is consistently negative, identifying the cross-study apparent flip as an integration artifact. We release the curated dataset, the reproducible analysis pipeline, and a proposed minimum-information reporting checklist to make future experiments poolable across laboratories.</vt:lpwstr>
  </property>
  <property fmtid="{D5CDD505-2E9C-101B-9397-08002B2CF9AE}" pid="3" name="bibliography">
    <vt:lpwstr/>
  </property>
</Properties>
</file>