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17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Apparent Contradictions in the Aluminum–Water Hydrolysis Literature</w:t>
      </w:r>
      <w:r>
        <w:t xml:space="preserve"> </w:t>
      </w:r>
      <w:r>
        <w:t xml:space="preserve">are Predominantly Methodological: a Provenance-Tracked, Leakage-Controlled Analysis</w:t>
      </w:r>
    </w:p>
    <w:p>
      <w:pPr>
        <w:pStyle w:val="Author"/>
      </w:pPr>
      <w:r>
        <w:t xml:space="preserve">Dogukan Unal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 aluminum–water hydrolysis literature for hydrogen production reports</w:t>
      </w:r>
      <w:r>
        <w:t xml:space="preserve"> </w:t>
      </w:r>
      <w:r>
        <w:t xml:space="preserve">parameter effects that contradict one another across studies—most visibly a</w:t>
      </w:r>
      <w:r>
        <w:t xml:space="preserve"> </w:t>
      </w:r>
      <w:r>
        <w:t xml:space="preserve">direction-changing particle-size effect and activation energies spanning</w:t>
      </w:r>
      <w:r>
        <w:t xml:space="preserve"> </w:t>
      </w:r>
      <m:oMath>
        <m:r>
          <m:t>3.5</m:t>
        </m:r>
      </m:oMath>
      <w:r>
        <w:t xml:space="preserve">–</w:t>
      </w:r>
      <m:oMath>
        <m:r>
          <m:t>102.6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—which blocks data-driven design and leaves open whether</w:t>
      </w:r>
      <w:r>
        <w:t xml:space="preserve"> </w:t>
      </w:r>
      <w:r>
        <w:t xml:space="preserve">the contradictions reflect genuine physico-chemical regimes or artifacts of isolated,</w:t>
      </w:r>
      <w:r>
        <w:t xml:space="preserve"> </w:t>
      </w:r>
      <w:r>
        <w:t xml:space="preserve">non-standardized experimental conditions. We unify the scattered literature into a</w:t>
      </w:r>
      <w:r>
        <w:t xml:space="preserve"> </w:t>
      </w:r>
      <w:r>
        <w:t xml:space="preserve">provenance-tracked open dataset (315 condition-level yield rows from 31 studies, plus a</w:t>
      </w:r>
      <w:r>
        <w:t xml:space="preserve"> </w:t>
      </w:r>
      <w:r>
        <w:t xml:space="preserve">separate 76-row kinetic table) and analyze it with leakage-controlled evaluation, a</w:t>
      </w:r>
      <w:r>
        <w:t xml:space="preserve"> </w:t>
      </w:r>
      <w:r>
        <w:t xml:space="preserve">study-level variance decomposition, and a within-study consistency test, with</w:t>
      </w:r>
      <w:r>
        <w:t xml:space="preserve"> </w:t>
      </w:r>
      <w:r>
        <w:t xml:space="preserve">pre-registered claims and transparent nulls. Under study-grouped cross-validation the</w:t>
      </w:r>
      <w:r>
        <w:t xml:space="preserve"> </w:t>
      </w:r>
      <w:r>
        <w:t xml:space="preserve">strong apparent predictability of random splits collapses (optimism gap</w:t>
      </w:r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), and a between-study variance decomposition shows that</w:t>
      </w:r>
      <w:r>
        <w:t xml:space="preserve"> </w:t>
      </w:r>
      <w:r>
        <w:rPr>
          <w:i/>
          <w:iCs/>
        </w:rPr>
        <w:t xml:space="preserve">methodological</w:t>
      </w:r>
      <w:r>
        <w:t xml:space="preserve"> </w:t>
      </w:r>
      <w:r>
        <w:t xml:space="preserve">covariates are associated with</w:t>
      </w:r>
      <w:r>
        <w:t xml:space="preserve"> </w:t>
      </w:r>
      <m:oMath>
        <m:r>
          <m:rPr>
            <m:sty m:val="p"/>
          </m:rPr>
          <m:t>≈</m:t>
        </m:r>
        <m:r>
          <m:t>55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between-study yield variance versus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for the physico-chemical regime label (</w:t>
      </w:r>
      <w:r>
        <w:rPr>
          <w:rStyle w:val="VerbatimChar"/>
        </w:rPr>
        <w:t xml:space="preserve">system_class</w:t>
      </w:r>
      <w:r>
        <w:t xml:space="preserve">), with the</w:t>
      </w:r>
      <w:r>
        <w:t xml:space="preserve"> </w:t>
      </w:r>
      <w:r>
        <w:t xml:space="preserve">temperature-control method alone the single largest source (</w:t>
      </w:r>
      <m:oMath>
        <m:r>
          <m:rPr>
            <m:sty m:val="p"/>
          </m:rPr>
          <m:t>≈</m:t>
        </m:r>
        <m:r>
          <m:t>33</m:t>
        </m:r>
        <m:r>
          <m:rPr>
            <m:sty m:val="p"/>
          </m:rPr>
          <m:t>%</m:t>
        </m:r>
      </m:oMath>
      <w:r>
        <w:t xml:space="preserve">). The flagship</w:t>
      </w:r>
      <w:r>
        <w:t xml:space="preserve"> </w:t>
      </w:r>
      <w:r>
        <w:t xml:space="preserve">particle-size</w:t>
      </w:r>
      <w:r>
        <w:t xml:space="preserve"> </w:t>
      </w:r>
      <w:r>
        <w:t xml:space="preserve">“contradiction”</w:t>
      </w:r>
      <w:r>
        <w:t xml:space="preserve"> </w:t>
      </w:r>
      <w:r>
        <w:t xml:space="preserve">is internally consistent within every study that varies</w:t>
      </w:r>
      <w:r>
        <w:t xml:space="preserve"> </w:t>
      </w:r>
      <w:r>
        <w:t xml:space="preserve">size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negative), identifying it as a cross-study integration artifact rather than a</w:t>
      </w:r>
      <w:r>
        <w:t xml:space="preserve"> </w:t>
      </w:r>
      <w:r>
        <w:t xml:space="preserve">physical sign reversal. We therefore conclude—associationally and at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31</m:t>
        </m:r>
      </m:oMath>
      <w:r>
        <w:t xml:space="preserve"> </w:t>
      </w:r>
      <w:r>
        <w:t xml:space="preserve">studies—that the literature’s apparent contradictions are predominantly methodological;</w:t>
      </w:r>
      <w:r>
        <w:t xml:space="preserve"> </w:t>
      </w:r>
      <w:r>
        <w:t xml:space="preserve">we release the curated dataset, the reproducible analysis, and a minimum-information</w:t>
      </w:r>
      <w:r>
        <w:t xml:space="preserve"> </w:t>
      </w:r>
      <w:r>
        <w:t xml:space="preserve">reporting standard for aluminum-hydrolysis studies.</w:t>
      </w:r>
    </w:p>
    <w:p>
      <w:pPr>
        <w:pStyle w:val="FirstParagraph"/>
      </w:pPr>
      <w:r>
        <w:t xml:space="preserve">aluminum–water hydrolysis ,hydrogen production ,reproducibility ,</w:t>
      </w:r>
      <w:r>
        <w:t xml:space="preserve"> </w:t>
      </w:r>
      <w:r>
        <w:t xml:space="preserve">data leakage ,meta-analysis ,methodological heterogeneity ,open dataset</w:t>
      </w:r>
    </w:p>
    <w:bookmarkStart w:id="9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</w:pPr>
      <w:r>
        <w:t xml:space="preserve">31 aluminum–water hydrolysis studies unified into one provenance-tracked dataset.</w:t>
      </w:r>
    </w:p>
    <w:p>
      <w:pPr>
        <w:numPr>
          <w:ilvl w:val="0"/>
          <w:numId w:val="1001"/>
        </w:numPr>
      </w:pPr>
      <w:r>
        <w:t xml:space="preserve">Study-grouped cross-validation exposes a large optimism gap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t xml:space="preserve">Methodology explains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55% of between-study yield variance vs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2% for regime.</w:t>
      </w:r>
    </w:p>
    <w:p>
      <w:pPr>
        <w:numPr>
          <w:ilvl w:val="0"/>
          <w:numId w:val="1001"/>
        </w:numPr>
      </w:pPr>
      <w:r>
        <w:t xml:space="preserve">Temperature-control method alone is the single largest source (</w:t>
      </w:r>
      <m:oMath>
        <m:r>
          <m:rPr>
            <m:sty m:val="p"/>
          </m:rPr>
          <m:t>≈</m:t>
        </m:r>
      </m:oMath>
      <w:r>
        <w:t xml:space="preserve">33%).</w:t>
      </w:r>
    </w:p>
    <w:p>
      <w:pPr>
        <w:numPr>
          <w:ilvl w:val="0"/>
          <w:numId w:val="1001"/>
        </w:numPr>
      </w:pPr>
      <w:r>
        <w:t xml:space="preserve">Particle-size effect is negative within all 5/5 studies; the</w:t>
      </w:r>
      <w:r>
        <w:t xml:space="preserve"> </w:t>
      </w:r>
      <w:r>
        <w:t xml:space="preserve">“flip”</w:t>
      </w:r>
      <w:r>
        <w:t xml:space="preserve"> </w:t>
      </w:r>
      <w:r>
        <w:t xml:space="preserve">is an artifact.</w:t>
      </w:r>
    </w:p>
    <w:bookmarkEnd w:id="9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reaction of aluminum with water,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(or via hydroxides), is an attractive route to</w:t>
      </w:r>
      <w:r>
        <w:t xml:space="preserve"> </w:t>
      </w:r>
      <w:r>
        <w:t xml:space="preserve">hydrogen on demand: it is triggered by water alone, stores energy at high density, and</w:t>
      </w:r>
      <w:r>
        <w:t xml:space="preserve"> </w:t>
      </w:r>
      <w:r>
        <w:t xml:space="preserve">needs no high-pressure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infrastructure. Two decades of experiments have mapped how</w:t>
      </w:r>
      <w:r>
        <w:t xml:space="preserve"> </w:t>
      </w:r>
      <w:r>
        <w:t xml:space="preserve">temperature, alkalinity, particle size, alloying/activation, and water chemistry control</w:t>
      </w:r>
      <w:r>
        <w:t xml:space="preserve"> </w:t>
      </w:r>
      <w:r>
        <w:t xml:space="preserve">the yield and rate. Yet the resulting literature is</w:t>
      </w:r>
      <w:r>
        <w:t xml:space="preserve"> </w:t>
      </w:r>
      <w:r>
        <w:rPr>
          <w:i/>
          <w:iCs/>
        </w:rPr>
        <w:t xml:space="preserve">internally contradictory</w:t>
      </w:r>
      <w:r>
        <w:t xml:space="preserve">.</w:t>
      </w:r>
      <w:r>
        <w:t xml:space="preserve"> </w:t>
      </w:r>
      <w:r>
        <w:t xml:space="preserve">Reported activation energies span</w:t>
      </w:r>
      <w:r>
        <w:t xml:space="preserve"> </w:t>
      </w:r>
      <m:oMath>
        <m:r>
          <m:t>3.5</m:t>
        </m:r>
      </m:oMath>
      <w:r>
        <w:t xml:space="preserve">–</w:t>
      </w:r>
      <m:oMath>
        <m:r>
          <m:t>102.6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 the effect of particle</w:t>
      </w:r>
      <w:r>
        <w:t xml:space="preserve"> </w:t>
      </w:r>
      <w:r>
        <w:t xml:space="preserve">size is reported as both beneficial and detrimental; the rate–yield trade-off is</w:t>
      </w:r>
      <w:r>
        <w:t xml:space="preserve"> </w:t>
      </w:r>
      <w:r>
        <w:t xml:space="preserve">inconsistent; and studies disagree on which parameter dominates. These contradictions are</w:t>
      </w:r>
      <w:r>
        <w:t xml:space="preserve"> </w:t>
      </w:r>
      <w:r>
        <w:t xml:space="preserve">usually attributed, in passing, to</w:t>
      </w:r>
      <w:r>
        <w:t xml:space="preserve"> </w:t>
      </w:r>
      <w:r>
        <w:t xml:space="preserve">“different conditions,”</w:t>
      </w:r>
      <w:r>
        <w:t xml:space="preserve"> </w:t>
      </w:r>
      <w:r>
        <w:t xml:space="preserve">but the attribution has never</w:t>
      </w:r>
      <w:r>
        <w:t xml:space="preserve"> </w:t>
      </w:r>
      <w:r>
        <w:t xml:space="preserve">been tested.</w:t>
      </w:r>
    </w:p>
    <w:p>
      <w:pPr>
        <w:pStyle w:val="BodyText"/>
      </w:pPr>
      <w:r>
        <w:t xml:space="preserve">This is the unresolved question we address:</w:t>
      </w:r>
      <w:r>
        <w:t xml:space="preserve"> </w:t>
      </w:r>
      <w:r>
        <w:rPr>
          <w:i/>
          <w:iCs/>
        </w:rPr>
        <w:t xml:space="preserve">are the apparent inter-study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contradictions genuine physico-chemical regime differences, or artifacts of isolated,</w:t>
      </w:r>
      <w:r>
        <w:rPr>
          <w:i/>
          <w:iCs/>
        </w:rPr>
        <w:t xml:space="preserve"> </w:t>
      </w:r>
      <w:r>
        <w:rPr>
          <w:i/>
          <w:iCs/>
        </w:rPr>
        <w:t xml:space="preserve">non-standardized experimental conditions?</w:t>
      </w:r>
      <w:r>
        <w:t xml:space="preserve"> </w:t>
      </w:r>
      <w:r>
        <w:t xml:space="preserve">The distinction matters because it determines</w:t>
      </w:r>
      <w:r>
        <w:t xml:space="preserve"> </w:t>
      </w:r>
      <w:r>
        <w:t xml:space="preserve">whether the literature can be pooled to build predictive design models at all. Prior</w:t>
      </w:r>
      <w:r>
        <w:t xml:space="preserve"> </w:t>
      </w:r>
      <w:r>
        <w:t xml:space="preserve">machine-learning work on aluminum–water hydrolysis is, to our knowledge, limited to a</w:t>
      </w:r>
      <w:r>
        <w:t xml:space="preserve"> </w:t>
      </w:r>
      <w:r>
        <w:t xml:space="preserve">single-study, in-sample neural network reporting near-perfect prediction</w:t>
      </w:r>
      <w:r>
        <w:t xml:space="preserve"> </w:t>
      </w:r>
      <w:r>
        <w:t xml:space="preserve">(Das et al. 2023)</w:t>
      </w:r>
      <w:r>
        <w:t xml:space="preserve">. Such a near-perfect in-sample fit is exactly the</w:t>
      </w:r>
      <w:r>
        <w:t xml:space="preserve"> </w:t>
      </w:r>
      <w:r>
        <w:t xml:space="preserve">generalization illusion that a cross-study analysis must guard against: a model that</w:t>
      </w:r>
      <w:r>
        <w:t xml:space="preserve"> </w:t>
      </w:r>
      <w:r>
        <w:t xml:space="preserve">interpolates one laboratory’s data says nothing about whether the literature agrees.</w:t>
      </w:r>
    </w:p>
    <w:p>
      <w:pPr>
        <w:pStyle w:val="BodyText"/>
      </w:pPr>
      <w:r>
        <w:t xml:space="preserve">We take the opposite stance. We unify the scattered literature into a single</w:t>
      </w:r>
      <w:r>
        <w:t xml:space="preserve"> </w:t>
      </w:r>
      <w:r>
        <w:t xml:space="preserve">provenance-tracked dataset and ask, with leakage-controlled evaluation, how far one study</w:t>
      </w:r>
      <w:r>
        <w:t xml:space="preserve"> </w:t>
      </w:r>
      <w:r>
        <w:t xml:space="preserve">transfers to another, and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accounts for the differences when it does not. We</w:t>
      </w:r>
      <w:r>
        <w:t xml:space="preserve"> </w:t>
      </w:r>
      <w:r>
        <w:t xml:space="preserve">pre-registered the analyses and their success criteria before computing them, and we</w:t>
      </w:r>
      <w:r>
        <w:t xml:space="preserve"> </w:t>
      </w:r>
      <w:r>
        <w:t xml:space="preserve">report nulls transparently as</w:t>
      </w:r>
      <w:r>
        <w:t xml:space="preserve"> </w:t>
      </w:r>
      <w:r>
        <w:t xml:space="preserve">“no detectable effect at this sample size”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evidence of absence.</w:t>
      </w:r>
    </w:p>
    <w:bookmarkStart w:id="10" w:name="contributions."/>
    <w:p>
      <w:pPr>
        <w:pStyle w:val="Heading4"/>
      </w:pPr>
      <w:r>
        <w:t xml:space="preserve">Contributions.</w:t>
      </w:r>
    </w:p>
    <w:p>
      <w:pPr>
        <w:numPr>
          <w:ilvl w:val="0"/>
          <w:numId w:val="1002"/>
        </w:numPr>
      </w:pPr>
      <w:r>
        <w:t xml:space="preserve">A curated, provenance-tracked, quality-tiered</w:t>
      </w:r>
      <w:r>
        <w:t xml:space="preserve"> </w:t>
      </w:r>
      <w:r>
        <w:rPr>
          <w:b/>
          <w:bCs/>
        </w:rPr>
        <w:t xml:space="preserve">open dataset</w:t>
      </w:r>
      <w:r>
        <w:t xml:space="preserve"> </w:t>
      </w:r>
      <w:r>
        <w:t xml:space="preserve">of 315</w:t>
      </w:r>
      <w:r>
        <w:t xml:space="preserve"> </w:t>
      </w:r>
      <w:r>
        <w:t xml:space="preserve">condition-level hydrogen-yield rows from 31 studies, with a separate 76-row kinetic</w:t>
      </w:r>
      <w:r>
        <w:t xml:space="preserve"> </w:t>
      </w:r>
      <w:r>
        <w:t xml:space="preserve">table (activation energies and rates), released under CC-BY.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leakage-controlled evaluation</w:t>
      </w:r>
      <w:r>
        <w:t xml:space="preserve"> </w:t>
      </w:r>
      <w:r>
        <w:t xml:space="preserve">showing that random-split predictability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0.55</m:t>
        </m:r>
      </m:oMath>
      <w:r>
        <w:t xml:space="preserve">) collapses under study-grouped cross-validation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; optimism</w:t>
      </w:r>
      <w:r>
        <w:t xml:space="preserve"> </w:t>
      </w:r>
      <w:r>
        <w:t xml:space="preserve">gap</w:t>
      </w:r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)—the literature does not pool naively.</w:t>
      </w:r>
    </w:p>
    <w:p>
      <w:pPr>
        <w:numPr>
          <w:ilvl w:val="0"/>
          <w:numId w:val="1002"/>
        </w:numPr>
      </w:pPr>
      <w:r>
        <w:t xml:space="preserve">The central finding: a study-level variance decomposition in which</w:t>
      </w:r>
      <w:r>
        <w:t xml:space="preserve"> </w:t>
      </w:r>
      <w:r>
        <w:rPr>
          <w:b/>
          <w:bCs/>
        </w:rPr>
        <w:t xml:space="preserve">methodological covariates explain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​</m:t>
        </m:r>
        <m:r>
          <m:t>55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the between-study yield</w:t>
      </w:r>
      <w:r>
        <w:rPr>
          <w:b/>
          <w:bCs/>
        </w:rPr>
        <w:t xml:space="preserve"> </w:t>
      </w:r>
      <w:r>
        <w:rPr>
          <w:b/>
          <w:bCs/>
        </w:rPr>
        <w:t xml:space="preserve">variance versus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​</m:t>
        </m:r>
        <m:r>
          <m:t>2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physico-chemical regime</w:t>
      </w:r>
      <w:r>
        <w:t xml:space="preserve">, with the</w:t>
      </w:r>
      <w:r>
        <w:t xml:space="preserve"> </w:t>
      </w:r>
      <w:r>
        <w:t xml:space="preserve">temperature-control method alone the largest single source (</w:t>
      </w:r>
      <m:oMath>
        <m:r>
          <m:rPr>
            <m:sty m:val="p"/>
          </m:rPr>
          <m:t>≈</m:t>
        </m:r>
        <m:r>
          <m:t>​</m:t>
        </m:r>
        <m:r>
          <m:t>33</m:t>
        </m:r>
        <m:r>
          <m:rPr>
            <m:sty m:val="p"/>
          </m:rPr>
          <m:t>%</m:t>
        </m:r>
      </m:oMath>
      <w:r>
        <w:t xml:space="preserve">); the effect</w:t>
      </w:r>
      <w:r>
        <w:t xml:space="preserve"> </w:t>
      </w:r>
      <w:r>
        <w:t xml:space="preserve">survives controlling for regime.</w:t>
      </w:r>
    </w:p>
    <w:p>
      <w:pPr>
        <w:numPr>
          <w:ilvl w:val="0"/>
          <w:numId w:val="1002"/>
        </w:numPr>
      </w:pPr>
      <w:r>
        <w:t xml:space="preserve">Resolution of the</w:t>
      </w:r>
      <w:r>
        <w:t xml:space="preserve"> </w:t>
      </w:r>
      <w:r>
        <w:rPr>
          <w:b/>
          <w:bCs/>
        </w:rPr>
        <w:t xml:space="preserve">flagship particle-size contradiction</w:t>
      </w:r>
      <w:r>
        <w:t xml:space="preserve"> </w:t>
      </w:r>
      <w:r>
        <w:t xml:space="preserve">as a cross-study</w:t>
      </w:r>
      <w:r>
        <w:t xml:space="preserve"> </w:t>
      </w:r>
      <w:r>
        <w:t xml:space="preserve">integration artifact (within-study effect negative in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studies).</w:t>
      </w:r>
    </w:p>
    <w:p>
      <w:pPr>
        <w:numPr>
          <w:ilvl w:val="0"/>
          <w:numId w:val="1002"/>
        </w:numPr>
      </w:pPr>
      <w:r>
        <w:t xml:space="preserve">A proposed</w:t>
      </w:r>
      <w:r>
        <w:t xml:space="preserve"> </w:t>
      </w:r>
      <w:r>
        <w:rPr>
          <w:b/>
          <w:bCs/>
        </w:rPr>
        <w:t xml:space="preserve">minimum-information reporting standard</w:t>
      </w:r>
      <w:r>
        <w:t xml:space="preserve"> </w:t>
      </w:r>
      <w:r>
        <w:t xml:space="preserve">for aluminum-hydrolysis</w:t>
      </w:r>
      <w:r>
        <w:t xml:space="preserve"> </w:t>
      </w:r>
      <w:r>
        <w:t xml:space="preserve">studies, to make future data poolable.</w:t>
      </w:r>
    </w:p>
    <w:bookmarkEnd w:id="10"/>
    <w:bookmarkEnd w:id="11"/>
    <w:bookmarkStart w:id="16" w:name="related-work"/>
    <w:p>
      <w:pPr>
        <w:pStyle w:val="Heading1"/>
      </w:pPr>
      <w:r>
        <w:t xml:space="preserve">Related work</w:t>
      </w:r>
    </w:p>
    <w:bookmarkStart w:id="12" w:name="aluminumwater-hydrolysis."/>
    <w:p>
      <w:pPr>
        <w:pStyle w:val="Heading4"/>
      </w:pPr>
      <w:r>
        <w:t xml:space="preserve">Aluminum–water hydrolysis.</w:t>
      </w:r>
    </w:p>
    <w:p>
      <w:pPr>
        <w:pStyle w:val="FirstParagraph"/>
      </w:pPr>
      <w:r>
        <w:t xml:space="preserve">Activating aluminum so it reacts with neutral or alkaline water is a mature experimental</w:t>
      </w:r>
      <w:r>
        <w:t xml:space="preserve"> </w:t>
      </w:r>
      <w:r>
        <w:t xml:space="preserve">field. Strategies include dissolved alkali (NaOH/KOH), bulk alloying with low-melting</w:t>
      </w:r>
      <w:r>
        <w:t xml:space="preserve"> </w:t>
      </w:r>
      <w:r>
        <w:t xml:space="preserve">metals (Bi, Sn, In, Ga), high-energy ball milling with such additives, gallium-based</w:t>
      </w:r>
      <w:r>
        <w:t xml:space="preserve"> </w:t>
      </w:r>
      <w:r>
        <w:t xml:space="preserve">liquid-metal/eutectic activation, and the use of waste or scrap aluminum</w:t>
      </w:r>
      <w:r>
        <w:t xml:space="preserve"> </w:t>
      </w:r>
      <w:r>
        <w:t xml:space="preserve">(Wen et al. 2018; Porciúncula et al. 2012; Urbonavičius et al. 2024)</w:t>
      </w:r>
      <w:r>
        <w:t xml:space="preserve">. Reviews of the field</w:t>
      </w:r>
      <w:r>
        <w:t xml:space="preserve"> </w:t>
      </w:r>
      <w:r>
        <w:t xml:space="preserve">(Musicco et al. 2025; Preez and Bessarabov 2021)</w:t>
      </w:r>
      <w:r>
        <w:t xml:space="preserve"> </w:t>
      </w:r>
      <w:r>
        <w:t xml:space="preserve">are</w:t>
      </w:r>
      <w:r>
        <w:t xml:space="preserve"> </w:t>
      </w:r>
      <w:r>
        <w:t xml:space="preserve">qualitative narrative comparisons that catalog these contradictions but do not quantify</w:t>
      </w:r>
      <w:r>
        <w:t xml:space="preserve"> </w:t>
      </w:r>
      <w:r>
        <w:t xml:space="preserve">their origin, unify the data, or test pooling.</w:t>
      </w:r>
    </w:p>
    <w:bookmarkEnd w:id="12"/>
    <w:bookmarkStart w:id="13" w:name="Xba0f2b519b486fddee597f6e5e6eb3e2d09a43e"/>
    <w:p>
      <w:pPr>
        <w:pStyle w:val="Heading4"/>
      </w:pPr>
      <w:r>
        <w:t xml:space="preserve">The generalization illusion in single-study models.</w:t>
      </w:r>
    </w:p>
    <w:p>
      <w:pPr>
        <w:pStyle w:val="FirstParagraph"/>
      </w:pPr>
      <w:r>
        <w:t xml:space="preserve">Data-driven modeling of this reaction is nascent. The closest prior work is a single-study</w:t>
      </w:r>
      <w:r>
        <w:t xml:space="preserve"> </w:t>
      </w:r>
      <w:r>
        <w:t xml:space="preserve">artificial neural network reporting a near-perfect in-sample fit within one laboratory’s data</w:t>
      </w:r>
      <w:r>
        <w:t xml:space="preserve"> </w:t>
      </w:r>
      <w:r>
        <w:t xml:space="preserve">(Das et al. 2023)</w:t>
      </w:r>
      <w:r>
        <w:t xml:space="preserve">. In-sample performance on one study’s grid is uninformative about</w:t>
      </w:r>
      <w:r>
        <w:t xml:space="preserve"> </w:t>
      </w:r>
      <w:r>
        <w:t xml:space="preserve">cross-study transfer; our leakage analysis makes this gap explicit.</w:t>
      </w:r>
    </w:p>
    <w:bookmarkEnd w:id="13"/>
    <w:bookmarkStart w:id="14" w:name="leakage-controlled-evaluation."/>
    <w:p>
      <w:pPr>
        <w:pStyle w:val="Heading4"/>
      </w:pPr>
      <w:r>
        <w:t xml:space="preserve">Leakage-controlled evaluation.</w:t>
      </w:r>
    </w:p>
    <w:p>
      <w:pPr>
        <w:pStyle w:val="FirstParagraph"/>
      </w:pPr>
      <w:r>
        <w:t xml:space="preserve">Grouped/blocked cross-validation, where all records from a group (here, a study) are held</w:t>
      </w:r>
      <w:r>
        <w:t xml:space="preserve"> </w:t>
      </w:r>
      <w:r>
        <w:t xml:space="preserve">out together, is the established defense against optimistic in-sample estimates in</w:t>
      </w:r>
      <w:r>
        <w:t xml:space="preserve"> </w:t>
      </w:r>
      <w:r>
        <w:t xml:space="preserve">materials, chemistry, and the natural sciences</w:t>
      </w:r>
      <w:r>
        <w:t xml:space="preserve"> </w:t>
      </w:r>
      <w:r>
        <w:t xml:space="preserve">(Bernett et al. 2024; John et al. 2025)</w:t>
      </w:r>
      <w:r>
        <w:t xml:space="preserve"> </w:t>
      </w:r>
      <w:r>
        <w:t xml:space="preserve">(and, in chemometrics,</w:t>
      </w:r>
      <w:r>
        <w:t xml:space="preserve"> </w:t>
      </w:r>
      <w:r>
        <w:t xml:space="preserve">(Pomerantsev and Rodionova 2021)</w:t>
      </w:r>
      <w:r>
        <w:t xml:space="preserve">). Recent</w:t>
      </w:r>
      <w:r>
        <w:t xml:space="preserve"> </w:t>
      </w:r>
      <w:r>
        <w:t xml:space="preserve">perspectives on data science in catalysis and materials likewise stress provenance,</w:t>
      </w:r>
      <w:r>
        <w:t xml:space="preserve"> </w:t>
      </w:r>
      <w:r>
        <w:t xml:space="preserve">reproducibility, and honest generalization assessment</w:t>
      </w:r>
      <w:r>
        <w:t xml:space="preserve"> </w:t>
      </w:r>
      <w:r>
        <w:t xml:space="preserve">(Suvarna and Pérez-Ramírez 2024; Bozal-Ginesta et al. 2025; Coelho et al. 2022; Xue et al. 2024; Noble et al. 2022)</w:t>
      </w:r>
      <w:r>
        <w:t xml:space="preserve">. We apply this discipline to aluminum hydrolysis</w:t>
      </w:r>
      <w:r>
        <w:t xml:space="preserve"> </w:t>
      </w:r>
      <w:r>
        <w:t xml:space="preserve">for the first time and, beyond demonstrating leakage, use the variance structure to</w:t>
      </w:r>
      <w:r>
        <w:t xml:space="preserve"> </w:t>
      </w:r>
      <w:r>
        <w:rPr>
          <w:i/>
          <w:iCs/>
        </w:rPr>
        <w:t xml:space="preserve">attribute</w:t>
      </w:r>
      <w:r>
        <w:t xml:space="preserve"> </w:t>
      </w:r>
      <w:r>
        <w:t xml:space="preserve">the between-study disagreement.</w:t>
      </w:r>
    </w:p>
    <w:bookmarkEnd w:id="14"/>
    <w:bookmarkStart w:id="15" w:name="Xb5c2b3cabc0215d207f096e816652c805309335"/>
    <w:p>
      <w:pPr>
        <w:pStyle w:val="Heading4"/>
      </w:pPr>
      <w:r>
        <w:t xml:space="preserve">Methodology as a confound, and reporting standards.</w:t>
      </w:r>
    </w:p>
    <w:p>
      <w:pPr>
        <w:pStyle w:val="FirstParagraph"/>
      </w:pPr>
      <w:r>
        <w:t xml:space="preserve">Individual studies already report that protocol choices shift measured values</w:t>
      </w:r>
      <w:r>
        <w:t xml:space="preserve"> </w:t>
      </w:r>
      <w:r>
        <w:t xml:space="preserve">substantially—vessel insulation and temperature control</w:t>
      </w:r>
      <w:r>
        <w:t xml:space="preserve"> </w:t>
      </w:r>
      <w:r>
        <w:t xml:space="preserve">(Urbonavičius et al. 2023)</w:t>
      </w:r>
      <w:r>
        <w:t xml:space="preserve">, water type,</w:t>
      </w:r>
      <w:r>
        <w:t xml:space="preserve"> </w:t>
      </w:r>
      <w:r>
        <w:t xml:space="preserve">and catalyst pre-treatment</w:t>
      </w:r>
      <w:r>
        <w:t xml:space="preserve"> </w:t>
      </w:r>
      <w:r>
        <w:t xml:space="preserve">(Wen et al. 2018)</w:t>
      </w:r>
      <w:r>
        <w:t xml:space="preserve">. Minimum-information reporting standards have improved</w:t>
      </w:r>
      <w:r>
        <w:t xml:space="preserve"> </w:t>
      </w:r>
      <w:r>
        <w:t xml:space="preserve">poolability in related areas</w:t>
      </w:r>
      <w:r>
        <w:t xml:space="preserve"> </w:t>
      </w:r>
      <w:r>
        <w:t xml:space="preserve">(Wulf et al. 2021; Hoque and Guzman 2018)</w:t>
      </w:r>
      <w:r>
        <w:t xml:space="preserve">; we adapt that template to aluminum hydrolysis.</w:t>
      </w:r>
    </w:p>
    <w:bookmarkEnd w:id="15"/>
    <w:bookmarkEnd w:id="16"/>
    <w:bookmarkStart w:id="25" w:name="data-and-methods"/>
    <w:p>
      <w:pPr>
        <w:pStyle w:val="Heading1"/>
      </w:pPr>
      <w:r>
        <w:t xml:space="preserve">Data and methods</w:t>
      </w:r>
    </w:p>
    <w:bookmarkStart w:id="21" w:name="provenance-tracked-dataset"/>
    <w:p>
      <w:pPr>
        <w:pStyle w:val="Heading2"/>
      </w:pPr>
      <w:r>
        <w:t xml:space="preserve">Provenance-tracked dataset</w:t>
      </w:r>
    </w:p>
    <w:p>
      <w:pPr>
        <w:pStyle w:val="FirstParagraph"/>
      </w:pPr>
      <w:r>
        <w:t xml:space="preserve">We screened the aluminum–water hydrolysis literature and extracted, from 31 full-text</w:t>
      </w:r>
      <w:r>
        <w:t xml:space="preserve"> </w:t>
      </w:r>
      <w:r>
        <w:t xml:space="preserve">studies in hand, every distinct experimental condition reporting a hydrogen outcome. Each</w:t>
      </w:r>
      <w:r>
        <w:t xml:space="preserve"> </w:t>
      </w:r>
      <w:r>
        <w:t xml:space="preserve">row records the target (H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yield, % of the</w:t>
      </w:r>
      <w:r>
        <w:t xml:space="preserve"> </w:t>
      </w:r>
      <m:oMath>
        <m:r>
          <m:t>1244</m:t>
        </m:r>
      </m:oMath>
      <w:r>
        <w:t xml:space="preserve"> mL g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pure-Al theoretical),</w:t>
      </w:r>
      <w:r>
        <w:t xml:space="preserve"> </w:t>
      </w:r>
      <w:r>
        <w:t xml:space="preserve">physical parameters (temperature, alkali concentration, particle size, activator ratio,</w:t>
      </w:r>
      <w:r>
        <w:t xml:space="preserve"> </w:t>
      </w:r>
      <w:r>
        <w:t xml:space="preserve">elemental composition), categorical descriptors, full provenance (study DOI, table/figure</w:t>
      </w:r>
      <w:r>
        <w:t xml:space="preserve"> </w:t>
      </w:r>
      <w:r>
        <w:t xml:space="preserve">source, extractor, extraction method), and quality/methodology metadata. The grouping key</w:t>
      </w:r>
      <w:r>
        <w:t xml:space="preserve"> </w:t>
      </w:r>
      <w:r>
        <w:t xml:space="preserve">is the study DOI. Absent quantities are encoded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unreported quantities as</w:t>
      </w:r>
      <w:r>
        <w:t xml:space="preserve"> </w:t>
      </w:r>
      <w:r>
        <w:t xml:space="preserve">missing, never conflated. Each study is assigned a physico-chemical regime label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{</w:t>
      </w:r>
      <w:r>
        <w:rPr>
          <w:rStyle w:val="VerbatimChar"/>
        </w:rPr>
        <w:t xml:space="preserve">pure_al_alkali</w:t>
      </w:r>
      <w:r>
        <w:t xml:space="preserve">,</w:t>
      </w:r>
      <w:r>
        <w:t xml:space="preserve"> </w:t>
      </w:r>
      <w:r>
        <w:rPr>
          <w:rStyle w:val="VerbatimChar"/>
        </w:rPr>
        <w:t xml:space="preserve">al_alloy</w:t>
      </w:r>
      <w:r>
        <w:t xml:space="preserve">,</w:t>
      </w:r>
      <w:r>
        <w:t xml:space="preserve"> </w:t>
      </w:r>
      <w:r>
        <w:rPr>
          <w:rStyle w:val="VerbatimChar"/>
        </w:rPr>
        <w:t xml:space="preserve">mechanically_activated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liquid_metal_activated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waste_al</w:t>
      </w:r>
      <w:r>
        <w:t xml:space="preserve">},</w:t>
      </w:r>
      <w:r>
        <w:t xml:space="preserve"> </w:t>
      </w:r>
      <w:r>
        <w:t xml:space="preserve">verified against the source materials/methods. The final yield dataset has 315 rows from 31</w:t>
      </w:r>
      <w:r>
        <w:t xml:space="preserve"> </w:t>
      </w:r>
      <w:r>
        <w:t xml:space="preserve">studies (Fig. </w:t>
      </w:r>
      <w:hyperlink w:anchor="fig:dataset">
        <w:r>
          <w:rPr>
            <w:rStyle w:val="Hyperlink"/>
          </w:rPr>
          <w:t xml:space="preserve">1</w:t>
        </w:r>
      </w:hyperlink>
      <w:r>
        <w:t xml:space="preserve">);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76-row kinetic table holds activation</w:t>
      </w:r>
      <w:r>
        <w:t xml:space="preserve"> </w:t>
      </w:r>
      <w:r>
        <w:t xml:space="preserve">energies and rates (reported or fit from rate-vs-temperature data), with their own</w:t>
      </w:r>
      <w:r>
        <w:t xml:space="preserve"> </w:t>
      </w:r>
      <w:r>
        <w:t xml:space="preserve">provenance and fit-quality fields, and is never merged into the yield table.</w:t>
      </w:r>
    </w:p>
    <w:bookmarkStart w:id="20" w:name="fig:dataset"/>
    <w:p>
      <w:pPr>
        <w:pStyle w:val="CaptionedFigure"/>
      </w:pPr>
      <w:r>
        <w:drawing>
          <wp:inline>
            <wp:extent cx="4907280" cy="217689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5_dataset_composi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76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curated open dataset.</w:t>
      </w:r>
      <w:r>
        <w:t xml:space="preserve"> </w:t>
      </w:r>
      <w:r>
        <w:t xml:space="preserve">Per-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yield-row counts with study</w:t>
      </w:r>
      <w:r>
        <w:t xml:space="preserve"> </w:t>
      </w:r>
      <w:r>
        <w:t xml:space="preserve">counts (left) and the A/B/C quality-tier composition (right); a separate 76-row kinetic table is</w:t>
      </w:r>
      <w:r>
        <w:t xml:space="preserve"> </w:t>
      </w:r>
      <w:r>
        <w:t xml:space="preserve">noted.</w:t>
      </w:r>
      <w:r>
        <w:t xml:space="preserve"> </w:t>
      </w:r>
      <m:oMath>
        <m:r>
          <m:t>315</m:t>
        </m:r>
      </m:oMath>
      <w:r>
        <w:t xml:space="preserve"> </w:t>
      </w:r>
      <w:r>
        <w:t xml:space="preserve">yield rows from</w:t>
      </w:r>
      <w:r>
        <w:t xml:space="preserve"> </w:t>
      </w:r>
      <m:oMath>
        <m:r>
          <m:t>31</m:t>
        </m:r>
      </m:oMath>
      <w:r>
        <w:t xml:space="preserve"> </w:t>
      </w:r>
      <w:r>
        <w:t xml:space="preserve">studies, released under CC-BY.</w:t>
      </w:r>
    </w:p>
    <w:bookmarkEnd w:id="20"/>
    <w:p>
      <w:pPr>
        <w:pStyle w:val="BodyText"/>
      </w:pPr>
      <w:r>
        <w:t xml:space="preserve">Two independent re-extraction passes provide quality control: a double extraction of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16</m:t>
        </m:r>
        <m:r>
          <m:rPr>
            <m:sty m:val="p"/>
          </m:rPr>
          <m:t>%</m:t>
        </m:r>
      </m:oMath>
      <w:r>
        <w:t xml:space="preserve"> </w:t>
      </w:r>
      <w:r>
        <w:t xml:space="preserve">of yield rows showed</w:t>
      </w:r>
      <w:r>
        <w:t xml:space="preserve"> </w:t>
      </w:r>
      <m:oMath>
        <m:r>
          <m:t>52</m:t>
        </m:r>
        <m:r>
          <m:rPr>
            <m:sty m:val="p"/>
          </m:rPr>
          <m:t>/</m:t>
        </m:r>
        <m:r>
          <m:t>52</m:t>
        </m:r>
      </m:oMath>
      <w:r>
        <w:t xml:space="preserve"> </w:t>
      </w:r>
      <w:r>
        <w:t xml:space="preserve">exact value agreement, and a classification</w:t>
      </w:r>
      <w:r>
        <w:t xml:space="preserve"> </w:t>
      </w:r>
      <w:r>
        <w:t xml:space="preserve">audit re-derived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for all 31 studies from source; digitized kinetic</w:t>
      </w:r>
      <w:r>
        <w:t xml:space="preserve"> </w:t>
      </w:r>
      <w:r>
        <w:t xml:space="preserve">points were re-read independently (</w:t>
      </w:r>
      <m:oMath>
        <m:r>
          <m:rPr>
            <m:sty m:val="p"/>
          </m:rPr>
          <m:t>≈</m:t>
        </m:r>
        <m:r>
          <m:t>​</m:t>
        </m:r>
        <m:r>
          <m:t>1.5</m:t>
        </m:r>
        <m:r>
          <m:rPr>
            <m:sty m:val="p"/>
          </m:rPr>
          <m:t>%</m:t>
        </m:r>
      </m:oMath>
      <w:r>
        <w:t xml:space="preserve"> </w:t>
      </w:r>
      <w:r>
        <w:t xml:space="preserve">point error). Studies whose Arrhenius</w:t>
      </w:r>
      <w:r>
        <w:t xml:space="preserve"> </w:t>
      </w:r>
      <w:r>
        <w:t xml:space="preserve">fits failed a quality gate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​</m:t>
        </m:r>
        <m:r>
          <m:t>0.90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  <m:r>
          <m:t>​</m:t>
        </m:r>
        <m:r>
          <m:t>3</m:t>
        </m:r>
      </m:oMath>
      <w:r>
        <w:t xml:space="preserve"> </w:t>
      </w:r>
      <w:r>
        <w:t xml:space="preserve">temperatures) were dropped rather</w:t>
      </w:r>
      <w:r>
        <w:t xml:space="preserve"> </w:t>
      </w:r>
      <w:r>
        <w:t xml:space="preserve">than forced.</w:t>
      </w:r>
    </w:p>
    <w:bookmarkEnd w:id="21"/>
    <w:bookmarkStart w:id="22" w:name="leakage-controlled-evaluation"/>
    <w:p>
      <w:pPr>
        <w:pStyle w:val="Heading2"/>
      </w:pPr>
      <w:r>
        <w:t xml:space="preserve">Leakage-controlled evaluation</w:t>
      </w:r>
    </w:p>
    <w:p>
      <w:pPr>
        <w:pStyle w:val="FirstParagraph"/>
      </w:pPr>
      <w:r>
        <w:t xml:space="preserve">For each of six comparative regressors (ElasticNet,</w:t>
      </w:r>
      <w:r>
        <w:t xml:space="preserve"> </w:t>
      </w:r>
      <m:oMath>
        <m:r>
          <m:t>k</m:t>
        </m:r>
      </m:oMath>
      <w:r>
        <w:t xml:space="preserve">NN, random forest, XGBoost, LightGBM,</w:t>
      </w:r>
      <w:r>
        <w:t xml:space="preserve"> </w:t>
      </w:r>
      <w:r>
        <w:t xml:space="preserve">Gaussian process) we estimate the held-out coefficient of determination under two protocols:</w:t>
      </w:r>
      <w:r>
        <w:t xml:space="preserve"> </w:t>
      </w:r>
      <w:r>
        <w:t xml:space="preserve">ordinary</w:t>
      </w:r>
      <w:r>
        <w:t xml:space="preserve"> </w:t>
      </w:r>
      <m:oMath>
        <m:r>
          <m:t>k</m:t>
        </m:r>
      </m:oMath>
      <w:r>
        <w:t xml:space="preserve">-fold (records split at random) and</w:t>
      </w:r>
      <w:r>
        <w:t xml:space="preserve"> </w:t>
      </w:r>
      <w:r>
        <w:rPr>
          <w:i/>
          <w:iCs/>
        </w:rPr>
        <w:t xml:space="preserve">study-grouped</w:t>
      </w:r>
      <w:r>
        <w:t xml:space="preserve"> </w:t>
      </w:r>
      <m:oMath>
        <m:r>
          <m:t>k</m:t>
        </m:r>
      </m:oMath>
      <w:r>
        <w:t xml:space="preserve">-fold (all records</w:t>
      </w:r>
      <w:r>
        <w:t xml:space="preserve"> </w:t>
      </w:r>
      <w:r>
        <w:t xml:space="preserve">of a study held out together). The</w:t>
      </w:r>
      <w:r>
        <w:t xml:space="preserve"> </w:t>
      </w:r>
      <w:r>
        <w:rPr>
          <w:i/>
          <w:iCs/>
        </w:rPr>
        <w:t xml:space="preserve">optimism gap</w:t>
      </w:r>
      <w:r>
        <w:t xml:space="preserve">,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random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rPr>
                <m:nor/>
                <m:sty m:val="p"/>
              </m:rPr>
              <m:t>grouped</m:t>
            </m:r>
          </m:sub>
          <m:sup>
            <m:r>
              <m:t>2</m:t>
            </m:r>
          </m:sup>
        </m:sSubSup>
      </m:oMath>
      <w:r>
        <w:t xml:space="preserve">, measures how much random splitting overstates cross-study</w:t>
      </w:r>
      <w:r>
        <w:t xml:space="preserve"> </w:t>
      </w:r>
      <w:r>
        <w:t xml:space="preserve">generalization. Tree models retain missing values; linear/kernel models use median</w:t>
      </w:r>
      <w:r>
        <w:t xml:space="preserve"> </w:t>
      </w:r>
      <w:r>
        <w:t xml:space="preserve">imputation and one-hot encoding.</w:t>
      </w:r>
    </w:p>
    <w:bookmarkEnd w:id="22"/>
    <w:bookmarkStart w:id="23" w:name="X6081572adb729aae517648677a8543504d9cd9f"/>
    <w:p>
      <w:pPr>
        <w:pStyle w:val="Heading2"/>
      </w:pPr>
      <w:r>
        <w:t xml:space="preserve">Between-study variance decomposition (primary analysis)</w:t>
      </w:r>
    </w:p>
    <w:p>
      <w:pPr>
        <w:pStyle w:val="FirstParagraph"/>
      </w:pPr>
      <w:r>
        <w:t xml:space="preserve">To ask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accounts for the disagreement, we aggregate to the study level (one row per</w:t>
      </w:r>
      <w:r>
        <w:t xml:space="preserve"> </w:t>
      </w:r>
      <w:r>
        <w:t xml:space="preserve">study: mean yield and the study’s modal covariate values) and decompose the between-study</w:t>
      </w:r>
      <w:r>
        <w:t xml:space="preserve"> </w:t>
      </w:r>
      <w:r>
        <w:t xml:space="preserve">variance of mean yield. For a categorical predictor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we report the variance share</w:t>
      </w:r>
      <w:r>
        <w:t xml:space="preserve"> </w:t>
      </w:r>
      <m:oMath>
        <m:sSubSup>
          <m:e>
            <m:r>
              <m:t>R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, comparing the physical-regime</w:t>
      </w:r>
      <w:r>
        <w:t xml:space="preserve"> </w:t>
      </w:r>
      <w:r>
        <w:t xml:space="preserve">label against methodological covariates (</w:t>
      </w:r>
      <w:r>
        <w:rPr>
          <w:rStyle w:val="VerbatimChar"/>
        </w:rPr>
        <w:t xml:space="preserve">temperature_control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measurement_method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vessel_type</w:t>
      </w:r>
      <w:r>
        <w:t xml:space="preserve">). We test whether the methodological signal is genuine—rather than a</w:t>
      </w:r>
      <w:r>
        <w:t xml:space="preserve"> </w:t>
      </w:r>
      <w:r>
        <w:t xml:space="preserve">re-encoding of study identity or a confound with regime—by (i) auditing the study-level</w:t>
      </w:r>
      <w:r>
        <w:t xml:space="preserve"> </w:t>
      </w:r>
      <w:r>
        <w:t xml:space="preserve">coverage of each covariate level, (ii) cross-tabulating against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, and</w:t>
      </w:r>
      <w:r>
        <w:t xml:space="preserve"> </w:t>
      </w:r>
      <w:r>
        <w:t xml:space="preserve">(iii) reporting the</w:t>
      </w:r>
      <w:r>
        <w:t xml:space="preserve"> </w:t>
      </w:r>
      <w:r>
        <w:rPr>
          <w:i/>
          <w:iCs/>
        </w:rPr>
        <w:t xml:space="preserve">incremental</w:t>
      </w:r>
      <w:r>
        <w:t xml:space="preserve"> </w:t>
      </w:r>
      <w:r>
        <w:t xml:space="preserve">variance explained by the temperature-control method</w:t>
      </w:r>
      <w:r>
        <w:t xml:space="preserve"> </w:t>
      </w:r>
      <w:r>
        <w:t xml:space="preserve">after controlling for regime. All headline numbers carry cluster-bootstrap confidence</w:t>
      </w:r>
      <w:r>
        <w:t xml:space="preserve"> </w:t>
      </w:r>
      <w:r>
        <w:t xml:space="preserve">intervals (resampling studies); contrasts use Holm correction. We treat the kinetic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analysis and the within-study tests analogously.</w:t>
      </w:r>
    </w:p>
    <w:bookmarkEnd w:id="23"/>
    <w:bookmarkStart w:id="24" w:name="discipline"/>
    <w:p>
      <w:pPr>
        <w:pStyle w:val="Heading2"/>
      </w:pPr>
      <w:r>
        <w:t xml:space="preserve">Discipline</w:t>
      </w:r>
    </w:p>
    <w:p>
      <w:pPr>
        <w:pStyle w:val="FirstParagraph"/>
      </w:pPr>
      <w:r>
        <w:t xml:space="preserve">Hypotheses and success thresholds were frozen before computation. Language on observational</w:t>
      </w:r>
      <w:r>
        <w:t xml:space="preserve"> </w:t>
      </w:r>
      <w:r>
        <w:t xml:space="preserve">findings is associational, not causal. We report nulls as</w:t>
      </w:r>
      <w:r>
        <w:t xml:space="preserve"> </w:t>
      </w:r>
      <w:r>
        <w:t xml:space="preserve">“no detectable effect at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31</m:t>
        </m:r>
      </m:oMath>
      <w:r>
        <w:t xml:space="preserve"> </w:t>
      </w:r>
      <w:r>
        <w:t xml:space="preserve">studies /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9</m:t>
        </m:r>
      </m:oMath>
      <w:r>
        <w:t xml:space="preserve"> </w:t>
      </w:r>
      <w:r>
        <w:t xml:space="preserve">per regime.”</w:t>
      </w:r>
      <w:r>
        <w:t xml:space="preserve"> </w:t>
      </w:r>
      <w:r>
        <w:t xml:space="preserve">Machine-learning attributions</w:t>
      </w:r>
      <w:r>
        <w:t xml:space="preserve"> </w:t>
      </w:r>
      <w:r>
        <w:t xml:space="preserve">(SHAP/importances) are used descriptively only. All numbers in this paper trace to a</w:t>
      </w:r>
      <w:r>
        <w:t xml:space="preserve"> </w:t>
      </w:r>
      <w:r>
        <w:t xml:space="preserve">committed analysis artifact, and the full pipeline is released.</w:t>
      </w:r>
    </w:p>
    <w:bookmarkEnd w:id="24"/>
    <w:bookmarkEnd w:id="25"/>
    <w:bookmarkStart w:id="51" w:name="results"/>
    <w:p>
      <w:pPr>
        <w:pStyle w:val="Heading1"/>
      </w:pPr>
      <w:r>
        <w:t xml:space="preserve">Results</w:t>
      </w:r>
    </w:p>
    <w:bookmarkStart w:id="26" w:name="X3a7a46ed6cbff90c6bede6ca91cd6dd19e00b32"/>
    <w:p>
      <w:pPr>
        <w:pStyle w:val="Heading2"/>
      </w:pPr>
      <w:r>
        <w:t xml:space="preserve">The literature does not pool: a large optimism gap</w:t>
      </w:r>
    </w:p>
    <w:p>
      <w:pPr>
        <w:pStyle w:val="FirstParagraph"/>
      </w:pPr>
      <w:r>
        <w:t xml:space="preserve">Under random</w:t>
      </w:r>
      <w:r>
        <w:t xml:space="preserve"> </w:t>
      </w:r>
      <m:oMath>
        <m:r>
          <m:t>k</m:t>
        </m:r>
      </m:oMath>
      <w:r>
        <w:t xml:space="preserve">-fold splits the tree models reach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0.55</m:t>
        </m:r>
      </m:oMath>
      <w:r>
        <w:t xml:space="preserve"> </w:t>
      </w:r>
      <w:r>
        <w:t xml:space="preserve">(random forest</w:t>
      </w:r>
      <w:r>
        <w:t xml:space="preserve"> </w:t>
      </w:r>
      <m:oMath>
        <m:r>
          <m:t>0.56</m:t>
        </m:r>
      </m:oMath>
      <w:r>
        <w:t xml:space="preserve">, LightGBM</w:t>
      </w:r>
      <w:r>
        <w:t xml:space="preserve"> </w:t>
      </w:r>
      <m:oMath>
        <m:r>
          <m:t>0.57</m:t>
        </m:r>
      </m:oMath>
      <w:r>
        <w:t xml:space="preserve">, XGBoost</w:t>
      </w:r>
      <w:r>
        <w:t xml:space="preserve"> </w:t>
      </w:r>
      <m:oMath>
        <m:r>
          <m:t>0.55</m:t>
        </m:r>
      </m:oMath>
      <w:r>
        <w:t xml:space="preserve">). Under study-grouped</w:t>
      </w:r>
      <w:r>
        <w:t xml:space="preserve"> </w:t>
      </w:r>
      <w:r>
        <w:t xml:space="preserve">cross-validation the same models fall to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i.e. worse than predicting the global</w:t>
      </w:r>
      <w:r>
        <w:t xml:space="preserve"> </w:t>
      </w:r>
      <w:r>
        <w:t xml:space="preserve">mean on a held-out study, for an optimism gap of</w:t>
      </w:r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 </w:t>
      </w:r>
      <w:r>
        <w:t xml:space="preserve">(Fig. </w:t>
      </w:r>
      <w:hyperlink w:anchor="fig:gap">
        <w:r>
          <w:rPr>
            <w:rStyle w:val="Hyperlink"/>
          </w:rPr>
          <w:t xml:space="preserve">2</w:t>
        </w:r>
      </w:hyperlink>
      <w:r>
        <w:t xml:space="preserve">). The</w:t>
      </w:r>
      <w:r>
        <w:t xml:space="preserve"> </w:t>
      </w:r>
      <w:r>
        <w:t xml:space="preserve">gap persists after removing the single largest study (</w:t>
      </w:r>
      <m:oMath>
        <m:r>
          <m:t>0.48</m:t>
        </m:r>
      </m:oMath>
      <w:r>
        <w:t xml:space="preserve">–</w:t>
      </w:r>
      <m:oMath>
        <m:r>
          <m:t>0.73</m:t>
        </m:r>
      </m:oMath>
      <w:r>
        <w:t xml:space="preserve">), so it is not an</w:t>
      </w:r>
      <w:r>
        <w:t xml:space="preserve"> </w:t>
      </w:r>
      <w:r>
        <w:t xml:space="preserve">artifact of one dominant source. A model trained on some studies therefore does not</w:t>
      </w:r>
      <w:r>
        <w:t xml:space="preserve"> </w:t>
      </w:r>
      <w:r>
        <w:t xml:space="preserve">predict an unseen study—the precondition for asking whether the contradictions are real</w:t>
      </w:r>
      <w:r>
        <w:t xml:space="preserve"> </w:t>
      </w:r>
      <w:r>
        <w:t xml:space="preserve">or artifactual.</w:t>
      </w:r>
    </w:p>
    <w:bookmarkEnd w:id="26"/>
    <w:bookmarkStart w:id="27" w:name="Xc7f41d189191773e4c1220d601865a3a41c24a0"/>
    <w:p>
      <w:pPr>
        <w:pStyle w:val="Heading2"/>
      </w:pPr>
      <w:r>
        <w:t xml:space="preserve">Methodology, not physical regime, explains the between-study variance</w:t>
      </w:r>
    </w:p>
    <w:p>
      <w:pPr>
        <w:pStyle w:val="FirstParagraph"/>
      </w:pPr>
      <w:r>
        <w:t xml:space="preserve">At the study level,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total yield variance lies between studies. The</w:t>
      </w:r>
      <w:r>
        <w:t xml:space="preserve"> </w:t>
      </w:r>
      <w:r>
        <w:t xml:space="preserve">physico-chemical regime label explains almost none of it: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cr m:val="monospace"/>
                <m:sty m:val="p"/>
              </m:rPr>
              <m:t>system_class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0.018</m:t>
        </m:r>
      </m:oMath>
      <w:r>
        <w:t xml:space="preserve"> </w:t>
      </w:r>
      <w:r>
        <w:t xml:space="preserve">(cluster-bootstrap 95% CI</w:t>
      </w:r>
      <w:r>
        <w:t xml:space="preserve"> </w:t>
      </w:r>
      <m:oMath>
        <m:r>
          <m:rPr>
            <m:sty m:val="p"/>
          </m:rPr>
          <m:t>[</m:t>
        </m:r>
        <m:r>
          <m:t>0.015</m:t>
        </m:r>
        <m:r>
          <m:rPr>
            <m:sty m:val="p"/>
          </m:rPr>
          <m:t>,</m:t>
        </m:r>
        <m:r>
          <m:t>0.373</m:t>
        </m:r>
        <m:r>
          <m:rPr>
            <m:sty m:val="p"/>
          </m:rPr>
          <m:t>]</m:t>
        </m:r>
      </m:oMath>
      <w:r>
        <w:t xml:space="preserve">). Methodological covariates jointly</w:t>
      </w:r>
      <w:r>
        <w:t xml:space="preserve"> </w:t>
      </w:r>
      <w:r>
        <w:t xml:space="preserve">explain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0.553</m:t>
        </m:r>
      </m:oMath>
      <w:r>
        <w:t xml:space="preserve"> </w:t>
      </w:r>
      <w:r>
        <w:t xml:space="preserve">(CI</w:t>
      </w:r>
      <w:r>
        <w:t xml:space="preserve"> </w:t>
      </w:r>
      <m:oMath>
        <m:r>
          <m:rPr>
            <m:sty m:val="p"/>
          </m:rPr>
          <m:t>[</m:t>
        </m:r>
        <m:r>
          <m:t>0.361</m:t>
        </m:r>
        <m:r>
          <m:rPr>
            <m:sty m:val="p"/>
          </m:rPr>
          <m:t>,</m:t>
        </m:r>
        <m:r>
          <m:t>0.999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27</m:t>
        </m:r>
        <m:r>
          <m:rPr>
            <m:sty m:val="p"/>
          </m:rPr>
          <m:t>×</m:t>
        </m:r>
      </m:oMath>
      <w:r>
        <w:t xml:space="preserve"> </w:t>
      </w:r>
      <w:r>
        <w:t xml:space="preserve">more</w:t>
      </w:r>
      <w:r>
        <w:t xml:space="preserve"> </w:t>
      </w:r>
      <w:r>
        <w:t xml:space="preserve">(Fig. </w:t>
      </w:r>
      <w:hyperlink w:anchor="fig:variance">
        <w:r>
          <w:rPr>
            <w:rStyle w:val="Hyperlink"/>
          </w:rPr>
          <w:t xml:space="preserve">3</w:t>
        </w:r>
      </w:hyperlink>
      <w:r>
        <w:t xml:space="preserve">). The single largest source is the</w:t>
      </w:r>
      <w:r>
        <w:t xml:space="preserve"> </w:t>
      </w:r>
      <w:r>
        <w:rPr>
          <w:i/>
          <w:iCs/>
        </w:rPr>
        <w:t xml:space="preserve">temperature-control</w:t>
      </w:r>
      <w:r>
        <w:rPr>
          <w:i/>
          <w:iCs/>
        </w:rPr>
        <w:t xml:space="preserve"> </w:t>
      </w:r>
      <w:r>
        <w:rPr>
          <w:i/>
          <w:iCs/>
        </w:rPr>
        <w:t xml:space="preserve">method</w:t>
      </w:r>
      <w:r>
        <w:t xml:space="preserve">: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cr m:val="monospace"/>
                <m:sty m:val="p"/>
              </m:rPr>
              <m:t>temperature_control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0.332</m:t>
        </m:r>
      </m:oMath>
      <w:r>
        <w:t xml:space="preserve"> </w:t>
      </w:r>
      <w:r>
        <w:t xml:space="preserve">(CI</w:t>
      </w:r>
      <w:r>
        <w:t xml:space="preserve"> </w:t>
      </w:r>
      <m:oMath>
        <m:r>
          <m:rPr>
            <m:sty m:val="p"/>
          </m:rPr>
          <m:t>[</m:t>
        </m:r>
        <m:r>
          <m:t>0.030</m:t>
        </m:r>
        <m:r>
          <m:rPr>
            <m:sty m:val="p"/>
          </m:rPr>
          <m:t>,</m:t>
        </m:r>
        <m:r>
          <m:t>0.676</m:t>
        </m:r>
        <m:r>
          <m:rPr>
            <m:sty m:val="p"/>
          </m:rPr>
          <m:t>]</m:t>
        </m:r>
      </m:oMath>
      <w:r>
        <w:t xml:space="preserve">); studies using a</w:t>
      </w:r>
      <w:r>
        <w:t xml:space="preserve"> </w:t>
      </w:r>
      <w:r>
        <w:t xml:space="preserve">self-heating protocol report higher mean yields (</w:t>
      </w:r>
      <m:oMath>
        <m:r>
          <m:t>86</m:t>
        </m:r>
        <m:r>
          <m:rPr>
            <m:sty m:val="p"/>
          </m:rPr>
          <m:t>%</m:t>
        </m:r>
      </m:oMath>
      <w:r>
        <w:t xml:space="preserve">) than isothermal-bath studies</w:t>
      </w:r>
      <w:r>
        <w:t xml:space="preserve"> </w:t>
      </w:r>
      <w:r>
        <w:t xml:space="preserve">(</w:t>
      </w:r>
      <m:oMath>
        <m:r>
          <m:t>75</m:t>
        </m:r>
        <m:r>
          <m:rPr>
            <m:sty m:val="p"/>
          </m:rPr>
          <m:t>%</m:t>
        </m:r>
      </m:oMath>
      <w:r>
        <w:t xml:space="preserve">), and uncontrolled studies far lower (</w:t>
      </w:r>
      <m:oMath>
        <m:r>
          <m:t>32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t xml:space="preserve">This signal is not a relabeling of study identity or of physical regime. Each</w:t>
      </w:r>
      <w:r>
        <w:t xml:space="preserve"> </w:t>
      </w:r>
      <w:r>
        <w:t xml:space="preserve">temperature-control level is shared by many studies (</w:t>
      </w:r>
      <m:oMath>
        <m:r>
          <m:t>22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studies for</w:t>
      </w:r>
      <w:r>
        <w:t xml:space="preserve"> </w:t>
      </w:r>
      <w:r>
        <w:t xml:space="preserve">isothermal-bath/self-heating/uncontrolled) and spans</w:t>
      </w:r>
      <w:r>
        <w:t xml:space="preserve"> </w:t>
      </w:r>
      <m:oMath>
        <m:r>
          <m:t>4</m:t>
        </m:r>
      </m:oMath>
      <w:r>
        <w:t xml:space="preserve">–</w:t>
      </w:r>
      <m:oMath>
        <m:r>
          <m:t>5</m:t>
        </m:r>
      </m:oMath>
      <w:r>
        <w:t xml:space="preserve"> </w:t>
      </w:r>
      <w:r>
        <w:t xml:space="preserve">of the five regimes, so it is</w:t>
      </w:r>
      <w:r>
        <w:t xml:space="preserve"> </w:t>
      </w:r>
      <w:r>
        <w:t xml:space="preserve">not collinear with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. Its contribution</w:t>
      </w:r>
      <w:r>
        <w:t xml:space="preserve"> </w:t>
      </w:r>
      <w:r>
        <w:rPr>
          <w:i/>
          <w:iCs/>
        </w:rPr>
        <w:t xml:space="preserve">survives controlling for</w:t>
      </w:r>
      <w:r>
        <w:rPr>
          <w:i/>
          <w:iCs/>
        </w:rPr>
        <w:t xml:space="preserve"> </w:t>
      </w:r>
      <w:r>
        <w:rPr>
          <w:i/>
          <w:iCs/>
        </w:rPr>
        <w:t xml:space="preserve">regime</w:t>
      </w:r>
      <w:r>
        <w:t xml:space="preserve">: the incremental variance explained by temperature control given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0.467</m:t>
        </m:r>
      </m:oMath>
      <w:r>
        <w:t xml:space="preserve"> </w:t>
      </w:r>
      <w:r>
        <w:t xml:space="preserve">(cluster-bootstrap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0.037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0.772</m:t>
        </m:r>
        <m:r>
          <m:rPr>
            <m:sty m:val="p"/>
          </m:rPr>
          <m:t>]</m:t>
        </m:r>
      </m:oMath>
      <w:r>
        <w:t xml:space="preserve">, excluding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whereas regime given method adds only</w:t>
      </w:r>
      <w:r>
        <w:t xml:space="preserve"> </w:t>
      </w:r>
      <m:oMath>
        <m:r>
          <m:rPr>
            <m:sty m:val="p"/>
          </m:rPr>
          <m:t>+</m:t>
        </m:r>
        <m:r>
          <m:t>0.153</m:t>
        </m:r>
      </m:oMath>
      <w:r>
        <w:t xml:space="preserve">. Residual between-study spread remains within</w:t>
      </w:r>
      <w:r>
        <w:t xml:space="preserve"> </w:t>
      </w:r>
      <w:r>
        <w:t xml:space="preserve">the dominant isothermal-bath level (yield range</w:t>
      </w:r>
      <w:r>
        <w:t xml:space="preserve"> </w:t>
      </w:r>
      <m:oMath>
        <m:r>
          <m:t>26</m:t>
        </m:r>
      </m:oMath>
      <w:r>
        <w:t xml:space="preserve">–</w:t>
      </w:r>
      <m:oMath>
        <m:r>
          <m:t>100</m:t>
        </m:r>
      </m:oMath>
      <w:r>
        <w:t xml:space="preserve">, s.d. </w:t>
      </w:r>
      <m:oMath>
        <m:r>
          <m:t>18.7</m:t>
        </m:r>
      </m:oMath>
      <w:r>
        <w:t xml:space="preserve">), so temperature</w:t>
      </w:r>
      <w:r>
        <w:t xml:space="preserve"> </w:t>
      </w:r>
      <w:r>
        <w:t xml:space="preserve">control is the largest single source of between-study variance, though not the only one; hence we</w:t>
      </w:r>
      <w:r>
        <w:t xml:space="preserve"> </w:t>
      </w:r>
      <w:r>
        <w:t xml:space="preserve">claim</w:t>
      </w:r>
      <w:r>
        <w:t xml:space="preserve"> </w:t>
      </w:r>
      <w:r>
        <w:rPr>
          <w:i/>
          <w:iCs/>
        </w:rPr>
        <w:t xml:space="preserve">predominantly</w:t>
      </w:r>
      <w:r>
        <w:t xml:space="preserve">, not purely, methodological.</w:t>
      </w:r>
    </w:p>
    <w:bookmarkEnd w:id="27"/>
    <w:bookmarkStart w:id="28" w:name="Xe8dce995d1dde6c2f852299b4ca3fe3d07b0a1a"/>
    <w:p>
      <w:pPr>
        <w:pStyle w:val="Heading2"/>
      </w:pPr>
      <w:r>
        <w:t xml:space="preserve">The flagship particle-size contradiction is a cross-study artifact</w:t>
      </w:r>
    </w:p>
    <w:p>
      <w:pPr>
        <w:pStyle w:val="FirstParagraph"/>
      </w:pPr>
      <w:r>
        <w:t xml:space="preserve">The literature’s headline contradiction is a direction-changing particle-size effect. Within</w:t>
      </w:r>
      <w:r>
        <w:t xml:space="preserve"> </w:t>
      </w:r>
      <w:r>
        <w:t xml:space="preserve">every study that varies particle size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), the within-study effect has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sign: smaller particles give higher yield (Spearman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rPr>
            <m:sty m:val="p"/>
          </m:rPr>
          <m:t>−</m:t>
        </m:r>
        <m:r>
          <m:t>0.29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0.87</m:t>
        </m:r>
      </m:oMath>
      <w:r>
        <w:t xml:space="preserve">;</w:t>
      </w:r>
      <w:r>
        <w:t xml:space="preserve"> </w:t>
      </w:r>
      <w:r>
        <w:t xml:space="preserve">Fig. </w:t>
      </w:r>
      <w:hyperlink w:anchor="fig:particle">
        <w:r>
          <w:rPr>
            <w:rStyle w:val="Hyperlink"/>
          </w:rPr>
          <w:t xml:space="preserve">4</w:t>
        </w:r>
      </w:hyperlink>
      <w:r>
        <w:t xml:space="preserve">). The apparent</w:t>
      </w:r>
      <w:r>
        <w:t xml:space="preserve"> </w:t>
      </w:r>
      <w:r>
        <w:t xml:space="preserve">“flip”</w:t>
      </w:r>
      <w:r>
        <w:t xml:space="preserve"> </w:t>
      </w:r>
      <w:r>
        <w:t xml:space="preserve">across the literature arises from comparing</w:t>
      </w:r>
      <w:r>
        <w:t xml:space="preserve"> </w:t>
      </w:r>
      <w:r>
        <w:t xml:space="preserve">different size</w:t>
      </w:r>
      <w:r>
        <w:t xml:space="preserve"> </w:t>
      </w:r>
      <w:r>
        <w:rPr>
          <w:i/>
          <w:iCs/>
        </w:rPr>
        <w:t xml:space="preserve">ranges</w:t>
      </w:r>
      <w:r>
        <w:t xml:space="preserve"> </w:t>
      </w:r>
      <w:r>
        <w:t xml:space="preserve">and material regimes between studies, not from any within-study</w:t>
      </w:r>
      <w:r>
        <w:t xml:space="preserve"> </w:t>
      </w:r>
      <w:r>
        <w:t xml:space="preserve">sign reversal. The flagship contradiction is thus an integration artifact.</w:t>
      </w:r>
    </w:p>
    <w:bookmarkEnd w:id="28"/>
    <w:bookmarkStart w:id="29" w:name="Xd86e7260889bdb484cbd9e0bcaff99fda72709c"/>
    <w:p>
      <w:pPr>
        <w:pStyle w:val="Heading2"/>
      </w:pPr>
      <w:r>
        <w:t xml:space="preserve">Activation energy does not organize by regime</w:t>
      </w:r>
    </w:p>
    <w:p>
      <w:pPr>
        <w:pStyle w:val="FirstParagraph"/>
      </w:pPr>
      <w:r>
        <w:t xml:space="preserve">Reported and independently re-fit activation energies (76-row kinetic table) do not cluster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: the within-regime spread is comparable to the between-regime</w:t>
      </w:r>
      <w:r>
        <w:t xml:space="preserve"> </w:t>
      </w:r>
      <w:r>
        <w:t xml:space="preserve">spread, and</w:t>
      </w:r>
      <w:r>
        <w:t xml:space="preserve"> </w:t>
      </w:r>
      <w:r>
        <w:rPr>
          <w:rStyle w:val="VerbatimChar"/>
        </w:rPr>
        <w:t xml:space="preserve">liquid_metal_activated</w:t>
      </w:r>
      <w:r>
        <w:t xml:space="preserve"> </w:t>
      </w:r>
      <w:r>
        <w:t xml:space="preserve">alone ranges from</w:t>
      </w:r>
      <w:r>
        <w:t xml:space="preserve"> </w:t>
      </w:r>
      <m:oMath>
        <m:r>
          <m:t>8.5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58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(Fig. </w:t>
      </w:r>
      <w:hyperlink w:anchor="fig:ea">
        <w:r>
          <w:rPr>
            <w:rStyle w:val="Hyperlink"/>
          </w:rPr>
          <w:t xml:space="preserve">5</w:t>
        </w:r>
      </w:hyperlink>
      <w:r>
        <w:t xml:space="preserve">). A variance decomposition of per-study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by regime is not</w:t>
      </w:r>
      <w:r>
        <w:t xml:space="preserve"> </w:t>
      </w:r>
      <w:r>
        <w:t xml:space="preserve">significant (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</m:oMath>
      <w:r>
        <w:t xml:space="preserve">, permutation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0.13</m:t>
        </m:r>
      </m:oMath>
      <w:r>
        <w:t xml:space="preserve"> </w:t>
      </w:r>
      <w:r>
        <w:t xml:space="preserve">on the</w:t>
      </w:r>
      <w:r>
        <w:t xml:space="preserve"> </w:t>
      </w:r>
      <m:oMath>
        <m:r>
          <m:rPr>
            <m:sty m:val="p"/>
          </m:rPr>
          <m:t>≥</m:t>
        </m:r>
        <m:r>
          <m:t>​</m:t>
        </m:r>
        <m:r>
          <m:t>3</m:t>
        </m:r>
      </m:oMath>
      <w:r>
        <w:t xml:space="preserve">-study classes). The coarse</w:t>
      </w:r>
      <w:r>
        <w:t xml:space="preserve"> </w:t>
      </w:r>
      <w:r>
        <w:t xml:space="preserve">regime label does not capture the kinetics.</w:t>
      </w:r>
    </w:p>
    <w:bookmarkEnd w:id="29"/>
    <w:bookmarkStart w:id="50" w:name="X0d6de73ed3684c89b392525166653c1cb98f30a"/>
    <w:p>
      <w:pPr>
        <w:pStyle w:val="Heading2"/>
      </w:pPr>
      <w:r>
        <w:t xml:space="preserve">Within-study predictability is heterogeneous (a transparent null)</w:t>
      </w:r>
    </w:p>
    <w:p>
      <w:pPr>
        <w:pStyle w:val="FirstParagraph"/>
      </w:pPr>
      <w:r>
        <w:t xml:space="preserve">Whether each study is internally predictable is mixed: within-study leave-one-condition-out</w:t>
      </w:r>
      <w:r>
        <w:t xml:space="preserve"> </w:t>
      </w:r>
      <w:r>
        <w:t xml:space="preserve">skill is clearly positive for well-designed parameter sweeps, where the response is a smooth,</w:t>
      </w:r>
      <w:r>
        <w:t xml:space="preserve"> </w:t>
      </w:r>
      <w:r>
        <w:t xml:space="preserve">monotone surface (Fig. </w:t>
      </w:r>
      <w:hyperlink w:anchor="fig:surface">
        <w:r>
          <w:rPr>
            <w:rStyle w:val="Hyperlink"/>
          </w:rPr>
          <w:t xml:space="preserve">6</w:t>
        </w:r>
      </w:hyperlink>
      <w:r>
        <w:t xml:space="preserve">; within-study skill</w:t>
      </w:r>
      <w:r>
        <w:t xml:space="preserve"> </w:t>
      </w:r>
      <m:oMath>
        <m:r>
          <m:t>0.84</m:t>
        </m:r>
      </m:oMath>
      <w:r>
        <w:t xml:space="preserve">–</w:t>
      </w:r>
      <m:oMath>
        <m:r>
          <m:t>0.86</m:t>
        </m:r>
      </m:oMath>
      <w:r>
        <w:t xml:space="preserve">), but the</w:t>
      </w:r>
      <w:r>
        <w:t xml:space="preserve"> </w:t>
      </w:r>
      <w:r>
        <w:t xml:space="preserve">median across 14 testable studies is</w:t>
      </w:r>
      <w:r>
        <w:t xml:space="preserve"> </w:t>
      </w:r>
      <m:oMath>
        <m:r>
          <m:rPr>
            <m:sty m:val="p"/>
          </m:rPr>
          <m:t>−</m:t>
        </m:r>
        <m:r>
          <m:t>0.145</m:t>
        </m:r>
      </m:oMath>
      <w:r>
        <w:t xml:space="preserve"> </w:t>
      </w:r>
      <w:r>
        <w:t xml:space="preserve">(CI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0.23</m:t>
        </m:r>
        <m:r>
          <m:rPr>
            <m:sty m:val="p"/>
          </m:rPr>
          <m:t>]</m:t>
        </m:r>
      </m:oMath>
      <w:r>
        <w:t xml:space="preserve">). We report this as no</w:t>
      </w:r>
      <w:r>
        <w:t xml:space="preserve"> </w:t>
      </w:r>
      <w:r>
        <w:t xml:space="preserve">detectable</w:t>
      </w:r>
      <w:r>
        <w:t xml:space="preserve"> </w:t>
      </w:r>
      <w:r>
        <w:rPr>
          <w:i/>
          <w:iCs/>
        </w:rPr>
        <w:t xml:space="preserve">uniform</w:t>
      </w:r>
      <w:r>
        <w:t xml:space="preserve"> </w:t>
      </w:r>
      <w:r>
        <w:t xml:space="preserve">within-study predictability at these per-study sample sizes</w:t>
      </w:r>
      <w:r>
        <w:t xml:space="preserve"> </w:t>
      </w:r>
      <w:r>
        <w:t xml:space="preserve">(</w:t>
      </w:r>
      <m:oMath>
        <m:r>
          <m:t>5</m:t>
        </m:r>
      </m:oMath>
      <w:r>
        <w:t xml:space="preserve">–</w:t>
      </w:r>
      <m:oMath>
        <m:r>
          <m:t>120</m:t>
        </m:r>
      </m:oMath>
      <w:r>
        <w:t xml:space="preserve"> </w:t>
      </w:r>
      <w:r>
        <w:t xml:space="preserve">rows), not as evidence that within-study physics is inconsistent; the</w:t>
      </w:r>
      <w:r>
        <w:t xml:space="preserve"> </w:t>
      </w:r>
      <w:r>
        <w:t xml:space="preserve">between-study variance and the consistent particle-size direction both point the other way.</w:t>
      </w:r>
    </w:p>
    <w:bookmarkStart w:id="33" w:name="fig:gap"/>
    <w:p>
      <w:pPr>
        <w:pStyle w:val="CaptionedFigure"/>
      </w:pPr>
      <w:r>
        <w:drawing>
          <wp:inline>
            <wp:extent cx="3507748" cy="248019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1_optimism_ga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8" cy="248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Leakage control.</w:t>
      </w:r>
      <w:r>
        <w:t xml:space="preserve"> </w:t>
      </w:r>
      <w:r>
        <w:t xml:space="preserve">Each model is a dumbbell from its study-grouped cross-validated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( </w:t>
      </w:r>
      <m:oMath>
        <m:r>
          <m:rPr>
            <m:sty m:val="p"/>
          </m:rPr>
          <m:t>•</m:t>
        </m:r>
      </m:oMath>
      <w:r>
        <w:t xml:space="preserve"> ) to its random-split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( </w:t>
      </w:r>
      <m:oMath>
        <m:r>
          <m:rPr>
            <m:sty m:val="p"/>
          </m:rPr>
          <m:t>◼</m:t>
        </m:r>
      </m:oMath>
      <w:r>
        <w:t xml:space="preserve"> ); the open diamond is the</w:t>
      </w:r>
      <w:r>
        <w:t xml:space="preserve"> </w:t>
      </w:r>
      <w:r>
        <w:t xml:space="preserve">study-grouped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after removing the single largest study (tree models only). Tree models reach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0.55</m:t>
        </m:r>
      </m:oMath>
      <w:r>
        <w:t xml:space="preserve"> </w:t>
      </w:r>
      <w:r>
        <w:t xml:space="preserve">under random splits but fall below zero under study-grouped cross-validation</w:t>
      </w:r>
      <w:r>
        <w:t xml:space="preserve"> </w:t>
      </w:r>
      <w:r>
        <w:t xml:space="preserve">(optimism gap</w:t>
      </w:r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): a model trained on some studies does not predict an unseen study.</w:t>
      </w:r>
    </w:p>
    <w:bookmarkEnd w:id="33"/>
    <w:bookmarkStart w:id="37" w:name="fig:variance"/>
    <w:p>
      <w:pPr>
        <w:pStyle w:val="CaptionedFigure"/>
      </w:pPr>
      <w:r>
        <w:drawing>
          <wp:inline>
            <wp:extent cx="4373880" cy="249713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2_variance_decomposi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97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Methodology, not physical regime, explains the between-study yield variance</w:t>
      </w:r>
      <w:r>
        <w:rPr>
          <w:b/>
          <w:bCs/>
        </w:rPr>
        <w:t xml:space="preserve"> </w:t>
      </w:r>
      <w:r>
        <w:rPr>
          <w:b/>
          <w:bCs/>
        </w:rPr>
        <w:t xml:space="preserve">(headline).</w:t>
      </w:r>
      <w:r>
        <w:t xml:space="preserve"> </w:t>
      </w:r>
      <w:r>
        <w:t xml:space="preserve">Between-study variance of study-mean yield explained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dot) with a 95%</w:t>
      </w:r>
      <w:r>
        <w:t xml:space="preserve"> </w:t>
      </w:r>
      <w:r>
        <w:t xml:space="preserve">cluster-bootstrap confidence interval (bar), one row per predictor. The physico-chemical regime</w:t>
      </w:r>
      <w:r>
        <w:t xml:space="preserve"> </w:t>
      </w:r>
      <w:r>
        <w:t xml:space="preserve">label (</w:t>
      </w:r>
      <w:r>
        <w:rPr>
          <w:rStyle w:val="VerbatimChar"/>
        </w:rPr>
        <w:t xml:space="preserve">system_class</w:t>
      </w:r>
      <w:r>
        <w:t xml:space="preserve">) explains</w:t>
      </w:r>
      <w:r>
        <w:t xml:space="preserve"> </w:t>
      </w:r>
      <m:oMath>
        <m:r>
          <m:t>0.02</m:t>
        </m:r>
      </m:oMath>
      <w:r>
        <w:t xml:space="preserve">; all methodological covariates jointly explain</w:t>
      </w:r>
      <w:r>
        <w:t xml:space="preserve"> </w:t>
      </w:r>
      <m:oMath>
        <m:r>
          <m:t>0.55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​</m:t>
        </m:r>
        <m:r>
          <m:t>27</m:t>
        </m:r>
        <m:r>
          <m:rPr>
            <m:sty m:val="p"/>
          </m:rPr>
          <m:t>×</m:t>
        </m:r>
      </m:oMath>
      <w:r>
        <w:t xml:space="preserve">), and the temperature-control method alone explains</w:t>
      </w:r>
      <w:r>
        <w:t xml:space="preserve"> </w:t>
      </w:r>
      <m:oMath>
        <m:r>
          <m:t>0.33</m:t>
        </m:r>
      </m:oMath>
      <w:r>
        <w:t xml:space="preserve">.</w:t>
      </w:r>
      <w:r>
        <w:t xml:space="preserve"> </w:t>
      </w:r>
      <w:r>
        <w:t xml:space="preserve">Associational; the temperature-control effect survives controlling for regime (incremental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0.47</m:t>
        </m:r>
      </m:oMath>
      <w:r>
        <w:t xml:space="preserve">, bootstrap CI excludes</w:t>
      </w:r>
      <w:r>
        <w:t xml:space="preserve"> </w:t>
      </w:r>
      <m:oMath>
        <m:r>
          <m:t>0</m:t>
        </m:r>
      </m:oMath>
      <w:r>
        <w:t xml:space="preserve">).</w:t>
      </w:r>
    </w:p>
    <w:bookmarkEnd w:id="37"/>
    <w:bookmarkStart w:id="41" w:name="fig:particle"/>
    <w:p>
      <w:pPr>
        <w:pStyle w:val="CaptionedFigure"/>
      </w:pPr>
      <w:r>
        <w:drawing>
          <wp:inline>
            <wp:extent cx="3097950" cy="232728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3_particle_size_consistenc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950" cy="232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flagship particle-size contradiction is internally consistent.</w:t>
      </w:r>
      <w:r>
        <w:t xml:space="preserve"> </w:t>
      </w:r>
      <w:r>
        <w:t xml:space="preserve">Raw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50</m:t>
            </m:r>
          </m:sub>
        </m:sSub>
        <m:r>
          <m:rPr>
            <m:sty m:val="p"/>
          </m:rPr>
          <m:t>,</m:t>
        </m:r>
        <m:r>
          <m:rPr>
            <m:nor/>
            <m:sty m:val="p"/>
          </m:rPr>
          <m:t>yield</m:t>
        </m:r>
        <m:r>
          <m:rPr>
            <m:sty m:val="p"/>
          </m:rPr>
          <m:t>)</m:t>
        </m:r>
      </m:oMath>
      <w:r>
        <w:t xml:space="preserve"> </w:t>
      </w:r>
      <w:r>
        <w:t xml:space="preserve">points per study (log</w:t>
      </w:r>
      <w:r>
        <w:t xml:space="preserve"> </w:t>
      </w:r>
      <m:oMath>
        <m:r>
          <m:t>x</m:t>
        </m:r>
      </m:oMath>
      <w:r>
        <w:t xml:space="preserve">) with a robust Theil–Sen trend line; the</w:t>
      </w:r>
      <w:r>
        <w:t xml:space="preserve"> </w:t>
      </w:r>
      <w:r>
        <w:t xml:space="preserve">per-study Spearman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in the legend. All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studies trend negative (smaller particle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higher yield), so the literature-wide</w:t>
      </w:r>
      <w:r>
        <w:t xml:space="preserve"> </w:t>
      </w:r>
      <w:r>
        <w:t xml:space="preserve">“flip”</w:t>
      </w:r>
      <w:r>
        <w:t xml:space="preserve"> </w:t>
      </w:r>
      <w:r>
        <w:t xml:space="preserve">is a cross-study integration</w:t>
      </w:r>
      <w:r>
        <w:t xml:space="preserve"> </w:t>
      </w:r>
      <w:r>
        <w:t xml:space="preserve">artifact, not a within-study sign reversal.</w:t>
      </w:r>
    </w:p>
    <w:bookmarkEnd w:id="41"/>
    <w:bookmarkStart w:id="45" w:name="fig:ea"/>
    <w:p>
      <w:pPr>
        <w:pStyle w:val="CaptionedFigure"/>
      </w:pPr>
      <w:r>
        <w:drawing>
          <wp:inline>
            <wp:extent cx="3520440" cy="226177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4_ea_sprea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26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Apparent activation energy does not organize by physical regime.</w:t>
      </w:r>
      <w:r>
        <w:t xml:space="preserve"> </w:t>
      </w:r>
      <w:r>
        <w:t xml:space="preserve">Per-study</w:t>
      </w:r>
      <w:r>
        <w:t xml:space="preserve"> </w:t>
      </w:r>
      <w:r>
        <w:t xml:space="preserve">apparent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(points) with a class-median bar per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; the shaded</w:t>
      </w:r>
      <w:r>
        <w:t xml:space="preserve"> </w:t>
      </w:r>
      <w:r>
        <w:t xml:space="preserve">band is the literature range</w:t>
      </w:r>
      <w:r>
        <w:t xml:space="preserve"> </w:t>
      </w:r>
      <m:oMath>
        <m:r>
          <m:t>3.5</m:t>
        </m:r>
      </m:oMath>
      <w:r>
        <w:t xml:space="preserve">–</w:t>
      </w:r>
      <m:oMath>
        <m:r>
          <m:t>102.6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The within-regime spread is comparable</w:t>
      </w:r>
      <w:r>
        <w:t xml:space="preserve"> </w:t>
      </w:r>
      <w:r>
        <w:t xml:space="preserve">to the between-regime spread (</w:t>
      </w:r>
      <w:r>
        <w:rPr>
          <w:rStyle w:val="VerbatimChar"/>
        </w:rPr>
        <w:t xml:space="preserve">liquid_metal_activated</w:t>
      </w:r>
      <w:r>
        <w:t xml:space="preserve"> </w:t>
      </w:r>
      <w:r>
        <w:t xml:space="preserve">alone spans</w:t>
      </w:r>
      <w:r>
        <w:t xml:space="preserve"> </w:t>
      </w:r>
      <m:oMath>
        <m:r>
          <m:t>8.5</m:t>
        </m:r>
      </m:oMath>
      <w:r>
        <w:t xml:space="preserve">–</w:t>
      </w:r>
      <m:oMath>
        <m:r>
          <m:t>58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</w:p>
    <w:bookmarkEnd w:id="45"/>
    <w:bookmarkStart w:id="49" w:name="fig:surface"/>
    <w:p>
      <w:pPr>
        <w:pStyle w:val="CaptionedFigure"/>
      </w:pPr>
      <w:r>
        <w:drawing>
          <wp:inline>
            <wp:extent cx="5067300" cy="259397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6_within_study_surfac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9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Within a single well-designed study the response is smooth.</w:t>
      </w:r>
      <w:r>
        <w:t xml:space="preserve"> </w:t>
      </w:r>
      <w:r>
        <w:rPr>
          <w:rStyle w:val="VerbatimChar"/>
        </w:rPr>
        <w:t xml:space="preserve">porciuncula2012</w:t>
      </w:r>
      <w:r>
        <w:t xml:space="preserve"> </w:t>
      </w:r>
      <w:r>
        <w:t xml:space="preserve">(NaOH, foil) temperature </w:t>
      </w:r>
      <m:oMath>
        <m:r>
          <m:rPr>
            <m:sty m:val="p"/>
          </m:rPr>
          <m:t>×</m:t>
        </m:r>
      </m:oMath>
      <w:r>
        <w:t xml:space="preserve"> concentration factorial: (a) a 2D contour and (b) the same data</w:t>
      </w:r>
      <w:r>
        <w:t xml:space="preserve"> </w:t>
      </w:r>
      <w:r>
        <w:t xml:space="preserve">as a 3D surface. Within this study the yield rises smoothly and monotonically with both temperature</w:t>
      </w:r>
      <w:r>
        <w:t xml:space="preserve"> </w:t>
      </w:r>
      <w:r>
        <w:t xml:space="preserve">and alkali concentration—within-study data are clean, locating the contradictions in the</w:t>
      </w:r>
      <w:r>
        <w:t xml:space="preserve"> </w:t>
      </w:r>
      <w:r>
        <w:t xml:space="preserve">cross-study integration. (3D shown only here, where the data are an intrinsic response surface, and</w:t>
      </w:r>
      <w:r>
        <w:t xml:space="preserve"> </w:t>
      </w:r>
      <w:r>
        <w:t xml:space="preserve">always with the 2D companion.)</w:t>
      </w:r>
    </w:p>
    <w:bookmarkEnd w:id="49"/>
    <w:bookmarkEnd w:id="50"/>
    <w:bookmarkEnd w:id="51"/>
    <w:bookmarkStart w:id="58" w:name="discussion"/>
    <w:p>
      <w:pPr>
        <w:pStyle w:val="Heading1"/>
      </w:pPr>
      <w:r>
        <w:t xml:space="preserve">Discussion</w:t>
      </w:r>
    </w:p>
    <w:bookmarkStart w:id="52" w:name="what-the-contradictions-areand-are-not"/>
    <w:p>
      <w:pPr>
        <w:pStyle w:val="Heading2"/>
      </w:pPr>
      <w:r>
        <w:t xml:space="preserve">What the contradictions are—and are not</w:t>
      </w:r>
    </w:p>
    <w:p>
      <w:pPr>
        <w:pStyle w:val="FirstParagraph"/>
      </w:pPr>
      <w:r>
        <w:t xml:space="preserve">Taken together, the results support a single claim: the apparent inter-study contradictions</w:t>
      </w:r>
      <w:r>
        <w:t xml:space="preserve"> </w:t>
      </w:r>
      <w:r>
        <w:t xml:space="preserve">in aluminum–water hydrolysis are</w:t>
      </w:r>
      <w:r>
        <w:t xml:space="preserve"> </w:t>
      </w:r>
      <w:r>
        <w:rPr>
          <w:i/>
          <w:iCs/>
        </w:rPr>
        <w:t xml:space="preserve">predominantly methodological</w:t>
      </w:r>
      <w:r>
        <w:t xml:space="preserve">. Naive pooling</w:t>
      </w:r>
      <w:r>
        <w:t xml:space="preserve"> </w:t>
      </w:r>
      <w:r>
        <w:t xml:space="preserve">overstates predictability (the optimism gap); the physico-chemical regime label explains</w:t>
      </w:r>
      <w:r>
        <w:t xml:space="preserve"> </w:t>
      </w:r>
      <w:r>
        <w:t xml:space="preserve">almost none of the between-study variance (</w:t>
      </w:r>
      <m:oMath>
        <m:r>
          <m:rPr>
            <m:sty m:val="p"/>
          </m:rPr>
          <m:t>≈</m:t>
        </m:r>
        <m:r>
          <m:t>​</m:t>
        </m:r>
        <m:r>
          <m:t>2</m:t>
        </m:r>
        <m:r>
          <m:rPr>
            <m:sty m:val="p"/>
          </m:rPr>
          <m:t>%</m:t>
        </m:r>
      </m:oMath>
      <w:r>
        <w:t xml:space="preserve">) while methodological covariates</w:t>
      </w:r>
      <w:r>
        <w:t xml:space="preserve"> </w:t>
      </w:r>
      <w:r>
        <w:t xml:space="preserve">explain the majority (</w:t>
      </w:r>
      <m:oMath>
        <m:r>
          <m:rPr>
            <m:sty m:val="p"/>
          </m:rPr>
          <m:t>≈</m:t>
        </m:r>
        <m:r>
          <m:t>​</m:t>
        </m:r>
        <m:r>
          <m:t>55</m:t>
        </m:r>
        <m:r>
          <m:rPr>
            <m:sty m:val="p"/>
          </m:rPr>
          <m:t>%</m:t>
        </m:r>
      </m:oMath>
      <w:r>
        <w:t xml:space="preserve">), led by how temperature is controlled; and the</w:t>
      </w:r>
      <w:r>
        <w:t xml:space="preserve"> </w:t>
      </w:r>
      <w:r>
        <w:t xml:space="preserve">flagship particle-size contradiction dissolves into a within-study-consistent effect. The</w:t>
      </w:r>
      <w:r>
        <w:t xml:space="preserve"> </w:t>
      </w:r>
      <w:r>
        <w:t xml:space="preserve">practical implication is direct: a hydrogen yield reported without its measurement protocol</w:t>
      </w:r>
      <w:r>
        <w:t xml:space="preserve"> </w:t>
      </w:r>
      <w:r>
        <w:t xml:space="preserve">is only weakly comparable across laboratories, and meta-analyses that pool raw yields will</w:t>
      </w:r>
      <w:r>
        <w:t xml:space="preserve"> </w:t>
      </w:r>
      <w:r>
        <w:t xml:space="preserve">inherit methodological variance as if it were chemistry.</w:t>
      </w:r>
    </w:p>
    <w:bookmarkEnd w:id="52"/>
    <w:bookmarkStart w:id="53" w:name="physics-is-not-absent"/>
    <w:p>
      <w:pPr>
        <w:pStyle w:val="Heading2"/>
      </w:pPr>
      <w:r>
        <w:t xml:space="preserve">Physics is not absent</w:t>
      </w:r>
    </w:p>
    <w:p>
      <w:pPr>
        <w:pStyle w:val="FirstParagraph"/>
      </w:pPr>
      <w:r>
        <w:t xml:space="preserve">“Predominantly methodological”</w:t>
      </w:r>
      <w:r>
        <w:t xml:space="preserve"> </w:t>
      </w:r>
      <w:r>
        <w:t xml:space="preserve">is not</w:t>
      </w:r>
      <w:r>
        <w:t xml:space="preserve"> </w:t>
      </w:r>
      <w:r>
        <w:t xml:space="preserve">“purely methodological.”</w:t>
      </w:r>
      <w:r>
        <w:t xml:space="preserve"> </w:t>
      </w:r>
      <w:r>
        <w:t xml:space="preserve">The regime label is</w:t>
      </w:r>
      <w:r>
        <w:t xml:space="preserve"> </w:t>
      </w:r>
      <w:r>
        <w:rPr>
          <w:i/>
          <w:iCs/>
        </w:rPr>
        <w:t xml:space="preserve">coarse</w:t>
      </w:r>
      <w:r>
        <w:t xml:space="preserve">; finer, particle-size-dependent kinetics—tunable between nano- and</w:t>
      </w:r>
      <w:r>
        <w:t xml:space="preserve"> </w:t>
      </w:r>
      <w:r>
        <w:t xml:space="preserve">micro-aluminium powders—genuinely shape the reaction</w:t>
      </w:r>
      <w:r>
        <w:t xml:space="preserve"> </w:t>
      </w:r>
      <w:r>
        <w:t xml:space="preserve">(Saceleanu et al. 2019)</w:t>
      </w:r>
      <w:r>
        <w:t xml:space="preserve">, and such physics operates within</w:t>
      </w:r>
      <w:r>
        <w:t xml:space="preserve"> </w:t>
      </w:r>
      <w:r>
        <w:t xml:space="preserve">studies, below the resolution of a five-level label and partly absorbed into the</w:t>
      </w:r>
      <w:r>
        <w:t xml:space="preserve"> </w:t>
      </w:r>
      <w:r>
        <w:t xml:space="preserve">methodological covariates with which it co-varies. Our attribution is also observational:</w:t>
      </w:r>
      <w:r>
        <w:t xml:space="preserve"> </w:t>
      </w:r>
      <w:r>
        <w:t xml:space="preserve">because methodology is largely a study-level attribute, the temperature-control association</w:t>
      </w:r>
      <w:r>
        <w:t xml:space="preserve"> </w:t>
      </w:r>
      <w:r>
        <w:t xml:space="preserve">could be partly confounded with other unmeasured study-level choices. We therefore state the</w:t>
      </w:r>
      <w:r>
        <w:t xml:space="preserve"> </w:t>
      </w:r>
      <w:r>
        <w:t xml:space="preserve">finding associationally and quantify, rather than assert, its robustness.</w:t>
      </w:r>
    </w:p>
    <w:bookmarkEnd w:id="53"/>
    <w:bookmarkStart w:id="55" w:name="a-minimum-information-reporting-standard"/>
    <w:p>
      <w:pPr>
        <w:pStyle w:val="Heading2"/>
      </w:pPr>
      <w:r>
        <w:t xml:space="preserve">A minimum-information reporting standard</w:t>
      </w:r>
    </w:p>
    <w:p>
      <w:pPr>
        <w:pStyle w:val="FirstParagraph"/>
      </w:pPr>
      <w:r>
        <w:t xml:space="preserve">The remedy is standardization. Table </w:t>
      </w:r>
      <w:hyperlink w:anchor="tab:mirepo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a minimum-information checklist for</w:t>
      </w:r>
      <w:r>
        <w:t xml:space="preserve"> </w:t>
      </w:r>
      <w:r>
        <w:t xml:space="preserve">aluminum-hydrolysis studies, ordered by how much between-study variance each field carried in our</w:t>
      </w:r>
      <w:r>
        <w:t xml:space="preserve"> </w:t>
      </w:r>
      <w:r>
        <w:t xml:space="preserve">analysis and templated on minimum-information standards in catalysis and materials</w:t>
      </w:r>
      <w:r>
        <w:t xml:space="preserve"> </w:t>
      </w:r>
      <w:r>
        <w:t xml:space="preserve">(Wulf et al. 2021; Hoque and Guzman 2018)</w:t>
      </w:r>
      <w:r>
        <w:t xml:space="preserve">. Reporting these items would let future yields be compared across</w:t>
      </w:r>
      <w:r>
        <w:t xml:space="preserve"> </w:t>
      </w:r>
      <w:r>
        <w:t xml:space="preserve">laboratories and would shrink the methodological variance this paper quantifies, turning the released</w:t>
      </w:r>
      <w:r>
        <w:t xml:space="preserve"> </w:t>
      </w:r>
      <w:r>
        <w:t xml:space="preserve">dataset into a growing, comparable benchmark.</w:t>
      </w:r>
    </w:p>
    <w:bookmarkStart w:id="54" w:name="tab:mireport"/>
    <w:p>
      <w:pPr>
        <w:pStyle w:val="TableCaption"/>
      </w:pPr>
      <w:r>
        <w:t xml:space="preserve">Proposed minimum-information reporting standard for aluminum–water hydrolysis hydrogen-yield</w:t>
      </w:r>
      <w:r>
        <w:t xml:space="preserve"> </w:t>
      </w:r>
      <w:r>
        <w:t xml:space="preserve">studies. Items are ordered by the between-study yield variance each carried here (Sec. 3.2);</w:t>
      </w:r>
      <w:r>
        <w:t xml:space="preserve"> </w:t>
      </w:r>
      <w:r>
        <w:t xml:space="preserve">temperature control is the largest single source.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posed minimum-information reporting standard for aluminum–water hydrolysis hydrogen-yield studies. Items are ordered by the between-study yield variance each carried here (Sec. 3.2); temperature control is the largest single sourc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Between-study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(isothermal bath / self-heating / uncontrolled) + setpoint or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displacement / pressure / GC / mass-flow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type &amp; purity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/ tap / alkaline / saline, with conductivity or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/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isothermal vs. uncontrolled; replication; value reported vs. 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Reaction vessel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or closed; insulated?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(NaOH/KOH/none) + concentration (mol L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Particle size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50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μ</m:t>
              </m:r>
            </m:oMath>
            <w:r>
              <w:t xml:space="preserve">m) + sizing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/ melt-alloyed / ball-milled / liquid-metal / 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reference (mL g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); % vs. volumetric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/ maximum / average;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50</m:t>
                  </m:r>
                </m:sub>
              </m:sSub>
            </m:oMath>
            <w:r>
              <w:t xml:space="preserve">/</w:t>
            </w:r>
            <m:oMath>
              <m:sSub>
                <m:e>
                  <m:r>
                    <m:t>t</m:t>
                  </m:r>
                </m:e>
                <m:sub>
                  <m:r>
                    <m:t>80</m:t>
                  </m:r>
                </m:sub>
              </m:sSub>
            </m:oMath>
            <w:r>
              <w:t xml:space="preserve"> </w:t>
            </w:r>
            <w:r>
              <w:t xml:space="preserve">if a rate is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DOI, number of conditions, replicate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4"/>
    <w:bookmarkEnd w:id="55"/>
    <w:bookmarkStart w:id="56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analysis rests on 31 studies (</w:t>
      </w:r>
      <m:oMath>
        <m:r>
          <m:t>3</m:t>
        </m:r>
      </m:oMath>
      <w:r>
        <w:t xml:space="preserve">–</w:t>
      </w:r>
      <m:oMath>
        <m:r>
          <m:t>9</m:t>
        </m:r>
      </m:oMath>
      <w:r>
        <w:t xml:space="preserve"> </w:t>
      </w:r>
      <w:r>
        <w:t xml:space="preserve">per regime); negative results (no regime</w:t>
      </w:r>
      <w:r>
        <w:t xml:space="preserve"> </w:t>
      </w:r>
      <w:r>
        <w:t xml:space="preserve">moderation of yield; no regime structure 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; heterogeneous within-study</w:t>
      </w:r>
      <w:r>
        <w:t xml:space="preserve"> </w:t>
      </w:r>
      <w:r>
        <w:t xml:space="preserve">predictability) are reported as</w:t>
      </w:r>
      <w:r>
        <w:t xml:space="preserve"> </w:t>
      </w:r>
      <w:r>
        <w:t xml:space="preserve">“no detectable effect at this sample size,”</w:t>
      </w:r>
      <w:r>
        <w:t xml:space="preserve"> </w:t>
      </w:r>
      <w:r>
        <w:t xml:space="preserve">not as proof</w:t>
      </w:r>
      <w:r>
        <w:t xml:space="preserve"> </w:t>
      </w:r>
      <w:r>
        <w:t xml:space="preserve">of absence. The within-study predictability test is power-limited at small per-study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Two regimes (</w:t>
      </w:r>
      <w:r>
        <w:rPr>
          <w:rStyle w:val="VerbatimChar"/>
        </w:rPr>
        <w:t xml:space="preserve">waste_al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liquid_metal_activated</w:t>
      </w:r>
      <w:r>
        <w:t xml:space="preserve">) are exploratory</w:t>
      </w:r>
      <w:r>
        <w:t xml:space="preserve"> </w:t>
      </w:r>
      <w:r>
        <w:t xml:space="preserve">(</w:t>
      </w:r>
      <m:oMath>
        <m:r>
          <m:rPr>
            <m:sty m:val="p"/>
          </m:rPr>
          <m:t>&lt;</m:t>
        </m:r>
        <m:r>
          <m:t>​</m:t>
        </m:r>
        <m:r>
          <m:t>40</m:t>
        </m:r>
      </m:oMath>
      <w:r>
        <w:t xml:space="preserve"> </w:t>
      </w:r>
      <w:r>
        <w:t xml:space="preserve">rows). Open-access retrieval may bias the sample; we mitigate this with a quality</w:t>
      </w:r>
      <w:r>
        <w:t xml:space="preserve"> </w:t>
      </w:r>
      <w:r>
        <w:t xml:space="preserve">tier and report it as a limitation. The headline attribution is associational, and because</w:t>
      </w:r>
      <w:r>
        <w:t xml:space="preserve"> </w:t>
      </w:r>
      <w:r>
        <w:t xml:space="preserve">methodology is largely a study-level attribute it may co-vary with unmeasured study choices.</w:t>
      </w:r>
      <w:r>
        <w:t xml:space="preserve"> </w:t>
      </w:r>
      <w:r>
        <w:t xml:space="preserve">Physics is not excluded: the coarse regime label does not capture finer, within-study</w:t>
      </w:r>
      <w:r>
        <w:t xml:space="preserve"> </w:t>
      </w:r>
      <w:r>
        <w:t xml:space="preserve">particle-size-dependent kinetics</w:t>
      </w:r>
      <w:r>
        <w:t xml:space="preserve"> </w:t>
      </w:r>
      <w:r>
        <w:t xml:space="preserve">(Saceleanu et al. 2019)</w:t>
      </w:r>
      <w:r>
        <w:t xml:space="preserve">, so the claim is</w:t>
      </w:r>
      <w:r>
        <w:t xml:space="preserve"> </w:t>
      </w:r>
      <w:r>
        <w:rPr>
          <w:i/>
          <w:iCs/>
        </w:rPr>
        <w:t xml:space="preserve">predominantly</w:t>
      </w:r>
      <w:r>
        <w:t xml:space="preserve">, not</w:t>
      </w:r>
      <w:r>
        <w:t xml:space="preserve"> </w:t>
      </w:r>
      <w:r>
        <w:t xml:space="preserve">purely, methodological. Positioning</w:t>
      </w:r>
      <w:r>
        <w:t xml:space="preserve"> </w:t>
      </w:r>
      <w:r>
        <w:t xml:space="preserve">citations are complete from DOI-verified metadata; the exact in-sample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single-study</w:t>
      </w:r>
      <w:r>
        <w:t xml:space="preserve"> </w:t>
      </w:r>
      <w:r>
        <w:t xml:space="preserve">prior model is to be confirmed against its full text, and one 2021 review citation was omitted as</w:t>
      </w:r>
      <w:r>
        <w:t xml:space="preserve"> </w:t>
      </w:r>
      <w:r>
        <w:t xml:space="preserve">unverifiable rather than mis-attributed.</w:t>
      </w:r>
    </w:p>
    <w:bookmarkEnd w:id="56"/>
    <w:bookmarkStart w:id="57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The curated yield dataset (315 rows), the kinetic table (76 rows), and the full,</w:t>
      </w:r>
      <w:r>
        <w:t xml:space="preserve"> </w:t>
      </w:r>
      <w:r>
        <w:t xml:space="preserve">deterministic analysis pipeline are released under CC-BY (code: MIT). Raw third-party PDFs</w:t>
      </w:r>
      <w:r>
        <w:t xml:space="preserve"> </w:t>
      </w:r>
      <w:r>
        <w:t xml:space="preserve">are not redistributed; the dataset records DOIs and provenance so that any value can be</w:t>
      </w:r>
      <w:r>
        <w:t xml:space="preserve"> </w:t>
      </w:r>
      <w:r>
        <w:t xml:space="preserve">traced to its source.</w:t>
      </w:r>
    </w:p>
    <w:bookmarkEnd w:id="57"/>
    <w:bookmarkEnd w:id="58"/>
    <w:bookmarkStart w:id="5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unified the scattered aluminum–water hydrolysis literature into a provenance-tracked,</w:t>
      </w:r>
      <w:r>
        <w:t xml:space="preserve"> </w:t>
      </w:r>
      <w:r>
        <w:t xml:space="preserve">quality-tiered open dataset and used leakage-controlled, pre-registered analysis to test</w:t>
      </w:r>
      <w:r>
        <w:t xml:space="preserve"> </w:t>
      </w:r>
      <w:r>
        <w:t xml:space="preserve">whether its long-documented contradictions are physical or methodological. The data answer</w:t>
      </w:r>
      <w:r>
        <w:t xml:space="preserve"> </w:t>
      </w:r>
      <w:r>
        <w:t xml:space="preserve">clearly, if associationally: under study-grouped evaluation naive pooling fails, the</w:t>
      </w:r>
      <w:r>
        <w:t xml:space="preserve"> </w:t>
      </w:r>
      <w:r>
        <w:t xml:space="preserve">physico-chemical regime explains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of the between-study yield variance while</w:t>
      </w:r>
      <w:r>
        <w:t xml:space="preserve"> </w:t>
      </w:r>
      <w:r>
        <w:t xml:space="preserve">methodological covariates explain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55</m:t>
        </m:r>
        <m:r>
          <m:rPr>
            <m:sty m:val="p"/>
          </m:rPr>
          <m:t>%</m:t>
        </m:r>
      </m:oMath>
      <w:r>
        <w:t xml:space="preserve"> </w:t>
      </w:r>
      <w:r>
        <w:t xml:space="preserve">(temperature control alone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33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and the flagship particle-size contradiction is consistent within studies. The contradictions</w:t>
      </w:r>
      <w:r>
        <w:t xml:space="preserve"> </w:t>
      </w:r>
      <w:r>
        <w:t xml:space="preserve">are predominantly an artifact of non-standardized measurement, not genuine regime</w:t>
      </w:r>
      <w:r>
        <w:t xml:space="preserve"> </w:t>
      </w:r>
      <w:r>
        <w:t xml:space="preserve">disagreement. Beyond the finding, the contribution is durable infrastructure—an open</w:t>
      </w:r>
      <w:r>
        <w:t xml:space="preserve"> </w:t>
      </w:r>
      <w:r>
        <w:t xml:space="preserve">dataset, a reproducible leakage-controlled benchmark, and a minimum-information reporting</w:t>
      </w:r>
      <w:r>
        <w:t xml:space="preserve"> </w:t>
      </w:r>
      <w:r>
        <w:t xml:space="preserve">standard—that can turn a contradictory literature into a comparable, growing resource.</w:t>
      </w:r>
    </w:p>
    <w:bookmarkEnd w:id="59"/>
    <w:bookmarkStart w:id="61" w:name="data-and-code-availability-1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curated dataset (315 condition-level yield rows and the separate 76-row kinetic table), the</w:t>
      </w:r>
      <w:r>
        <w:t xml:space="preserve"> </w:t>
      </w:r>
      <w:r>
        <w:t xml:space="preserve">analysis pipeline, and the figure-generation scripts are released openly: data under CC-BY-4.0 and</w:t>
      </w:r>
      <w:r>
        <w:t xml:space="preserve"> </w:t>
      </w:r>
      <w:r>
        <w:t xml:space="preserve">code under MIT. A versioned archive with a citable DOI is deposited at Zenodo (</w:t>
      </w:r>
      <w:r>
        <w:t xml:space="preserve">[TODO: Zenodo DOI]</w:t>
      </w:r>
      <w:r>
        <w:t xml:space="preserve">);</w:t>
      </w:r>
      <w:r>
        <w:t xml:space="preserve"> </w:t>
      </w:r>
      <w:r>
        <w:t xml:space="preserve">the development repository is at</w:t>
      </w:r>
      <w:r>
        <w:t xml:space="preserve"> </w:t>
      </w:r>
      <w:hyperlink r:id="rId60">
        <w:r>
          <w:rPr>
            <w:rStyle w:val="Hyperlink"/>
          </w:rPr>
          <w:t xml:space="preserve">https://github.com/zegran/AIH2</w:t>
        </w:r>
      </w:hyperlink>
      <w:r>
        <w:t xml:space="preserve">. A dataset card documenting the</w:t>
      </w:r>
      <w:r>
        <w:t xml:space="preserve"> </w:t>
      </w:r>
      <w:r>
        <w:t xml:space="preserve">schema, provenance, quality tiers, and scope accompanies the deposit.</w:t>
      </w:r>
    </w:p>
    <w:bookmarkEnd w:id="61"/>
    <w:bookmarkStart w:id="62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 declares no competing financial or personal interests.</w:t>
      </w:r>
    </w:p>
    <w:bookmarkEnd w:id="62"/>
    <w:bookmarkStart w:id="63" w:name="credit-authorship-contribution-statement"/>
    <w:p>
      <w:pPr>
        <w:pStyle w:val="Heading1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</w:rPr>
        <w:t xml:space="preserve">Dogukan Unal:</w:t>
      </w:r>
      <w:r>
        <w:t xml:space="preserve"> </w:t>
      </w:r>
      <w:r>
        <w:t xml:space="preserve">Conceptualization, Methodology, Software, Formal analysis, Data curation,</w:t>
      </w:r>
      <w:r>
        <w:t xml:space="preserve"> </w:t>
      </w:r>
      <w:r>
        <w:t xml:space="preserve">Writing – original draft, Writing – review &amp; editing, Visualization.</w:t>
      </w:r>
    </w:p>
    <w:bookmarkEnd w:id="63"/>
    <w:bookmarkStart w:id="101" w:name="Xfd35355eaff5be7167e13ac5f8f9ba5509cc5e8"/>
    <w:p>
      <w:pPr>
        <w:pStyle w:val="Heading1"/>
      </w:pPr>
      <w:r>
        <w:t xml:space="preserve">Declaration of generative AI and AI-assisted technologies</w:t>
      </w:r>
    </w:p>
    <w:p>
      <w:pPr>
        <w:pStyle w:val="FirstParagraph"/>
      </w:pPr>
      <w:r>
        <w:t xml:space="preserve">During the preparation of this work the author used generative AI agents (Anthropic’s Claude, via</w:t>
      </w:r>
      <w:r>
        <w:t xml:space="preserve"> </w:t>
      </w:r>
      <w:r>
        <w:t xml:space="preserve">the Claude Code environment) for literature triage, assistance with data extraction from source</w:t>
      </w:r>
      <w:r>
        <w:t xml:space="preserve"> </w:t>
      </w:r>
      <w:r>
        <w:t xml:space="preserve">papers, statistical analysis and analysis code, figure generation, and drafting of the manuscript.</w:t>
      </w:r>
      <w:r>
        <w:t xml:space="preserve"> </w:t>
      </w:r>
      <w:r>
        <w:t xml:space="preserve">All AI-assisted steps were carried out under the author’s direction. The author reviewed and verified</w:t>
      </w:r>
      <w:r>
        <w:t xml:space="preserve"> </w:t>
      </w:r>
      <w:r>
        <w:t xml:space="preserve">all extracted data, analyses, results, and claims, edited the AI output as needed, and takes full</w:t>
      </w:r>
      <w:r>
        <w:t xml:space="preserve"> </w:t>
      </w:r>
      <w:r>
        <w:t xml:space="preserve">responsibility for the content of this publication. The AI tools are not listed as authors and made</w:t>
      </w:r>
      <w:r>
        <w:t xml:space="preserve"> </w:t>
      </w:r>
      <w:r>
        <w:t xml:space="preserve">no independent scientific judgements.</w:t>
      </w:r>
    </w:p>
    <w:bookmarkStart w:id="100" w:name="refs"/>
    <w:bookmarkStart w:id="65" w:name="ref-bernett2024"/>
    <w:p>
      <w:pPr>
        <w:pStyle w:val="Bibliography"/>
      </w:pPr>
      <w:r>
        <w:t xml:space="preserve">Bernett, Judith, David B. Blumenthal, Dominik G. Grimm, et al. 2024.</w:t>
      </w:r>
      <w:r>
        <w:t xml:space="preserve"> </w:t>
      </w:r>
      <w:r>
        <w:t xml:space="preserve">“Guiding Questions to Avoid Data Leakage in Biological Machine Learning Applications.”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21: 1444–53.</w:t>
      </w:r>
      <w:r>
        <w:t xml:space="preserve"> </w:t>
      </w:r>
      <w:hyperlink r:id="rId64">
        <w:r>
          <w:rPr>
            <w:rStyle w:val="Hyperlink"/>
          </w:rPr>
          <w:t xml:space="preserve">https://doi.org/10.1038/s41592-024-02362-y</w:t>
        </w:r>
      </w:hyperlink>
      <w:r>
        <w:t xml:space="preserve">.</w:t>
      </w:r>
    </w:p>
    <w:bookmarkEnd w:id="65"/>
    <w:bookmarkStart w:id="67" w:name="ref-bozalginesta2025"/>
    <w:p>
      <w:pPr>
        <w:pStyle w:val="Bibliography"/>
      </w:pPr>
      <w:r>
        <w:t xml:space="preserve">Bozal-Ginesta, Carlota, Sergio Pablo-García, Changhyeok Choi, Albert Tarancón, and Alán Aspuru-Guzik. 2025.</w:t>
      </w:r>
      <w:r>
        <w:t xml:space="preserve"> </w:t>
      </w:r>
      <w:r>
        <w:t xml:space="preserve">“Developing Machine Learning for Heterogeneous Catalysis with Experimental and Computational Data.”</w:t>
      </w:r>
      <w:r>
        <w:t xml:space="preserve"> </w:t>
      </w:r>
      <w:r>
        <w:rPr>
          <w:i/>
          <w:iCs/>
        </w:rPr>
        <w:t xml:space="preserve">Nature Reviews Chemistry</w:t>
      </w:r>
      <w:r>
        <w:t xml:space="preserve">, ahead of print.</w:t>
      </w:r>
      <w:r>
        <w:t xml:space="preserve"> </w:t>
      </w:r>
      <w:hyperlink r:id="rId66">
        <w:r>
          <w:rPr>
            <w:rStyle w:val="Hyperlink"/>
          </w:rPr>
          <w:t xml:space="preserve">https://doi.org/10.1038/s41570-025-00740-4</w:t>
        </w:r>
      </w:hyperlink>
      <w:r>
        <w:t xml:space="preserve">.</w:t>
      </w:r>
    </w:p>
    <w:bookmarkEnd w:id="67"/>
    <w:bookmarkStart w:id="69" w:name="ref-coelho2022"/>
    <w:p>
      <w:pPr>
        <w:pStyle w:val="Bibliography"/>
      </w:pPr>
      <w:r>
        <w:t xml:space="preserve">Coelho, Leonardo B., Dawei Zhang, Yves Van Ingelgem, Denis Steckelmacher, Ann Nowé, and Herman Terryn. 2022.</w:t>
      </w:r>
      <w:r>
        <w:t xml:space="preserve"> </w:t>
      </w:r>
      <w:r>
        <w:t xml:space="preserve">“Reviewing Machine Learning of Corrosion Prediction in a Data-Oriented Perspective.”</w:t>
      </w:r>
      <w:r>
        <w:t xml:space="preserve"> </w:t>
      </w:r>
      <w:r>
        <w:rPr>
          <w:i/>
          <w:iCs/>
        </w:rPr>
        <w:t xml:space="preserve">Npj Materials Degradation</w:t>
      </w:r>
      <w:r>
        <w:t xml:space="preserve"> </w:t>
      </w:r>
      <w:r>
        <w:t xml:space="preserve">6: 1–16.</w:t>
      </w:r>
      <w:r>
        <w:t xml:space="preserve"> </w:t>
      </w:r>
      <w:hyperlink r:id="rId68">
        <w:r>
          <w:rPr>
            <w:rStyle w:val="Hyperlink"/>
          </w:rPr>
          <w:t xml:space="preserve">https://doi.org/10.1038/s41529-022-00218-4</w:t>
        </w:r>
      </w:hyperlink>
      <w:r>
        <w:t xml:space="preserve">.</w:t>
      </w:r>
    </w:p>
    <w:bookmarkEnd w:id="69"/>
    <w:bookmarkStart w:id="71" w:name="ref-das2023fuel"/>
    <w:p>
      <w:pPr>
        <w:pStyle w:val="Bibliography"/>
      </w:pPr>
      <w:r>
        <w:t xml:space="preserve">Das, Biswajyoti, P. S. Robi, and Pinakeswar Mahanta. 2023.</w:t>
      </w:r>
      <w:r>
        <w:t xml:space="preserve"> </w:t>
      </w:r>
      <w:r>
        <w:t xml:space="preserve">“Experimental Investigation and Modelling by Machine Learning Techniques for Hydrogen Generation by Reacting Aluminium with Aqueous NaOH Solution.”</w:t>
      </w:r>
      <w:r>
        <w:t xml:space="preserve"> </w:t>
      </w:r>
      <w:r>
        <w:rPr>
          <w:i/>
          <w:iCs/>
        </w:rPr>
        <w:t xml:space="preserve">Fuel</w:t>
      </w:r>
      <w:r>
        <w:t xml:space="preserve">, ahead of print.</w:t>
      </w:r>
      <w:r>
        <w:t xml:space="preserve"> </w:t>
      </w:r>
      <w:hyperlink r:id="rId70">
        <w:r>
          <w:rPr>
            <w:rStyle w:val="Hyperlink"/>
          </w:rPr>
          <w:t xml:space="preserve">https://doi.org/10.1016/j.fuel.2023.128924</w:t>
        </w:r>
      </w:hyperlink>
      <w:r>
        <w:t xml:space="preserve">.</w:t>
      </w:r>
    </w:p>
    <w:bookmarkEnd w:id="71"/>
    <w:bookmarkStart w:id="73" w:name="ref-hoque2018"/>
    <w:p>
      <w:pPr>
        <w:pStyle w:val="Bibliography"/>
      </w:pPr>
      <w:r>
        <w:t xml:space="preserve">Hoque, Md Ariful, and Marcelo I. Guzman. 2018.</w:t>
      </w:r>
      <w:r>
        <w:t xml:space="preserve"> </w:t>
      </w:r>
      <w:r>
        <w:t xml:space="preserve">“Photocatalytic Activity: Experimental Features to Report in Heterogeneous Photocatalysis.”</w:t>
      </w:r>
      <w:r>
        <w:t xml:space="preserve"> </w:t>
      </w:r>
      <w:r>
        <w:rPr>
          <w:i/>
          <w:iCs/>
        </w:rPr>
        <w:t xml:space="preserve">Materials</w:t>
      </w:r>
      <w:r>
        <w:t xml:space="preserve"> </w:t>
      </w:r>
      <w:r>
        <w:t xml:space="preserve">11 (10): 1990.</w:t>
      </w:r>
      <w:r>
        <w:t xml:space="preserve"> </w:t>
      </w:r>
      <w:hyperlink r:id="rId72">
        <w:r>
          <w:rPr>
            <w:rStyle w:val="Hyperlink"/>
          </w:rPr>
          <w:t xml:space="preserve">https://doi.org/10.3390/ma11101990</w:t>
        </w:r>
      </w:hyperlink>
      <w:r>
        <w:t xml:space="preserve">.</w:t>
      </w:r>
    </w:p>
    <w:bookmarkEnd w:id="73"/>
    <w:bookmarkStart w:id="75" w:name="ref-john2025"/>
    <w:p>
      <w:pPr>
        <w:pStyle w:val="Bibliography"/>
      </w:pPr>
      <w:r>
        <w:t xml:space="preserve">John, Kingsley, Daniel D. Saurette, and Brandon Heung. 2025.</w:t>
      </w:r>
      <w:r>
        <w:t xml:space="preserve"> </w:t>
      </w:r>
      <w:r>
        <w:t xml:space="preserve">“The Problematic Case of Data Leakage: A Case for Leave-Profile-Out Cross-Validation in 3-Dimensional Digital Soil Mapping.”</w:t>
      </w:r>
      <w:r>
        <w:t xml:space="preserve"> </w:t>
      </w:r>
      <w:r>
        <w:rPr>
          <w:i/>
          <w:iCs/>
        </w:rPr>
        <w:t xml:space="preserve">Geoderma</w:t>
      </w:r>
      <w:r>
        <w:t xml:space="preserve">, ahead of print.</w:t>
      </w:r>
      <w:r>
        <w:t xml:space="preserve"> </w:t>
      </w:r>
      <w:hyperlink r:id="rId74">
        <w:r>
          <w:rPr>
            <w:rStyle w:val="Hyperlink"/>
          </w:rPr>
          <w:t xml:space="preserve">https://doi.org/10.1016/j.geoderma.2025.117223</w:t>
        </w:r>
      </w:hyperlink>
      <w:r>
        <w:t xml:space="preserve">.</w:t>
      </w:r>
    </w:p>
    <w:bookmarkEnd w:id="75"/>
    <w:bookmarkStart w:id="77" w:name="ref-musicco2025"/>
    <w:p>
      <w:pPr>
        <w:pStyle w:val="Bibliography"/>
      </w:pPr>
      <w:r>
        <w:t xml:space="preserve">Musicco, Nicola, Marcello Gelfi, Paolo Iora, et al. 2025.</w:t>
      </w:r>
      <w:r>
        <w:t xml:space="preserve"> </w:t>
      </w:r>
      <w:r>
        <w:t xml:space="preserve">“A Review of Hydrogen Generation Methods via Aluminum-Water Reactions.”</w:t>
      </w:r>
      <w:r>
        <w:t xml:space="preserve"> </w:t>
      </w:r>
      <w:r>
        <w:rPr>
          <w:i/>
          <w:iCs/>
        </w:rPr>
        <w:t xml:space="preserve">International Journal of Thermofluids</w:t>
      </w:r>
      <w:r>
        <w:t xml:space="preserve">, ahead of print.</w:t>
      </w:r>
      <w:r>
        <w:t xml:space="preserve"> </w:t>
      </w:r>
      <w:hyperlink r:id="rId76">
        <w:r>
          <w:rPr>
            <w:rStyle w:val="Hyperlink"/>
          </w:rPr>
          <w:t xml:space="preserve">https://doi.org/10.1016/j.ijft.2025.101152</w:t>
        </w:r>
      </w:hyperlink>
      <w:r>
        <w:t xml:space="preserve">.</w:t>
      </w:r>
    </w:p>
    <w:bookmarkEnd w:id="77"/>
    <w:bookmarkStart w:id="79" w:name="ref-noble2022"/>
    <w:p>
      <w:pPr>
        <w:pStyle w:val="Bibliography"/>
      </w:pPr>
      <w:r>
        <w:t xml:space="preserve">Noble, Daniel W. A., Patrice Pottier, Malgorzata Lagisz, et al. 2022.</w:t>
      </w:r>
      <w:r>
        <w:t xml:space="preserve"> </w:t>
      </w:r>
      <w:r>
        <w:t xml:space="preserve">“Meta-Analytic Approaches and Effect Sizes to Account for</w:t>
      </w:r>
      <w:r>
        <w:t xml:space="preserve"> </w:t>
      </w:r>
      <w:r>
        <w:t xml:space="preserve">‘Nuisance Heterogeneity’</w:t>
      </w:r>
      <w:r>
        <w:t xml:space="preserve"> </w:t>
      </w:r>
      <w:r>
        <w:t xml:space="preserve">in Comparative Physiology.”</w:t>
      </w:r>
      <w:r>
        <w:t xml:space="preserve"> </w:t>
      </w:r>
      <w:r>
        <w:rPr>
          <w:i/>
          <w:iCs/>
        </w:rPr>
        <w:t xml:space="preserve">Journal of Experimental Biology</w:t>
      </w:r>
      <w:r>
        <w:t xml:space="preserve"> </w:t>
      </w:r>
      <w:r>
        <w:t xml:space="preserve">225 (Suppl_1).</w:t>
      </w:r>
      <w:r>
        <w:t xml:space="preserve"> </w:t>
      </w:r>
      <w:hyperlink r:id="rId78">
        <w:r>
          <w:rPr>
            <w:rStyle w:val="Hyperlink"/>
          </w:rPr>
          <w:t xml:space="preserve">https://doi.org/10.1242/jeb.243225</w:t>
        </w:r>
      </w:hyperlink>
      <w:r>
        <w:t xml:space="preserve">.</w:t>
      </w:r>
    </w:p>
    <w:bookmarkEnd w:id="79"/>
    <w:bookmarkStart w:id="81" w:name="ref-pomerantsev2021"/>
    <w:p>
      <w:pPr>
        <w:pStyle w:val="Bibliography"/>
      </w:pPr>
      <w:r>
        <w:t xml:space="preserve">Pomerantsev, Alexey L., and Oxana Ye. Rodionova. 2021.</w:t>
      </w:r>
      <w:r>
        <w:t xml:space="preserve"> </w:t>
      </w:r>
      <w:r>
        <w:t xml:space="preserve">“Procrustes Cross-Validation of Short Datasets in PCA Context.”</w:t>
      </w:r>
      <w:r>
        <w:t xml:space="preserve"> </w:t>
      </w:r>
      <w:r>
        <w:rPr>
          <w:i/>
          <w:iCs/>
        </w:rPr>
        <w:t xml:space="preserve">Talanta</w:t>
      </w:r>
      <w:r>
        <w:t xml:space="preserve"> </w:t>
      </w:r>
      <w:r>
        <w:t xml:space="preserve">226: 122104.</w:t>
      </w:r>
      <w:r>
        <w:t xml:space="preserve"> </w:t>
      </w:r>
      <w:hyperlink r:id="rId80">
        <w:r>
          <w:rPr>
            <w:rStyle w:val="Hyperlink"/>
          </w:rPr>
          <w:t xml:space="preserve">https://doi.org/10.1016/j.talanta.2021.122104</w:t>
        </w:r>
      </w:hyperlink>
      <w:r>
        <w:t xml:space="preserve">.</w:t>
      </w:r>
    </w:p>
    <w:bookmarkEnd w:id="81"/>
    <w:bookmarkStart w:id="83" w:name="ref-porciuncula2012"/>
    <w:p>
      <w:pPr>
        <w:pStyle w:val="Bibliography"/>
      </w:pPr>
      <w:r>
        <w:t xml:space="preserve">Porciúncula, C. B., N. R. Marcilio, I. C. Tessaro, and M. Gerchmann. 2012.</w:t>
      </w:r>
      <w:r>
        <w:t xml:space="preserve"> </w:t>
      </w:r>
      <w:r>
        <w:t xml:space="preserve">“Production of Hydrogen in the Reaction Between Aluminum and Water in the Presence of NaOH and KOH.”</w:t>
      </w:r>
      <w:r>
        <w:t xml:space="preserve"> </w:t>
      </w:r>
      <w:r>
        <w:rPr>
          <w:i/>
          <w:iCs/>
        </w:rPr>
        <w:t xml:space="preserve">Brazilian Journal of Chemical Engineering</w:t>
      </w:r>
      <w:r>
        <w:t xml:space="preserve"> </w:t>
      </w:r>
      <w:r>
        <w:t xml:space="preserve">29: 337–48.</w:t>
      </w:r>
      <w:r>
        <w:t xml:space="preserve"> </w:t>
      </w:r>
      <w:hyperlink r:id="rId82">
        <w:r>
          <w:rPr>
            <w:rStyle w:val="Hyperlink"/>
          </w:rPr>
          <w:t xml:space="preserve">https://doi.org/10.1590/s0104-66322012000200014</w:t>
        </w:r>
      </w:hyperlink>
      <w:r>
        <w:t xml:space="preserve">.</w:t>
      </w:r>
    </w:p>
    <w:bookmarkEnd w:id="83"/>
    <w:bookmarkStart w:id="85" w:name="ref-dupreez2021review"/>
    <w:p>
      <w:pPr>
        <w:pStyle w:val="Bibliography"/>
      </w:pPr>
      <w:r>
        <w:t xml:space="preserve">Preez, S. P. du, and D. G. Bessarabov. 2021.</w:t>
      </w:r>
      <w:r>
        <w:t xml:space="preserve"> </w:t>
      </w:r>
      <w:r>
        <w:t xml:space="preserve">“On-Demand Hydrogen Generation by the Hydrolysis of Ball-Milled Aluminum Composites: A Process Overview.”</w:t>
      </w:r>
      <w:r>
        <w:t xml:space="preserve"> </w:t>
      </w:r>
      <w:r>
        <w:rPr>
          <w:i/>
          <w:iCs/>
        </w:rPr>
        <w:t xml:space="preserve">International Journal of Hydrogen Energy</w:t>
      </w:r>
      <w:r>
        <w:t xml:space="preserve"> </w:t>
      </w:r>
      <w:r>
        <w:t xml:space="preserve">46: 35790–813.</w:t>
      </w:r>
      <w:r>
        <w:t xml:space="preserve"> </w:t>
      </w:r>
      <w:hyperlink r:id="rId84">
        <w:r>
          <w:rPr>
            <w:rStyle w:val="Hyperlink"/>
          </w:rPr>
          <w:t xml:space="preserve">https://doi.org/10.1016/j.ijhydene.2021.03.240</w:t>
        </w:r>
      </w:hyperlink>
      <w:r>
        <w:t xml:space="preserve">.</w:t>
      </w:r>
    </w:p>
    <w:bookmarkEnd w:id="85"/>
    <w:bookmarkStart w:id="87" w:name="ref-saceleanu2019"/>
    <w:p>
      <w:pPr>
        <w:pStyle w:val="Bibliography"/>
      </w:pPr>
      <w:r>
        <w:t xml:space="preserve">Saceleanu, Flaviu, Thu V. Vuong, Emma R. Master, and John Z. Wen. 2019.</w:t>
      </w:r>
      <w:r>
        <w:t xml:space="preserve"> </w:t>
      </w:r>
      <w:r>
        <w:t xml:space="preserve">“Tunable Kinetics of Nanoaluminum and Microaluminum Powders Reacting with Water to Produce Hydrogen.”</w:t>
      </w:r>
      <w:r>
        <w:t xml:space="preserve"> </w:t>
      </w:r>
      <w:r>
        <w:rPr>
          <w:i/>
          <w:iCs/>
        </w:rPr>
        <w:t xml:space="preserve">International Journal of Energy Research</w:t>
      </w:r>
      <w:r>
        <w:t xml:space="preserve"> </w:t>
      </w:r>
      <w:r>
        <w:t xml:space="preserve">43: 7384–96.</w:t>
      </w:r>
      <w:r>
        <w:t xml:space="preserve"> </w:t>
      </w:r>
      <w:hyperlink r:id="rId86">
        <w:r>
          <w:rPr>
            <w:rStyle w:val="Hyperlink"/>
          </w:rPr>
          <w:t xml:space="preserve">https://doi.org/10.1002/er.4769</w:t>
        </w:r>
      </w:hyperlink>
      <w:r>
        <w:t xml:space="preserve">.</w:t>
      </w:r>
    </w:p>
    <w:bookmarkEnd w:id="87"/>
    <w:bookmarkStart w:id="89" w:name="ref-suvarna2024"/>
    <w:p>
      <w:pPr>
        <w:pStyle w:val="Bibliography"/>
      </w:pPr>
      <w:r>
        <w:t xml:space="preserve">Suvarna, Manu, and Javier Pérez-Ramírez. 2024.</w:t>
      </w:r>
      <w:r>
        <w:t xml:space="preserve"> </w:t>
      </w:r>
      <w:r>
        <w:t xml:space="preserve">“Embracing Data Science in Catalysis Research.”</w:t>
      </w:r>
      <w:r>
        <w:t xml:space="preserve"> </w:t>
      </w:r>
      <w:r>
        <w:rPr>
          <w:i/>
          <w:iCs/>
        </w:rPr>
        <w:t xml:space="preserve">Nature Catalysis</w:t>
      </w:r>
      <w:r>
        <w:t xml:space="preserve"> </w:t>
      </w:r>
      <w:r>
        <w:t xml:space="preserve">7: 624–35.</w:t>
      </w:r>
      <w:r>
        <w:t xml:space="preserve"> </w:t>
      </w:r>
      <w:hyperlink r:id="rId88">
        <w:r>
          <w:rPr>
            <w:rStyle w:val="Hyperlink"/>
          </w:rPr>
          <w:t xml:space="preserve">https://doi.org/10.1038/s41929-024-01150-3</w:t>
        </w:r>
      </w:hyperlink>
      <w:r>
        <w:t xml:space="preserve">.</w:t>
      </w:r>
    </w:p>
    <w:bookmarkEnd w:id="89"/>
    <w:bookmarkStart w:id="91" w:name="ref-urbonav2024"/>
    <w:p>
      <w:pPr>
        <w:pStyle w:val="Bibliography"/>
      </w:pPr>
      <w:r>
        <w:t xml:space="preserve">Urbonavičius, Marius, Šarūnas Varnagiris, Ainars Knoks, et al. 2024.</w:t>
      </w:r>
      <w:r>
        <w:t xml:space="preserve"> </w:t>
      </w:r>
      <w:r>
        <w:t xml:space="preserve">“Enhanced Hydrogen Generation Through Low-Temperature Plasma Treatment of Waste Aluminum for Hydrolysis Reaction.”</w:t>
      </w:r>
      <w:r>
        <w:t xml:space="preserve"> </w:t>
      </w:r>
      <w:r>
        <w:rPr>
          <w:i/>
          <w:iCs/>
        </w:rPr>
        <w:t xml:space="preserve">Materials</w:t>
      </w:r>
      <w:r>
        <w:t xml:space="preserve"> </w:t>
      </w:r>
      <w:r>
        <w:t xml:space="preserve">17: 2637.</w:t>
      </w:r>
      <w:r>
        <w:t xml:space="preserve"> </w:t>
      </w:r>
      <w:hyperlink r:id="rId90">
        <w:r>
          <w:rPr>
            <w:rStyle w:val="Hyperlink"/>
          </w:rPr>
          <w:t xml:space="preserve">https://doi.org/10.3390/ma17112637</w:t>
        </w:r>
      </w:hyperlink>
      <w:r>
        <w:t xml:space="preserve">.</w:t>
      </w:r>
    </w:p>
    <w:bookmarkEnd w:id="91"/>
    <w:bookmarkStart w:id="93" w:name="ref-urbonavicius2023"/>
    <w:p>
      <w:pPr>
        <w:pStyle w:val="Bibliography"/>
      </w:pPr>
      <w:r>
        <w:t xml:space="preserve">Urbonavičius, Marius, Šarūnas Varnagiris, Ainars Mezulis, et al. 2023.</w:t>
      </w:r>
      <w:r>
        <w:t xml:space="preserve"> </w:t>
      </w:r>
      <w:r>
        <w:t xml:space="preserve">“Hydrogen from Industrial Aluminium Scraps: Hydrolysis Under Various Conditions, Modelling of pH Behaviour and Analysis of Reaction by-Product.”</w:t>
      </w:r>
      <w:r>
        <w:t xml:space="preserve"> </w:t>
      </w:r>
      <w:r>
        <w:rPr>
          <w:i/>
          <w:iCs/>
        </w:rPr>
        <w:t xml:space="preserve">International Journal of Hydrogen Energy</w:t>
      </w:r>
      <w:r>
        <w:t xml:space="preserve">, ahead of print.</w:t>
      </w:r>
      <w:r>
        <w:t xml:space="preserve"> </w:t>
      </w:r>
      <w:hyperlink r:id="rId92">
        <w:r>
          <w:rPr>
            <w:rStyle w:val="Hyperlink"/>
          </w:rPr>
          <w:t xml:space="preserve">https://doi.org/10.1016/j.ijhydene.2023.09.065</w:t>
        </w:r>
      </w:hyperlink>
      <w:r>
        <w:t xml:space="preserve">.</w:t>
      </w:r>
    </w:p>
    <w:bookmarkEnd w:id="93"/>
    <w:bookmarkStart w:id="95" w:name="ref-wen2018"/>
    <w:p>
      <w:pPr>
        <w:pStyle w:val="Bibliography"/>
      </w:pPr>
      <w:r>
        <w:t xml:space="preserve">Wen, Yu-Chieh, Wei-Min Huang, and Hong-Wen Wang. 2018.</w:t>
      </w:r>
      <w:r>
        <w:t xml:space="preserve"> </w:t>
      </w:r>
      <w:r>
        <w:t xml:space="preserve">“Kinetics Study on the Generation of Hydrogen from an Aluminum/Water System Using Synthesized Aluminum Hydroxides.”</w:t>
      </w:r>
      <w:r>
        <w:t xml:space="preserve"> </w:t>
      </w:r>
      <w:r>
        <w:rPr>
          <w:i/>
          <w:iCs/>
        </w:rPr>
        <w:t xml:space="preserve">International Journal of Energy Research</w:t>
      </w:r>
      <w:r>
        <w:t xml:space="preserve">, ahead of print.</w:t>
      </w:r>
      <w:r>
        <w:t xml:space="preserve"> </w:t>
      </w:r>
      <w:hyperlink r:id="rId94">
        <w:r>
          <w:rPr>
            <w:rStyle w:val="Hyperlink"/>
          </w:rPr>
          <w:t xml:space="preserve">https://doi.org/10.1002/er.3955</w:t>
        </w:r>
      </w:hyperlink>
      <w:r>
        <w:t xml:space="preserve">.</w:t>
      </w:r>
    </w:p>
    <w:bookmarkEnd w:id="95"/>
    <w:bookmarkStart w:id="97" w:name="ref-wulf2021"/>
    <w:p>
      <w:pPr>
        <w:pStyle w:val="Bibliography"/>
      </w:pPr>
      <w:r>
        <w:t xml:space="preserve">Wulf, Christoph, Matthias Beller, Tim Boenisch, et al. 2021.</w:t>
      </w:r>
      <w:r>
        <w:t xml:space="preserve"> </w:t>
      </w:r>
      <w:r>
        <w:t xml:space="preserve">“A Unified Research Data Infrastructure for Catalysis Research – Challenges and Concepts.”</w:t>
      </w:r>
      <w:r>
        <w:t xml:space="preserve"> </w:t>
      </w:r>
      <w:r>
        <w:rPr>
          <w:i/>
          <w:iCs/>
        </w:rPr>
        <w:t xml:space="preserve">ChemCatChem</w:t>
      </w:r>
      <w:r>
        <w:t xml:space="preserve"> </w:t>
      </w:r>
      <w:r>
        <w:t xml:space="preserve">13.</w:t>
      </w:r>
      <w:r>
        <w:t xml:space="preserve"> </w:t>
      </w:r>
      <w:hyperlink r:id="rId96">
        <w:r>
          <w:rPr>
            <w:rStyle w:val="Hyperlink"/>
          </w:rPr>
          <w:t xml:space="preserve">https://doi.org/10.1002/cctc.202001974</w:t>
        </w:r>
      </w:hyperlink>
      <w:r>
        <w:t xml:space="preserve">.</w:t>
      </w:r>
    </w:p>
    <w:bookmarkEnd w:id="97"/>
    <w:bookmarkStart w:id="99" w:name="ref-xue2024"/>
    <w:p>
      <w:pPr>
        <w:pStyle w:val="Bibliography"/>
      </w:pPr>
      <w:r>
        <w:t xml:space="preserve">Xue, Pengcheng, Ruihu Qiu, Cheng Peng, et al. 2024.</w:t>
      </w:r>
      <w:r>
        <w:t xml:space="preserve"> </w:t>
      </w:r>
      <w:r>
        <w:t xml:space="preserve">“Solutions for Lithium Battery Materials Data Issues in Machine Learning: Overview and Future Outlook.”</w:t>
      </w:r>
      <w:r>
        <w:t xml:space="preserve"> </w:t>
      </w:r>
      <w:r>
        <w:rPr>
          <w:i/>
          <w:iCs/>
        </w:rPr>
        <w:t xml:space="preserve">Advanced Science</w:t>
      </w:r>
      <w:r>
        <w:t xml:space="preserve"> </w:t>
      </w:r>
      <w:r>
        <w:t xml:space="preserve">11.</w:t>
      </w:r>
      <w:r>
        <w:t xml:space="preserve"> </w:t>
      </w:r>
      <w:hyperlink r:id="rId98">
        <w:r>
          <w:rPr>
            <w:rStyle w:val="Hyperlink"/>
          </w:rPr>
          <w:t xml:space="preserve">https://doi.org/10.1002/advs.202410065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17" Target="media/rId17.png" /><Relationship Type="http://schemas.openxmlformats.org/officeDocument/2006/relationships/image" Id="rId46" Target="media/rId46.png" /><Relationship Type="http://schemas.openxmlformats.org/officeDocument/2006/relationships/hyperlink" Id="rId98" Target="https://doi.org/10.1002/advs.202410065" TargetMode="External" /><Relationship Type="http://schemas.openxmlformats.org/officeDocument/2006/relationships/hyperlink" Id="rId96" Target="https://doi.org/10.1002/cctc.202001974" TargetMode="External" /><Relationship Type="http://schemas.openxmlformats.org/officeDocument/2006/relationships/hyperlink" Id="rId94" Target="https://doi.org/10.1002/er.3955" TargetMode="External" /><Relationship Type="http://schemas.openxmlformats.org/officeDocument/2006/relationships/hyperlink" Id="rId86" Target="https://doi.org/10.1002/er.4769" TargetMode="External" /><Relationship Type="http://schemas.openxmlformats.org/officeDocument/2006/relationships/hyperlink" Id="rId70" Target="https://doi.org/10.1016/j.fuel.2023.128924" TargetMode="External" /><Relationship Type="http://schemas.openxmlformats.org/officeDocument/2006/relationships/hyperlink" Id="rId74" Target="https://doi.org/10.1016/j.geoderma.2025.117223" TargetMode="External" /><Relationship Type="http://schemas.openxmlformats.org/officeDocument/2006/relationships/hyperlink" Id="rId76" Target="https://doi.org/10.1016/j.ijft.2025.101152" TargetMode="External" /><Relationship Type="http://schemas.openxmlformats.org/officeDocument/2006/relationships/hyperlink" Id="rId84" Target="https://doi.org/10.1016/j.ijhydene.2021.03.240" TargetMode="External" /><Relationship Type="http://schemas.openxmlformats.org/officeDocument/2006/relationships/hyperlink" Id="rId92" Target="https://doi.org/10.1016/j.ijhydene.2023.09.065" TargetMode="External" /><Relationship Type="http://schemas.openxmlformats.org/officeDocument/2006/relationships/hyperlink" Id="rId80" Target="https://doi.org/10.1016/j.talanta.2021.122104" TargetMode="External" /><Relationship Type="http://schemas.openxmlformats.org/officeDocument/2006/relationships/hyperlink" Id="rId68" Target="https://doi.org/10.1038/s41529-022-00218-4" TargetMode="External" /><Relationship Type="http://schemas.openxmlformats.org/officeDocument/2006/relationships/hyperlink" Id="rId66" Target="https://doi.org/10.1038/s41570-025-00740-4" TargetMode="External" /><Relationship Type="http://schemas.openxmlformats.org/officeDocument/2006/relationships/hyperlink" Id="rId64" Target="https://doi.org/10.1038/s41592-024-02362-y" TargetMode="External" /><Relationship Type="http://schemas.openxmlformats.org/officeDocument/2006/relationships/hyperlink" Id="rId88" Target="https://doi.org/10.1038/s41929-024-01150-3" TargetMode="External" /><Relationship Type="http://schemas.openxmlformats.org/officeDocument/2006/relationships/hyperlink" Id="rId78" Target="https://doi.org/10.1242/jeb.243225" TargetMode="External" /><Relationship Type="http://schemas.openxmlformats.org/officeDocument/2006/relationships/hyperlink" Id="rId82" Target="https://doi.org/10.1590/s0104-66322012000200014" TargetMode="External" /><Relationship Type="http://schemas.openxmlformats.org/officeDocument/2006/relationships/hyperlink" Id="rId72" Target="https://doi.org/10.3390/ma11101990" TargetMode="External" /><Relationship Type="http://schemas.openxmlformats.org/officeDocument/2006/relationships/hyperlink" Id="rId90" Target="https://doi.org/10.3390/ma17112637" TargetMode="External" /><Relationship Type="http://schemas.openxmlformats.org/officeDocument/2006/relationships/hyperlink" Id="rId60" Target="https://github.com/zegran/AIH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02/advs.202410065" TargetMode="External" /><Relationship Type="http://schemas.openxmlformats.org/officeDocument/2006/relationships/hyperlink" Id="rId96" Target="https://doi.org/10.1002/cctc.202001974" TargetMode="External" /><Relationship Type="http://schemas.openxmlformats.org/officeDocument/2006/relationships/hyperlink" Id="rId94" Target="https://doi.org/10.1002/er.3955" TargetMode="External" /><Relationship Type="http://schemas.openxmlformats.org/officeDocument/2006/relationships/hyperlink" Id="rId86" Target="https://doi.org/10.1002/er.4769" TargetMode="External" /><Relationship Type="http://schemas.openxmlformats.org/officeDocument/2006/relationships/hyperlink" Id="rId70" Target="https://doi.org/10.1016/j.fuel.2023.128924" TargetMode="External" /><Relationship Type="http://schemas.openxmlformats.org/officeDocument/2006/relationships/hyperlink" Id="rId74" Target="https://doi.org/10.1016/j.geoderma.2025.117223" TargetMode="External" /><Relationship Type="http://schemas.openxmlformats.org/officeDocument/2006/relationships/hyperlink" Id="rId76" Target="https://doi.org/10.1016/j.ijft.2025.101152" TargetMode="External" /><Relationship Type="http://schemas.openxmlformats.org/officeDocument/2006/relationships/hyperlink" Id="rId84" Target="https://doi.org/10.1016/j.ijhydene.2021.03.240" TargetMode="External" /><Relationship Type="http://schemas.openxmlformats.org/officeDocument/2006/relationships/hyperlink" Id="rId92" Target="https://doi.org/10.1016/j.ijhydene.2023.09.065" TargetMode="External" /><Relationship Type="http://schemas.openxmlformats.org/officeDocument/2006/relationships/hyperlink" Id="rId80" Target="https://doi.org/10.1016/j.talanta.2021.122104" TargetMode="External" /><Relationship Type="http://schemas.openxmlformats.org/officeDocument/2006/relationships/hyperlink" Id="rId68" Target="https://doi.org/10.1038/s41529-022-00218-4" TargetMode="External" /><Relationship Type="http://schemas.openxmlformats.org/officeDocument/2006/relationships/hyperlink" Id="rId66" Target="https://doi.org/10.1038/s41570-025-00740-4" TargetMode="External" /><Relationship Type="http://schemas.openxmlformats.org/officeDocument/2006/relationships/hyperlink" Id="rId64" Target="https://doi.org/10.1038/s41592-024-02362-y" TargetMode="External" /><Relationship Type="http://schemas.openxmlformats.org/officeDocument/2006/relationships/hyperlink" Id="rId88" Target="https://doi.org/10.1038/s41929-024-01150-3" TargetMode="External" /><Relationship Type="http://schemas.openxmlformats.org/officeDocument/2006/relationships/hyperlink" Id="rId78" Target="https://doi.org/10.1242/jeb.243225" TargetMode="External" /><Relationship Type="http://schemas.openxmlformats.org/officeDocument/2006/relationships/hyperlink" Id="rId82" Target="https://doi.org/10.1590/s0104-66322012000200014" TargetMode="External" /><Relationship Type="http://schemas.openxmlformats.org/officeDocument/2006/relationships/hyperlink" Id="rId72" Target="https://doi.org/10.3390/ma11101990" TargetMode="External" /><Relationship Type="http://schemas.openxmlformats.org/officeDocument/2006/relationships/hyperlink" Id="rId90" Target="https://doi.org/10.3390/ma17112637" TargetMode="External" /><Relationship Type="http://schemas.openxmlformats.org/officeDocument/2006/relationships/hyperlink" Id="rId60" Target="https://github.com/zegran/AIH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Apparent Contradictions in the Aluminum–Water Hydrolysis Literature are Predominantly Methodological: a Provenance-Tracked, Leakage-Controlled Analysis</dc:title>
  <dc:creator>Dogukan Unal</dc:creator>
  <cp:keywords/>
  <dcterms:created xsi:type="dcterms:W3CDTF">2026-06-17T09:38:04Z</dcterms:created>
  <dcterms:modified xsi:type="dcterms:W3CDTF">2026-06-17T09:38:04Z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aluminum–water hydrolysis literature for hydrogen production reports parameter effects that contradict one another across studies—most visibly a direction-changing particle-size effect and activation energies spanning 3.5–102.6 kJ mol^{-1}—which blocks data-driven design and leaves open whether the contradictions reflect genuine physico-chemical regimes or artifacts of isolated, non-standardized experimental conditions. We unify the scattered literature into a provenance-tracked open dataset (315 condition-level yield rows from 31 studies, plus a separate 76-row kinetic table) and analyze it with leakage-controlled evaluation, a study-level variance decomposition, and a within-study consistency test, with pre-registered claims and transparent nulls. Under study-grouped cross-validation the strong apparent predictability of random splits collapses (optimism gap 0.62–0.85 in R^2), and a between-study variance decomposition shows that methodological covariates are associated with \approx 55\% of the between-study yield variance versus \approx 2\% for the physico-chemical regime label (system_class), with the temperature-control method alone the single largest source (\approx 33\%). The flagship particle-size “contradiction” is internally consistent within every study that varies size (5/5 negative), identifying it as a cross-study integration artifact rather than a physical sign reversal. We therefore conclude—associationally and at n\!\approx\!31 studies—that the literature’s apparent contradictions are predominantly methodological; we release the curated dataset, the reproducible analysis, and a minimum-information reporting standard for aluminum-hydrolysis studies.</vt:lpwstr>
  </property>
  <property fmtid="{D5CDD505-2E9C-101B-9397-08002B2CF9AE}" pid="3" name="bibliography">
    <vt:lpwstr>references.bib</vt:lpwstr>
  </property>
</Properties>
</file>