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Formulering tweede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walk limit instellen, met preview (oplichting vakjes)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andere units maken (+ alle attributen)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HUD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Menu</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Sound</w:t>
        <w:br w:type="textWrapping"/>
        <w:br w:type="textWrapping"/>
      </w:r>
    </w:p>
    <w:p w:rsidR="00000000" w:rsidDel="00000000" w:rsidP="00000000" w:rsidRDefault="00000000" w:rsidRPr="00000000">
      <w:pPr>
        <w:contextualSpacing w:val="0"/>
      </w:pPr>
      <w:r w:rsidDel="00000000" w:rsidR="00000000" w:rsidRPr="00000000">
        <w:rPr>
          <w:rtl w:val="0"/>
        </w:rPr>
        <w:t xml:space="preserve">Tijdens de tweede sprint willen we zorgen dat het verplaatsen van de units beter wordt uitgewerkt. Verschillende soorten units (die ook gemaakt gaan worden) hebben een eigen walklimit en dat moet dus worden meegenomen bij de verplaatsing. Tevens is het de bedoeling dat bij het selecteren van een unit de vakjes zullen oplichten waarheen de unit zich kan verplaatsen.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Verder willen we tijdens deze sprint het HUD opzetten zodat de score (endergelijke) getoond kunnen worden.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Het menu wordt aangemaakt met 3 opties “start, options en exit”. Het is de bedoeling dat bij opstarten het spel begint in het menu. Vanuit het menu kan het echte spel worden geladen, het spel afgesloten kan worden en in options de mogelijkheid biedt om geluid te dempen.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Tot slot is het de bedoeling deze sprint sounds toe te gaan voegen zodat het spel al een beetje meer vorm krijgt.</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