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6B"/>
          <w:sz w:val="52"/>
          <w:szCs w:val="52"/>
        </w:rPr>
        <w:t xml:space="preserve">GoodReads 100k Books</w:t>
      </w:r>
    </w:p>
    <w:p>
      <w:pPr>
        <w:spacing w:after="180" w:before="0"/>
        <w:jc w:val="center"/>
      </w:pPr>
      <w:r>
        <w:rPr>
          <w:rFonts w:ascii="Arial" w:cs="Arial" w:eastAsia="Arial" w:hAnsi="Arial"/>
          <w:b/>
          <w:bCs/>
          <w:color w:val="2563EB"/>
          <w:sz w:val="36"/>
          <w:szCs w:val="36"/>
        </w:rPr>
        <w:t xml:space="preserve">Phase 3 Final Written Report</w:t>
      </w:r>
    </w:p>
    <w:p>
      <w:pPr>
        <w:spacing w:after="80" w:before="180"/>
        <w:jc w:val="center"/>
      </w:pPr>
      <w:r>
        <w:rPr>
          <w:rFonts w:ascii="Arial" w:cs="Arial" w:eastAsia="Arial" w:hAnsi="Arial"/>
          <w:color w:val="64748B"/>
          <w:sz w:val="22"/>
          <w:szCs w:val="22"/>
        </w:rPr>
        <w:t xml:space="preserve">Course: 606475 — Data Exploration and Visualization</w:t>
      </w:r>
    </w:p>
    <w:p>
      <w:pPr>
        <w:spacing w:after="40" w:before="40"/>
        <w:jc w:val="center"/>
      </w:pPr>
      <w:r>
        <w:rPr>
          <w:rFonts w:ascii="Arial" w:cs="Arial" w:eastAsia="Arial" w:hAnsi="Arial"/>
          <w:color w:val="64748B"/>
          <w:sz w:val="22"/>
          <w:szCs w:val="22"/>
        </w:rPr>
        <w:t xml:space="preserve">Students: Nour Eddin Abuazzam (202210576)  &amp;  Zeid Salloum (202210192)</w:t>
      </w:r>
    </w:p>
    <w:p>
      <w:pPr>
        <w:spacing w:after="40" w:before="40"/>
        <w:jc w:val="center"/>
      </w:pPr>
      <w:r>
        <w:rPr>
          <w:rFonts w:ascii="Arial" w:cs="Arial" w:eastAsia="Arial" w:hAnsi="Arial"/>
          <w:color w:val="64748B"/>
          <w:sz w:val="22"/>
          <w:szCs w:val="22"/>
        </w:rPr>
        <w:t xml:space="preserve">Submission Date: May 2026</w:t>
      </w:r>
    </w:p>
    <w:p>
      <w:pPr>
        <w:pBdr>
          <w:bottom w:val="single" w:color="E2E8F0" w:sz="4"/>
        </w:pBdr>
        <w:spacing w:after="160" w:before="160"/>
      </w:pPr>
      <w:r>
        <w:t xml:space="preserve"/>
      </w:r>
    </w:p>
    <w:p>
      <w:r>
        <w:br w:type="page"/>
      </w:r>
    </w:p>
    <w:p>
      <w:pPr>
        <w:pStyle w:val="Heading1"/>
        <w:spacing w:after="120" w:before="360"/>
      </w:pPr>
      <w:r>
        <w:rPr>
          <w:rFonts w:ascii="Arial" w:cs="Arial" w:eastAsia="Arial" w:hAnsi="Arial"/>
          <w:b/>
          <w:bCs/>
          <w:color w:val="1A3C6B"/>
          <w:sz w:val="32"/>
          <w:szCs w:val="32"/>
        </w:rPr>
        <w:t xml:space="preserve">1. Introduction</w:t>
      </w:r>
    </w:p>
    <w:p>
      <w:pPr>
        <w:spacing w:after="80" w:before="80"/>
        <w:jc w:val="both"/>
      </w:pPr>
      <w:r>
        <w:rPr>
          <w:rFonts w:ascii="Arial" w:cs="Arial" w:eastAsia="Arial" w:hAnsi="Arial"/>
          <w:color w:val="1E293B"/>
          <w:sz w:val="22"/>
          <w:szCs w:val="22"/>
        </w:rPr>
        <w:t xml:space="preserve">Books are among the most richly annotated cultural artifacts available for data analysis. The GoodReads platform hosts ratings, reviews, and metadata for millions of titles, offering an unparalleled lens into global reading habits. This report presents Phase 3 of a three-phase data visualization project focused on the GoodReads 100k Books dataset.</w:t>
      </w:r>
    </w:p>
    <w:p>
      <w:pPr>
        <w:spacing w:after="80" w:before="80"/>
        <w:jc w:val="both"/>
      </w:pPr>
      <w:r>
        <w:rPr>
          <w:rFonts w:ascii="Arial" w:cs="Arial" w:eastAsia="Arial" w:hAnsi="Arial"/>
          <w:color w:val="1E293B"/>
          <w:sz w:val="22"/>
          <w:szCs w:val="22"/>
        </w:rPr>
        <w:t xml:space="preserve">The central research question driving this project is: What attributes — book format, page count, and genre — most strongly predict a book's average rating and reader engagement on GoodReads? Answering this question has implications for publishers, authors, and platform designers.</w:t>
      </w:r>
    </w:p>
    <w:p>
      <w:pPr>
        <w:spacing w:after="80" w:before="80"/>
        <w:jc w:val="both"/>
      </w:pPr>
      <w:r>
        <w:rPr>
          <w:rFonts w:ascii="Arial" w:cs="Arial" w:eastAsia="Arial" w:hAnsi="Arial"/>
          <w:color w:val="1E293B"/>
          <w:sz w:val="22"/>
          <w:szCs w:val="22"/>
        </w:rPr>
        <w:t xml:space="preserve">Phase 3 extends the interactive Plotly/Dash dashboard from Phase 2 by adding a geospatial analysis layer (Task 1), building a data story presentation (Task 2), and synthesizing all findings into this written report (Task 4).</w:t>
      </w:r>
    </w:p>
    <w:p>
      <w:pPr>
        <w:spacing w:after="0" w:before="120"/>
      </w:pPr>
      <w:r>
        <w:t xml:space="preserve"/>
      </w:r>
    </w:p>
    <w:p>
      <w:pPr>
        <w:pStyle w:val="Heading1"/>
        <w:spacing w:after="120" w:before="360"/>
      </w:pPr>
      <w:r>
        <w:rPr>
          <w:rFonts w:ascii="Arial" w:cs="Arial" w:eastAsia="Arial" w:hAnsi="Arial"/>
          <w:b/>
          <w:bCs/>
          <w:color w:val="1A3C6B"/>
          <w:sz w:val="32"/>
          <w:szCs w:val="32"/>
        </w:rPr>
        <w:t xml:space="preserve">2. Dataset Description</w:t>
      </w:r>
    </w:p>
    <w:p>
      <w:pPr>
        <w:spacing w:after="80" w:before="80"/>
        <w:jc w:val="both"/>
      </w:pPr>
      <w:r>
        <w:rPr>
          <w:rFonts w:ascii="Arial" w:cs="Arial" w:eastAsia="Arial" w:hAnsi="Arial"/>
          <w:color w:val="1E293B"/>
          <w:sz w:val="22"/>
          <w:szCs w:val="22"/>
        </w:rPr>
        <w:t xml:space="preserve">The dataset is the GoodReads 100k Books dataset, originally published on Kaggle in 2021. It contains 100,000 rows and 13 columns covering books published across a wide range of years, genres, and formats.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460"/>
      </w:tblGrid>
      <w:tr>
        <w:trPr>
          <w:tblHeader/>
        </w:trPr>
        <w:tc>
          <w:tcPr>
            <w:tcW w:type="dxa" w:w="1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1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4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title</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Book title (filled as 'Unknown' if missing)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author name(s)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genre</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Comma-separated genre tags; first tag used for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bookformat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Physical/digital format (Hardcover, Paperback, etc.)</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pages</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6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Total page 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Float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Average GoodReads rating (0–5 scale)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totalratings</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6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Total number of ratings received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number of written reviews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isbn</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10-digit ISBN (used for geospatial mapping)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isbn13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13-digit ISBN</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img, link</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Cover image URL and GoodReads page link</w:t>
            </w:r>
          </w:p>
        </w:tc>
      </w:tr>
    </w:tbl>
    <w:p>
      <w:pPr>
        <w:spacing w:after="120" w:before="60"/>
        <w:jc w:val="center"/>
      </w:pPr>
      <w:r>
        <w:rPr>
          <w:rFonts w:ascii="Arial" w:cs="Arial" w:eastAsia="Arial" w:hAnsi="Arial"/>
          <w:color w:val="64748B"/>
          <w:sz w:val="18"/>
          <w:szCs w:val="18"/>
        </w:rPr>
        <w:t xml:space="preserve">Table 1. Dataset column descriptions and data types.</w:t>
      </w:r>
    </w:p>
    <w:p>
      <w:pPr>
        <w:spacing w:after="0" w:before="120"/>
      </w:pPr>
      <w:r>
        <w:t xml:space="preserve"/>
      </w:r>
    </w:p>
    <w:p>
      <w:pPr>
        <w:pStyle w:val="Heading1"/>
        <w:spacing w:after="120" w:before="360"/>
      </w:pPr>
      <w:r>
        <w:rPr>
          <w:rFonts w:ascii="Arial" w:cs="Arial" w:eastAsia="Arial" w:hAnsi="Arial"/>
          <w:b/>
          <w:bCs/>
          <w:color w:val="1A3C6B"/>
          <w:sz w:val="32"/>
          <w:szCs w:val="32"/>
        </w:rPr>
        <w:t xml:space="preserve">3. Data Preparation &amp; Quality</w:t>
      </w:r>
    </w:p>
    <w:p>
      <w:pPr>
        <w:pStyle w:val="Heading2"/>
        <w:spacing w:after="80" w:before="240"/>
      </w:pPr>
      <w:r>
        <w:rPr>
          <w:rFonts w:ascii="Arial" w:cs="Arial" w:eastAsia="Arial" w:hAnsi="Arial"/>
          <w:b/>
          <w:bCs/>
          <w:color w:val="2563EB"/>
          <w:sz w:val="26"/>
          <w:szCs w:val="26"/>
        </w:rPr>
        <w:t xml:space="preserve">3.1 Loading Strategy</w:t>
      </w:r>
    </w:p>
    <w:p>
      <w:pPr>
        <w:spacing w:after="80" w:before="80"/>
        <w:jc w:val="both"/>
      </w:pPr>
      <w:r>
        <w:rPr>
          <w:rFonts w:ascii="Arial" w:cs="Arial" w:eastAsia="Arial" w:hAnsi="Arial"/>
          <w:color w:val="1E293B"/>
          <w:sz w:val="22"/>
          <w:szCs w:val="22"/>
        </w:rPr>
        <w:t xml:space="preserve">Due to the large file size (~120 MB), the dataset was pre-split into four CSV parts (output_part_1.csv through output_part_4.csv) using a multithreading utility. At runtime, all parts are loaded with pd.concat() into a single DataFrame.</w:t>
      </w:r>
    </w:p>
    <w:p>
      <w:pPr>
        <w:pStyle w:val="Heading2"/>
        <w:spacing w:after="80" w:before="240"/>
      </w:pPr>
      <w:r>
        <w:rPr>
          <w:rFonts w:ascii="Arial" w:cs="Arial" w:eastAsia="Arial" w:hAnsi="Arial"/>
          <w:b/>
          <w:bCs/>
          <w:color w:val="2563EB"/>
          <w:sz w:val="26"/>
          <w:szCs w:val="26"/>
        </w:rPr>
        <w:t xml:space="preserve">3.2 Cleaning Steps</w:t>
      </w:r>
    </w:p>
    <w:p>
      <w:pPr>
        <w:spacing w:after="80" w:before="80"/>
        <w:jc w:val="both"/>
      </w:pPr>
      <w:r>
        <w:rPr>
          <w:rFonts w:ascii="Arial" w:cs="Arial" w:eastAsia="Arial" w:hAnsi="Arial"/>
          <w:color w:val="1E293B"/>
          <w:sz w:val="22"/>
          <w:szCs w:val="22"/>
        </w:rPr>
        <w:t xml:space="preserve">The following cleaning pipeline was applied in order:</w:t>
      </w:r>
    </w:p>
    <w:p>
      <w:pPr>
        <w:pStyle w:val="ListParagraph"/>
        <w:numPr>
          <w:ilvl w:val="0"/>
          <w:numId w:val="2"/>
        </w:numPr>
        <w:spacing w:after="40" w:before="40"/>
      </w:pPr>
      <w:r>
        <w:rPr>
          <w:rFonts w:ascii="Arial" w:cs="Arial" w:eastAsia="Arial" w:hAnsi="Arial"/>
          <w:color w:val="1E293B"/>
          <w:sz w:val="22"/>
          <w:szCs w:val="22"/>
        </w:rPr>
        <w:t xml:space="preserve">Missing title values filled with 'Unknown'. Rows with missing bookformat or genre were dropped (~2,100 rows).</w:t>
      </w:r>
    </w:p>
    <w:p>
      <w:pPr>
        <w:pStyle w:val="ListParagraph"/>
        <w:numPr>
          <w:ilvl w:val="0"/>
          <w:numId w:val="2"/>
        </w:numPr>
        <w:spacing w:after="40" w:before="40"/>
      </w:pPr>
      <w:r>
        <w:rPr>
          <w:rFonts w:ascii="Arial" w:cs="Arial" w:eastAsia="Arial" w:hAnsi="Arial"/>
          <w:color w:val="1E293B"/>
          <w:sz w:val="22"/>
          <w:szCs w:val="22"/>
        </w:rPr>
        <w:t xml:space="preserve">Genre: only the first comma-separated tag was retained (e.g., 'History,Military,Civil War' becomes 'History').</w:t>
      </w:r>
    </w:p>
    <w:p>
      <w:pPr>
        <w:pStyle w:val="ListParagraph"/>
        <w:numPr>
          <w:ilvl w:val="0"/>
          <w:numId w:val="2"/>
        </w:numPr>
        <w:spacing w:after="40" w:before="40"/>
      </w:pPr>
      <w:r>
        <w:rPr>
          <w:rFonts w:ascii="Arial" w:cs="Arial" w:eastAsia="Arial" w:hAnsi="Arial"/>
          <w:color w:val="1E293B"/>
          <w:sz w:val="22"/>
          <w:szCs w:val="22"/>
        </w:rPr>
        <w:t xml:space="preserve">bookformat: whitespace stripped, title-cased for consistency.</w:t>
      </w:r>
    </w:p>
    <w:p>
      <w:pPr>
        <w:pStyle w:val="ListParagraph"/>
        <w:numPr>
          <w:ilvl w:val="0"/>
          <w:numId w:val="2"/>
        </w:numPr>
        <w:spacing w:after="40" w:before="40"/>
      </w:pPr>
      <w:r>
        <w:rPr>
          <w:rFonts w:ascii="Arial" w:cs="Arial" w:eastAsia="Arial" w:hAnsi="Arial"/>
          <w:color w:val="1E293B"/>
          <w:sz w:val="22"/>
          <w:szCs w:val="22"/>
        </w:rPr>
        <w:t xml:space="preserve">Numeric conversion: totalratings, rating, pages, and reviews coerced to float/int; non-numeric values became NaN and were dropped.</w:t>
      </w:r>
    </w:p>
    <w:p>
      <w:pPr>
        <w:pStyle w:val="ListParagraph"/>
        <w:numPr>
          <w:ilvl w:val="0"/>
          <w:numId w:val="2"/>
        </w:numPr>
        <w:spacing w:after="40" w:before="40"/>
      </w:pPr>
      <w:r>
        <w:rPr>
          <w:rFonts w:ascii="Arial" w:cs="Arial" w:eastAsia="Arial" w:hAnsi="Arial"/>
          <w:color w:val="1E293B"/>
          <w:sz w:val="22"/>
          <w:szCs w:val="22"/>
        </w:rPr>
        <w:t xml:space="preserve">Outlier filter: books with pages &gt; 3,000 were excluded (246 rows) as likely data entry errors.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Rows Before</w:t>
            </w:r>
          </w:p>
        </w:tc>
        <w:tc>
          <w:tcPr>
            <w:tcW w:type="dxa" w:w="1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Rows After</w:t>
            </w:r>
          </w:p>
        </w:tc>
        <w:tc>
          <w:tcPr>
            <w:tcW w:type="dxa" w:w="27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Dropped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Raw load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100,000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100,000</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Drop missing format/genre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97,841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2,159</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Drop non-numeric ratings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97,841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94,312</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3,529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Drop pages &gt; 3,000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94,312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72,238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22,074 (incl. page outliers &amp; missing pages)</w:t>
            </w:r>
          </w:p>
        </w:tc>
      </w:tr>
    </w:tbl>
    <w:p>
      <w:pPr>
        <w:spacing w:after="120" w:before="60"/>
        <w:jc w:val="center"/>
      </w:pPr>
      <w:r>
        <w:rPr>
          <w:rFonts w:ascii="Arial" w:cs="Arial" w:eastAsia="Arial" w:hAnsi="Arial"/>
          <w:color w:val="64748B"/>
          <w:sz w:val="18"/>
          <w:szCs w:val="18"/>
        </w:rPr>
        <w:t xml:space="preserve">Table 2. Row counts at each cleaning stage. Final analysis dataset: 72,238 rows.</w:t>
      </w:r>
    </w:p>
    <w:p>
      <w:pPr>
        <w:spacing w:after="0" w:before="120"/>
      </w:pPr>
      <w:r>
        <w:t xml:space="preserve"/>
      </w:r>
    </w:p>
    <w:p>
      <w:r>
        <w:br w:type="page"/>
      </w:r>
    </w:p>
    <w:p>
      <w:pPr>
        <w:pStyle w:val="Heading1"/>
        <w:spacing w:after="120" w:before="360"/>
      </w:pPr>
      <w:r>
        <w:rPr>
          <w:rFonts w:ascii="Arial" w:cs="Arial" w:eastAsia="Arial" w:hAnsi="Arial"/>
          <w:b/>
          <w:bCs/>
          <w:color w:val="1A3C6B"/>
          <w:sz w:val="32"/>
          <w:szCs w:val="32"/>
        </w:rPr>
        <w:t xml:space="preserve">4. Exploratory Analysis &amp; Visualizations</w:t>
      </w:r>
    </w:p>
    <w:p>
      <w:pPr>
        <w:pStyle w:val="Heading2"/>
        <w:spacing w:after="80" w:before="240"/>
      </w:pPr>
      <w:r>
        <w:rPr>
          <w:rFonts w:ascii="Arial" w:cs="Arial" w:eastAsia="Arial" w:hAnsi="Arial"/>
          <w:b/>
          <w:bCs/>
          <w:color w:val="2563EB"/>
          <w:sz w:val="26"/>
          <w:szCs w:val="26"/>
        </w:rPr>
        <w:t xml:space="preserve">4.1 Rating Distribution</w:t>
      </w:r>
    </w:p>
    <w:p>
      <w:pPr>
        <w:spacing w:after="80" w:before="80"/>
        <w:jc w:val="both"/>
      </w:pPr>
      <w:r>
        <w:rPr>
          <w:rFonts w:ascii="Arial" w:cs="Arial" w:eastAsia="Arial" w:hAnsi="Arial"/>
          <w:color w:val="1E293B"/>
          <w:sz w:val="22"/>
          <w:szCs w:val="22"/>
        </w:rPr>
        <w:t xml:space="preserve">Figure 1 (see Appendix) shows the distribution of average book ratings across all 72,238 books. The distribution is strongly left-skewed, with 79% of books rated between 3.5 and 5.0. The mean rating is 3.89 and the median is 3.91 — nearly equal, confirming only slight skew.</w:t>
      </w:r>
    </w:p>
    <w:p>
      <w:pPr>
        <w:spacing w:after="80" w:before="80"/>
        <w:jc w:val="both"/>
      </w:pPr>
      <w:r>
        <w:rPr>
          <w:rFonts w:ascii="Arial" w:cs="Arial" w:eastAsia="Arial" w:hAnsi="Arial"/>
          <w:color w:val="1E293B"/>
          <w:sz w:val="22"/>
          <w:szCs w:val="22"/>
        </w:rPr>
        <w:t xml:space="preserve">This pattern reflects a well-known GoodReads phenomenon: users tend to abandon books they dislike rather than finishing and reviewing them, creating a survivorship bias toward higher ratings. A marginal violin plot overlay (Phase 2 Figure 1) reveals a secondary shoulder near 3.0, suggesting a subgroup of critically disappointing reads.</w:t>
      </w:r>
    </w:p>
    <w:p>
      <w:pPr>
        <w:pStyle w:val="Heading2"/>
        <w:spacing w:after="80" w:before="240"/>
      </w:pPr>
      <w:r>
        <w:rPr>
          <w:rFonts w:ascii="Arial" w:cs="Arial" w:eastAsia="Arial" w:hAnsi="Arial"/>
          <w:b/>
          <w:bCs/>
          <w:color w:val="2563EB"/>
          <w:sz w:val="26"/>
          <w:szCs w:val="26"/>
        </w:rPr>
        <w:t xml:space="preserve">4.2 Book Format Analysis</w:t>
      </w:r>
    </w:p>
    <w:p>
      <w:pPr>
        <w:spacing w:after="80" w:before="80"/>
        <w:jc w:val="both"/>
      </w:pPr>
      <w:r>
        <w:rPr>
          <w:rFonts w:ascii="Arial" w:cs="Arial" w:eastAsia="Arial" w:hAnsi="Arial"/>
          <w:color w:val="1E293B"/>
          <w:sz w:val="22"/>
          <w:szCs w:val="22"/>
        </w:rPr>
        <w:t xml:space="preserve">Figure 2 (see Appendix) presents average ratings by book format. Hardcover books earn the highest average rating (3.95), followed by Ebooks (3.94) and Audiobooks (3.91). Kindle Edition titles score lowest at 3.87. While the absolute differences are small (0.08 range), they are statistically meaningful given the dataset size.</w:t>
      </w:r>
    </w:p>
    <w:p>
      <w:pPr>
        <w:spacing w:after="80" w:before="80"/>
        <w:jc w:val="both"/>
      </w:pPr>
      <w:r>
        <w:rPr>
          <w:rFonts w:ascii="Arial" w:cs="Arial" w:eastAsia="Arial" w:hAnsi="Arial"/>
          <w:color w:val="1E293B"/>
          <w:sz w:val="22"/>
          <w:szCs w:val="22"/>
        </w:rPr>
        <w:t xml:space="preserve">A likely explanation is that Hardcover books represent publisher commitment — costly to produce, they tend to be better edited. Kindle Editions include significant self-published content, which on average receives lower ratings.</w:t>
      </w:r>
    </w:p>
    <w:p>
      <w:pPr>
        <w:pStyle w:val="Heading2"/>
        <w:spacing w:after="80" w:before="240"/>
      </w:pPr>
      <w:r>
        <w:rPr>
          <w:rFonts w:ascii="Arial" w:cs="Arial" w:eastAsia="Arial" w:hAnsi="Arial"/>
          <w:b/>
          <w:bCs/>
          <w:color w:val="2563EB"/>
          <w:sz w:val="26"/>
          <w:szCs w:val="26"/>
        </w:rPr>
        <w:t xml:space="preserve">4.3 Pages vs. Rating</w:t>
      </w:r>
    </w:p>
    <w:p>
      <w:pPr>
        <w:spacing w:after="80" w:before="80"/>
        <w:jc w:val="both"/>
      </w:pPr>
      <w:r>
        <w:rPr>
          <w:rFonts w:ascii="Arial" w:cs="Arial" w:eastAsia="Arial" w:hAnsi="Arial"/>
          <w:color w:val="1E293B"/>
          <w:sz w:val="22"/>
          <w:szCs w:val="22"/>
        </w:rPr>
        <w:t xml:space="preserve">Figure 3 shows a scatter plot of page count against average rating. Books in the 200–400 page range consistently achieve the highest ratings across all formats. Books exceeding 800 pages show an average rating drop of approximately 0.08, suggesting measurable reader fatigue for very long books. The log-scaled bubble size represents total ratings, making the most-read books visually prominent.</w:t>
      </w:r>
    </w:p>
    <w:p>
      <w:pPr>
        <w:pStyle w:val="Heading2"/>
        <w:spacing w:after="80" w:before="240"/>
      </w:pPr>
      <w:r>
        <w:rPr>
          <w:rFonts w:ascii="Arial" w:cs="Arial" w:eastAsia="Arial" w:hAnsi="Arial"/>
          <w:b/>
          <w:bCs/>
          <w:color w:val="2563EB"/>
          <w:sz w:val="26"/>
          <w:szCs w:val="26"/>
        </w:rPr>
        <w:t xml:space="preserve">4.4 Genre Analysis</w:t>
      </w:r>
    </w:p>
    <w:p>
      <w:pPr>
        <w:spacing w:after="80" w:before="80"/>
        <w:jc w:val="both"/>
      </w:pPr>
      <w:r>
        <w:rPr>
          <w:rFonts w:ascii="Arial" w:cs="Arial" w:eastAsia="Arial" w:hAnsi="Arial"/>
          <w:color w:val="1E293B"/>
          <w:sz w:val="22"/>
          <w:szCs w:val="22"/>
        </w:rPr>
        <w:t xml:space="preserve">Figure 4 presents book volume and average rating by genre. Nonfiction (18,200 books) and Fantasy (11,400) dominate by volume, yet Poetry achieves the highest average rating at 4.12, followed by Philosophy (4.01). Romance, the fourth-largest genre by volume, scores only 3.82 — suggesting that high-volume genres attract more critical reviews.</w:t>
      </w:r>
    </w:p>
    <w:p>
      <w:pPr>
        <w:spacing w:after="80" w:before="80"/>
        <w:jc w:val="both"/>
      </w:pPr>
      <w:r>
        <w:rPr>
          <w:rFonts w:ascii="Arial" w:cs="Arial" w:eastAsia="Arial" w:hAnsi="Arial"/>
          <w:color w:val="1E293B"/>
          <w:sz w:val="22"/>
          <w:szCs w:val="22"/>
        </w:rPr>
        <w:t xml:space="preserve">This genre quality gap is a key finding: high-rating genres are niche; high-volume genres are mediocre. Publishers can use this insight to identify underserved but quality-conscious reader segments.</w:t>
      </w:r>
    </w:p>
    <w:p>
      <w:pPr>
        <w:spacing w:after="0" w:before="120"/>
      </w:pPr>
      <w:r>
        <w:t xml:space="preserve"/>
      </w:r>
    </w:p>
    <w:p>
      <w:pPr>
        <w:pStyle w:val="Heading1"/>
        <w:spacing w:after="120" w:before="360"/>
      </w:pPr>
      <w:r>
        <w:rPr>
          <w:rFonts w:ascii="Arial" w:cs="Arial" w:eastAsia="Arial" w:hAnsi="Arial"/>
          <w:b/>
          <w:bCs/>
          <w:color w:val="1A3C6B"/>
          <w:sz w:val="32"/>
          <w:szCs w:val="32"/>
        </w:rPr>
        <w:t xml:space="preserve">5. Interactive Dashboard Description</w:t>
      </w:r>
    </w:p>
    <w:p>
      <w:pPr>
        <w:spacing w:after="80" w:before="80"/>
        <w:jc w:val="both"/>
      </w:pPr>
      <w:r>
        <w:rPr>
          <w:rFonts w:ascii="Arial" w:cs="Arial" w:eastAsia="Arial" w:hAnsi="Arial"/>
          <w:color w:val="1E293B"/>
          <w:sz w:val="22"/>
          <w:szCs w:val="22"/>
        </w:rPr>
        <w:t xml:space="preserve">The Phase 2 Dash application (app.py) was extended in Phase 3 to app_geo.py, adding a Geospatial Analysis tab alongside the original Analytics Dashboard tab. The application is structured as follows:</w:t>
      </w:r>
    </w:p>
    <w:p>
      <w:pPr>
        <w:pStyle w:val="Heading2"/>
        <w:spacing w:after="80" w:before="240"/>
      </w:pPr>
      <w:r>
        <w:rPr>
          <w:rFonts w:ascii="Arial" w:cs="Arial" w:eastAsia="Arial" w:hAnsi="Arial"/>
          <w:b/>
          <w:bCs/>
          <w:color w:val="2563EB"/>
          <w:sz w:val="26"/>
          <w:szCs w:val="26"/>
        </w:rPr>
        <w:t xml:space="preserve">5.1 Analytics Dashboard Tab</w:t>
      </w:r>
    </w:p>
    <w:p>
      <w:pPr>
        <w:spacing w:after="80" w:before="80"/>
        <w:jc w:val="both"/>
      </w:pPr>
      <w:r>
        <w:rPr>
          <w:rFonts w:ascii="Arial" w:cs="Arial" w:eastAsia="Arial" w:hAnsi="Arial"/>
          <w:color w:val="1E293B"/>
          <w:sz w:val="22"/>
          <w:szCs w:val="22"/>
        </w:rPr>
        <w:t xml:space="preserve">Controls: A multi-select Dropdown filters by up to 6 book formats; a RangeSlider filters by rating range (0–5, step 0.1).</w:t>
      </w:r>
    </w:p>
    <w:p>
      <w:pPr>
        <w:spacing w:after="80" w:before="80"/>
        <w:jc w:val="both"/>
      </w:pPr>
      <w:r>
        <w:rPr>
          <w:rFonts w:ascii="Arial" w:cs="Arial" w:eastAsia="Arial" w:hAnsi="Arial"/>
          <w:color w:val="1E293B"/>
          <w:sz w:val="22"/>
          <w:szCs w:val="22"/>
        </w:rPr>
        <w:t xml:space="preserve">Outputs: Three KPI cards (Total Books, Avg Rating, Median Pages) update dynamically. A horizontal bar chart shows the Top 10 genres within the filtered set. A scatter plot (sample of 3,000 books) shows pages vs. rating, color-coded by format and bubble-sized by log(totalratings).</w:t>
      </w:r>
    </w:p>
    <w:p>
      <w:pPr>
        <w:spacing w:after="80" w:before="80"/>
        <w:jc w:val="both"/>
      </w:pPr>
      <w:r>
        <w:rPr>
          <w:rFonts w:ascii="Arial" w:cs="Arial" w:eastAsia="Arial" w:hAnsi="Arial"/>
          <w:color w:val="1E293B"/>
          <w:sz w:val="22"/>
          <w:szCs w:val="22"/>
        </w:rPr>
        <w:t xml:space="preserve">All charts use a consistent color palette (#1A3C6B navy, #2563EB blue) matching the geospatial tab and this report.</w:t>
      </w:r>
    </w:p>
    <w:p>
      <w:pPr>
        <w:pStyle w:val="Heading2"/>
        <w:spacing w:after="80" w:before="240"/>
      </w:pPr>
      <w:r>
        <w:rPr>
          <w:rFonts w:ascii="Arial" w:cs="Arial" w:eastAsia="Arial" w:hAnsi="Arial"/>
          <w:b/>
          <w:bCs/>
          <w:color w:val="2563EB"/>
          <w:sz w:val="26"/>
          <w:szCs w:val="26"/>
        </w:rPr>
        <w:t xml:space="preserve">5.2 Geospatial Tab</w:t>
      </w:r>
    </w:p>
    <w:p>
      <w:pPr>
        <w:spacing w:after="80" w:before="80"/>
        <w:jc w:val="both"/>
      </w:pPr>
      <w:r>
        <w:rPr>
          <w:rFonts w:ascii="Arial" w:cs="Arial" w:eastAsia="Arial" w:hAnsi="Arial"/>
          <w:color w:val="1E293B"/>
          <w:sz w:val="22"/>
          <w:szCs w:val="22"/>
        </w:rPr>
        <w:t xml:space="preserve">A Folium choropleth map and a Plotly horizontal bar chart are displayed side-by-side. The map (Figure 5) shows book count by publisher country; the bar chart shows the top 10 countries ranked by volume, color-coded by average rating using a diverging Red-Yellow-Green scale.</w:t>
      </w:r>
    </w:p>
    <w:p>
      <w:pPr>
        <w:spacing w:after="80" w:before="80"/>
        <w:jc w:val="both"/>
      </w:pPr>
      <w:r>
        <w:rPr>
          <w:rFonts w:ascii="Arial" w:cs="Arial" w:eastAsia="Arial" w:hAnsi="Arial"/>
          <w:color w:val="1E293B"/>
          <w:sz w:val="22"/>
          <w:szCs w:val="22"/>
        </w:rPr>
        <w:t xml:space="preserve">Below the dual-visual row, three insight cards summarize the key geospatial findings. The Folium map is embedded in the Dash layout via an Iframe using the srcDoc property containing the complete HTML string generated by folium.Map._repr_html_().</w:t>
      </w:r>
    </w:p>
    <w:p>
      <w:pPr>
        <w:pStyle w:val="Heading2"/>
        <w:spacing w:after="80" w:before="240"/>
      </w:pPr>
      <w:r>
        <w:rPr>
          <w:rFonts w:ascii="Arial" w:cs="Arial" w:eastAsia="Arial" w:hAnsi="Arial"/>
          <w:b/>
          <w:bCs/>
          <w:color w:val="2563EB"/>
          <w:sz w:val="26"/>
          <w:szCs w:val="26"/>
        </w:rPr>
        <w:t xml:space="preserve">5.3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Web framework</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Dash + Flask</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Plotly Express / GO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5.x</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Geospatial map</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Folium</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0.18+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manipulation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Pandas + NumPy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2.x / 1.x</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Deployment</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Render.com (gunicorn)</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GeoJSON base map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Natural Earth (geo-countries)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bl>
    <w:p>
      <w:pPr>
        <w:spacing w:after="120" w:before="60"/>
        <w:jc w:val="center"/>
      </w:pPr>
      <w:r>
        <w:rPr>
          <w:rFonts w:ascii="Arial" w:cs="Arial" w:eastAsia="Arial" w:hAnsi="Arial"/>
          <w:color w:val="64748B"/>
          <w:sz w:val="18"/>
          <w:szCs w:val="18"/>
        </w:rPr>
        <w:t xml:space="preserve">Table 3. Technology stack for the Phase 3 dashboard.</w:t>
      </w:r>
    </w:p>
    <w:p>
      <w:pPr>
        <w:spacing w:after="0" w:before="120"/>
      </w:pPr>
      <w:r>
        <w:t xml:space="preserve"/>
      </w:r>
    </w:p>
    <w:p>
      <w:r>
        <w:br w:type="page"/>
      </w:r>
    </w:p>
    <w:p>
      <w:pPr>
        <w:pStyle w:val="Heading1"/>
        <w:spacing w:after="120" w:before="360"/>
      </w:pPr>
      <w:r>
        <w:rPr>
          <w:rFonts w:ascii="Arial" w:cs="Arial" w:eastAsia="Arial" w:hAnsi="Arial"/>
          <w:b/>
          <w:bCs/>
          <w:color w:val="1A3C6B"/>
          <w:sz w:val="32"/>
          <w:szCs w:val="32"/>
        </w:rPr>
        <w:t xml:space="preserve">6. Geospatial Analysis</w:t>
      </w:r>
    </w:p>
    <w:p>
      <w:pPr>
        <w:pStyle w:val="Heading2"/>
        <w:spacing w:after="80" w:before="240"/>
      </w:pPr>
      <w:r>
        <w:rPr>
          <w:rFonts w:ascii="Arial" w:cs="Arial" w:eastAsia="Arial" w:hAnsi="Arial"/>
          <w:b/>
          <w:bCs/>
          <w:color w:val="2563EB"/>
          <w:sz w:val="26"/>
          <w:szCs w:val="26"/>
        </w:rPr>
        <w:t xml:space="preserve">6.1 Methodology</w:t>
      </w:r>
    </w:p>
    <w:p>
      <w:pPr>
        <w:spacing w:after="80" w:before="80"/>
        <w:jc w:val="both"/>
      </w:pPr>
      <w:r>
        <w:rPr>
          <w:rFonts w:ascii="Arial" w:cs="Arial" w:eastAsia="Arial" w:hAnsi="Arial"/>
          <w:color w:val="1E293B"/>
          <w:sz w:val="22"/>
          <w:szCs w:val="22"/>
        </w:rPr>
        <w:t xml:space="preserve">The GoodReads dataset does not include a publisher country column. To derive geospatial data, the 10-digit ISBN registration group prefix was used. ISBN prefixes encode the language/country of the publisher — for example, prefixes 0 and 1 indicate English-language publishers, prefix 3 indicates German publishers, prefix 4 indicates Japanese publishers, and so on.</w:t>
      </w:r>
    </w:p>
    <w:p>
      <w:pPr>
        <w:spacing w:after="80" w:before="80"/>
        <w:jc w:val="both"/>
      </w:pPr>
      <w:r>
        <w:rPr>
          <w:rFonts w:ascii="Arial" w:cs="Arial" w:eastAsia="Arial" w:hAnsi="Arial"/>
          <w:color w:val="1E293B"/>
          <w:sz w:val="22"/>
          <w:szCs w:val="22"/>
        </w:rPr>
        <w:t xml:space="preserve">A lookup table mapping 50+ ISBN prefixes (1 to 4 digits) to country names and ISO 3166-1 alpha-3 codes was constructed manually, following the official International ISBN Agency registration guidelines. Books with unrecognized or missing ISBN values were excluded from the geospatial analysis (7.2% of records).</w:t>
      </w:r>
    </w:p>
    <w:p>
      <w:pPr>
        <w:pStyle w:val="Heading2"/>
        <w:spacing w:after="80" w:before="240"/>
      </w:pPr>
      <w:r>
        <w:rPr>
          <w:rFonts w:ascii="Arial" w:cs="Arial" w:eastAsia="Arial" w:hAnsi="Arial"/>
          <w:b/>
          <w:bCs/>
          <w:color w:val="2563EB"/>
          <w:sz w:val="26"/>
          <w:szCs w:val="26"/>
        </w:rPr>
        <w:t xml:space="preserve">6.2 Data Aggregation</w:t>
      </w:r>
    </w:p>
    <w:p>
      <w:pPr>
        <w:spacing w:after="80" w:before="80"/>
        <w:jc w:val="both"/>
      </w:pPr>
      <w:r>
        <w:rPr>
          <w:rFonts w:ascii="Arial" w:cs="Arial" w:eastAsia="Arial" w:hAnsi="Arial"/>
          <w:color w:val="1E293B"/>
          <w:sz w:val="22"/>
          <w:szCs w:val="22"/>
        </w:rPr>
        <w:t xml:space="preserve">After country assignment, books were grouped by country to compute: total book count, average rating, average page count, and total ratings sum. The resulting table covered 45 countries and 67,049 books (92.8% of the cleaned dataset).</w:t>
      </w:r>
    </w:p>
    <w:p>
      <w:pPr>
        <w:spacing w:after="0" w:before="8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400"/>
        <w:gridCol w:w="1400"/>
      </w:tblGrid>
      <w:tr>
        <w:trPr>
          <w:tblHeader/>
        </w:trPr>
        <w:tc>
          <w:tcPr>
            <w:tcW w:type="dxa" w:w="26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Books</w:t>
            </w:r>
          </w:p>
        </w:tc>
        <w:tc>
          <w:tcPr>
            <w:tcW w:type="dxa" w:w="1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 Share</w:t>
            </w:r>
          </w:p>
        </w:tc>
        <w:tc>
          <w:tcPr>
            <w:tcW w:type="dxa" w:w="14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Avg Rating</w:t>
            </w:r>
          </w:p>
        </w:tc>
        <w:tc>
          <w:tcPr>
            <w:tcW w:type="dxa" w:w="14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Avg Pages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United Kingdom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30,280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45.3%</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3.90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254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Germany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9,333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3.86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297</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China</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5,741</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8.6%</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3.89</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Japan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4,546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3.92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286</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Russia</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3,149</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4.7%</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3.92</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282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Czech Republic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2,298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3.92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272</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France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2,251</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3.4%</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3.87</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292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South Korea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251</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Philippines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0.1%</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4.11</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198</w:t>
            </w:r>
          </w:p>
        </w:tc>
      </w:tr>
    </w:tbl>
    <w:p>
      <w:pPr>
        <w:spacing w:after="120" w:before="60"/>
        <w:jc w:val="center"/>
      </w:pPr>
      <w:r>
        <w:rPr>
          <w:rFonts w:ascii="Arial" w:cs="Arial" w:eastAsia="Arial" w:hAnsi="Arial"/>
          <w:color w:val="64748B"/>
          <w:sz w:val="18"/>
          <w:szCs w:val="18"/>
        </w:rPr>
        <w:t xml:space="preserve">Table 4. Top publishing countries by book count, share, and quality metrics.</w:t>
      </w:r>
    </w:p>
    <w:p>
      <w:pPr>
        <w:spacing w:after="0" w:before="120"/>
      </w:pPr>
      <w:r>
        <w:t xml:space="preserve"/>
      </w:r>
    </w:p>
    <w:p>
      <w:pPr>
        <w:pStyle w:val="Heading2"/>
        <w:spacing w:after="80" w:before="240"/>
      </w:pPr>
      <w:r>
        <w:rPr>
          <w:rFonts w:ascii="Arial" w:cs="Arial" w:eastAsia="Arial" w:hAnsi="Arial"/>
          <w:b/>
          <w:bCs/>
          <w:color w:val="2563EB"/>
          <w:sz w:val="26"/>
          <w:szCs w:val="26"/>
        </w:rPr>
        <w:t xml:space="preserve">6.3 Choropleth Map</w:t>
      </w:r>
    </w:p>
    <w:p>
      <w:pPr>
        <w:spacing w:after="80" w:before="80"/>
        <w:jc w:val="both"/>
      </w:pPr>
      <w:r>
        <w:rPr>
          <w:rFonts w:ascii="Arial" w:cs="Arial" w:eastAsia="Arial" w:hAnsi="Arial"/>
          <w:color w:val="1E293B"/>
          <w:sz w:val="22"/>
          <w:szCs w:val="22"/>
        </w:rPr>
        <w:t xml:space="preserve">Figure 5 (geo_map.html — Folium interactive) presents a quantile-classified choropleth map where color intensity encodes total book count. The map uses the YlOrRd (Yellow-Orange-Red) ColorBrewer scale with 5 classes. Grey fill indicates countries with no matched ISBN prefix in the dataset. Interactive tooltips show Country, Books Published, Average Rating, and Average Pages on hover.</w:t>
      </w:r>
    </w:p>
    <w:p>
      <w:pPr>
        <w:spacing w:after="80" w:before="80"/>
        <w:jc w:val="both"/>
      </w:pPr>
      <w:r>
        <w:rPr>
          <w:rFonts w:ascii="Arial" w:cs="Arial" w:eastAsia="Arial" w:hAnsi="Arial"/>
          <w:color w:val="1E293B"/>
          <w:sz w:val="22"/>
          <w:szCs w:val="22"/>
        </w:rPr>
        <w:t xml:space="preserve">The choropleth is paired with a horizontal bar chart (Figure 6) showing the top 10 countries ranked by volume, color-coded by average rating. This non-spatial context chart is shown side-by-side to help the reader interpret the geographic pattern without losing the quantitative ranking.</w:t>
      </w:r>
    </w:p>
    <w:p>
      <w:pPr>
        <w:pStyle w:val="Heading2"/>
        <w:spacing w:after="80" w:before="240"/>
      </w:pPr>
      <w:r>
        <w:rPr>
          <w:rFonts w:ascii="Arial" w:cs="Arial" w:eastAsia="Arial" w:hAnsi="Arial"/>
          <w:b/>
          <w:bCs/>
          <w:color w:val="2563EB"/>
          <w:sz w:val="26"/>
          <w:szCs w:val="26"/>
        </w:rPr>
        <w:t xml:space="preserve">6.4 Key Geospatial Findings</w:t>
      </w:r>
    </w:p>
    <w:p>
      <w:pPr>
        <w:pStyle w:val="ListParagraph"/>
        <w:numPr>
          <w:ilvl w:val="0"/>
          <w:numId w:val="2"/>
        </w:numPr>
        <w:spacing w:after="40" w:before="40"/>
      </w:pPr>
      <w:r>
        <w:rPr>
          <w:rFonts w:ascii="Arial" w:cs="Arial" w:eastAsia="Arial" w:hAnsi="Arial"/>
          <w:color w:val="1E293B"/>
          <w:sz w:val="22"/>
          <w:szCs w:val="22"/>
        </w:rPr>
        <w:t xml:space="preserve">UK Dominance: The United Kingdom (ISBN groups 0 and 1) accounts for 45.3% of all books, reflecting GoodReads' strong English-language bias rather than UK publishing being objectively larger.</w:t>
      </w:r>
    </w:p>
    <w:p>
      <w:pPr>
        <w:pStyle w:val="ListParagraph"/>
        <w:numPr>
          <w:ilvl w:val="0"/>
          <w:numId w:val="2"/>
        </w:numPr>
        <w:spacing w:after="40" w:before="40"/>
      </w:pPr>
      <w:r>
        <w:rPr>
          <w:rFonts w:ascii="Arial" w:cs="Arial" w:eastAsia="Arial" w:hAnsi="Arial"/>
          <w:color w:val="1E293B"/>
          <w:sz w:val="22"/>
          <w:szCs w:val="22"/>
        </w:rPr>
        <w:t xml:space="preserve">Quality vs. Volume Inversion: South Korea (620 books, 4.05 avg) and Philippines (60 books, 4.11 avg) achieve among the highest average ratings despite very low volumes — suggesting curation over mass production.</w:t>
      </w:r>
    </w:p>
    <w:p>
      <w:pPr>
        <w:pStyle w:val="ListParagraph"/>
        <w:numPr>
          <w:ilvl w:val="0"/>
          <w:numId w:val="2"/>
        </w:numPr>
        <w:spacing w:after="40" w:before="40"/>
      </w:pPr>
      <w:r>
        <w:rPr>
          <w:rFonts w:ascii="Arial" w:cs="Arial" w:eastAsia="Arial" w:hAnsi="Arial"/>
          <w:color w:val="1E293B"/>
          <w:sz w:val="22"/>
          <w:szCs w:val="22"/>
        </w:rPr>
        <w:t xml:space="preserve">Asian Publishing: China, Japan, and South Korea together contribute 16% of books with consistently high ratings (3.89–4.05), indicating that Asian-translated literature performs strongly on GoodReads.</w:t>
      </w:r>
    </w:p>
    <w:p>
      <w:pPr>
        <w:pStyle w:val="ListParagraph"/>
        <w:numPr>
          <w:ilvl w:val="0"/>
          <w:numId w:val="2"/>
        </w:numPr>
        <w:spacing w:after="40" w:before="40"/>
      </w:pPr>
      <w:r>
        <w:rPr>
          <w:rFonts w:ascii="Arial" w:cs="Arial" w:eastAsia="Arial" w:hAnsi="Arial"/>
          <w:color w:val="1E293B"/>
          <w:sz w:val="22"/>
          <w:szCs w:val="22"/>
        </w:rPr>
        <w:t xml:space="preserve">Dataset Limitation: The ISBN group prefix method provides a publisher country proxy, not an author nationality. A book by a Japanese author published in the US would appear as 'United Kingdom/US', not Japan.</w:t>
      </w:r>
    </w:p>
    <w:p>
      <w:pPr>
        <w:spacing w:after="0" w:before="120"/>
      </w:pPr>
      <w:r>
        <w:t xml:space="preserve"/>
      </w:r>
    </w:p>
    <w:p>
      <w:pPr>
        <w:pStyle w:val="Heading1"/>
        <w:spacing w:after="120" w:before="360"/>
      </w:pPr>
      <w:r>
        <w:rPr>
          <w:rFonts w:ascii="Arial" w:cs="Arial" w:eastAsia="Arial" w:hAnsi="Arial"/>
          <w:b/>
          <w:bCs/>
          <w:color w:val="1A3C6B"/>
          <w:sz w:val="32"/>
          <w:szCs w:val="32"/>
        </w:rPr>
        <w:t xml:space="preserve">7. Data Story</w:t>
      </w:r>
    </w:p>
    <w:p>
      <w:pPr>
        <w:spacing w:after="80" w:before="80"/>
        <w:jc w:val="both"/>
      </w:pPr>
      <w:r>
        <w:rPr>
          <w:rFonts w:ascii="Arial" w:cs="Arial" w:eastAsia="Arial" w:hAnsi="Arial"/>
          <w:color w:val="1E293B"/>
          <w:sz w:val="22"/>
          <w:szCs w:val="22"/>
        </w:rPr>
        <w:t xml:space="preserve">The data story follows a three-act narrative structure across 11 slides in the PowerPoint presentation (GoodReads_DataStory.pptx):</w:t>
      </w:r>
    </w:p>
    <w:p>
      <w:pPr>
        <w:pStyle w:val="Heading2"/>
        <w:spacing w:after="80" w:before="240"/>
      </w:pPr>
      <w:r>
        <w:rPr>
          <w:rFonts w:ascii="Arial" w:cs="Arial" w:eastAsia="Arial" w:hAnsi="Arial"/>
          <w:b/>
          <w:bCs/>
          <w:color w:val="2563EB"/>
          <w:sz w:val="26"/>
          <w:szCs w:val="26"/>
        </w:rPr>
        <w:t xml:space="preserve">7.1 Setup (Slides 1–3)</w:t>
      </w:r>
    </w:p>
    <w:p>
      <w:pPr>
        <w:spacing w:after="80" w:before="80"/>
        <w:jc w:val="both"/>
      </w:pPr>
      <w:r>
        <w:rPr>
          <w:rFonts w:ascii="Arial" w:cs="Arial" w:eastAsia="Arial" w:hAnsi="Arial"/>
          <w:color w:val="1E293B"/>
          <w:sz w:val="22"/>
          <w:szCs w:val="22"/>
        </w:rPr>
        <w:t xml:space="preserve">The opening act establishes context: 100,000 books, 13 attributes, and the central question — what makes a book beloved by millions? The executive summary slide (Slide 2) provides an at-a-glance view of all major findings before the evidence is presented, ensuring busy stakeholders can extract value without reading the full deck. Key dataset statistics are presented as KPI cards to maximize scannability.</w:t>
      </w:r>
    </w:p>
    <w:p>
      <w:pPr>
        <w:pStyle w:val="Heading2"/>
        <w:spacing w:after="80" w:before="240"/>
      </w:pPr>
      <w:r>
        <w:rPr>
          <w:rFonts w:ascii="Arial" w:cs="Arial" w:eastAsia="Arial" w:hAnsi="Arial"/>
          <w:b/>
          <w:bCs/>
          <w:color w:val="2563EB"/>
          <w:sz w:val="26"/>
          <w:szCs w:val="26"/>
        </w:rPr>
        <w:t xml:space="preserve">7.2 Conflict (Slides 4–8)</w:t>
      </w:r>
    </w:p>
    <w:p>
      <w:pPr>
        <w:spacing w:after="80" w:before="80"/>
        <w:jc w:val="both"/>
      </w:pPr>
      <w:r>
        <w:rPr>
          <w:rFonts w:ascii="Arial" w:cs="Arial" w:eastAsia="Arial" w:hAnsi="Arial"/>
          <w:color w:val="1E293B"/>
          <w:sz w:val="22"/>
          <w:szCs w:val="22"/>
        </w:rPr>
        <w:t xml:space="preserve">The conflict act surfaces the tensions in the data. Slide 4 exposes the survivorship bias in GoodReads ratings. Slide 5 reveals the format and length paradox — digital formats are cheaper but rated lower. Slide 6 presents the genre volume-quality tension: the most-read genres are not the most highly rated. Slides 7 and 8 introduce the geospatial dimension and the rating-vs-engagement disconnect (ρ=0.31).</w:t>
      </w:r>
    </w:p>
    <w:p>
      <w:pPr>
        <w:pStyle w:val="Heading2"/>
        <w:spacing w:after="80" w:before="240"/>
      </w:pPr>
      <w:r>
        <w:rPr>
          <w:rFonts w:ascii="Arial" w:cs="Arial" w:eastAsia="Arial" w:hAnsi="Arial"/>
          <w:b/>
          <w:bCs/>
          <w:color w:val="2563EB"/>
          <w:sz w:val="26"/>
          <w:szCs w:val="26"/>
        </w:rPr>
        <w:t xml:space="preserve">7.3 Resolution (Slides 9–11)</w:t>
      </w:r>
    </w:p>
    <w:p>
      <w:pPr>
        <w:spacing w:after="80" w:before="80"/>
        <w:jc w:val="both"/>
      </w:pPr>
      <w:r>
        <w:rPr>
          <w:rFonts w:ascii="Arial" w:cs="Arial" w:eastAsia="Arial" w:hAnsi="Arial"/>
          <w:color w:val="1E293B"/>
          <w:sz w:val="22"/>
          <w:szCs w:val="22"/>
        </w:rPr>
        <w:t xml:space="preserve">The resolution act synthesizes findings into actionable insights. Slide 9 demonstrates the interactive dashboard features. Slide 10 delivers four concrete recommendations: invest in Hardcover editions, target the 200–400 page sweet-spot, pursue niche genres (Poetry, Philosophy), and explore underserved Asian markets. Slide 11 concludes with strategic takeaways and opens for Q&amp;A.</w:t>
      </w:r>
    </w:p>
    <w:p>
      <w:pPr>
        <w:spacing w:after="0" w:before="120"/>
      </w:pPr>
      <w:r>
        <w:t xml:space="preserve"/>
      </w:r>
    </w:p>
    <w:p>
      <w:r>
        <w:br w:type="page"/>
      </w:r>
    </w:p>
    <w:p>
      <w:pPr>
        <w:pStyle w:val="Heading1"/>
        <w:spacing w:after="120" w:before="360"/>
      </w:pPr>
      <w:r>
        <w:rPr>
          <w:rFonts w:ascii="Arial" w:cs="Arial" w:eastAsia="Arial" w:hAnsi="Arial"/>
          <w:b/>
          <w:bCs/>
          <w:color w:val="1A3C6B"/>
          <w:sz w:val="32"/>
          <w:szCs w:val="32"/>
        </w:rPr>
        <w:t xml:space="preserve">8. Conclusions &amp; Recommendations</w:t>
      </w:r>
    </w:p>
    <w:p>
      <w:pPr>
        <w:spacing w:after="80" w:before="80"/>
        <w:jc w:val="both"/>
      </w:pPr>
      <w:r>
        <w:rPr>
          <w:rFonts w:ascii="Arial" w:cs="Arial" w:eastAsia="Arial" w:hAnsi="Arial"/>
          <w:color w:val="1E293B"/>
          <w:sz w:val="22"/>
          <w:szCs w:val="22"/>
        </w:rPr>
        <w:t xml:space="preserve">This project analyzed 72,238 GoodReads books through three phases of increasing analytical depth. Phase 1 established static visualizations; Phase 2 built an interactive Dash dashboard; Phase 3 added geospatial intelligence, a data story presentation, and this written report.</w:t>
      </w:r>
    </w:p>
    <w:p>
      <w:pPr>
        <w:pStyle w:val="Heading2"/>
        <w:spacing w:after="80" w:before="240"/>
      </w:pPr>
      <w:r>
        <w:rPr>
          <w:rFonts w:ascii="Arial" w:cs="Arial" w:eastAsia="Arial" w:hAnsi="Arial"/>
          <w:b/>
          <w:bCs/>
          <w:color w:val="2563EB"/>
          <w:sz w:val="26"/>
          <w:szCs w:val="26"/>
        </w:rPr>
        <w:t xml:space="preserve">8.1 Summary of Findings</w:t>
      </w:r>
    </w:p>
    <w:p>
      <w:pPr>
        <w:pStyle w:val="ListParagraph"/>
        <w:numPr>
          <w:ilvl w:val="0"/>
          <w:numId w:val="2"/>
        </w:numPr>
        <w:spacing w:after="40" w:before="40"/>
      </w:pPr>
      <w:r>
        <w:rPr>
          <w:rFonts w:ascii="Arial" w:cs="Arial" w:eastAsia="Arial" w:hAnsi="Arial"/>
          <w:color w:val="1E293B"/>
          <w:sz w:val="22"/>
          <w:szCs w:val="22"/>
        </w:rPr>
        <w:t xml:space="preserve">Rating Distribution: 79% of books score between 3.5 and 5.0; survivorship bias inflates all averages. The true signal lies in comparing within this narrow band.</w:t>
      </w:r>
    </w:p>
    <w:p>
      <w:pPr>
        <w:pStyle w:val="ListParagraph"/>
        <w:numPr>
          <w:ilvl w:val="0"/>
          <w:numId w:val="2"/>
        </w:numPr>
        <w:spacing w:after="40" w:before="40"/>
      </w:pPr>
      <w:r>
        <w:rPr>
          <w:rFonts w:ascii="Arial" w:cs="Arial" w:eastAsia="Arial" w:hAnsi="Arial"/>
          <w:color w:val="1E293B"/>
          <w:sz w:val="22"/>
          <w:szCs w:val="22"/>
        </w:rPr>
        <w:t xml:space="preserve">Format Effect: Hardcover books earn systematically higher ratings (+0.08 vs Kindle); this likely proxies for editorial quality and production investment.</w:t>
      </w:r>
    </w:p>
    <w:p>
      <w:pPr>
        <w:pStyle w:val="ListParagraph"/>
        <w:numPr>
          <w:ilvl w:val="0"/>
          <w:numId w:val="2"/>
        </w:numPr>
        <w:spacing w:after="40" w:before="40"/>
      </w:pPr>
      <w:r>
        <w:rPr>
          <w:rFonts w:ascii="Arial" w:cs="Arial" w:eastAsia="Arial" w:hAnsi="Arial"/>
          <w:color w:val="1E293B"/>
          <w:sz w:val="22"/>
          <w:szCs w:val="22"/>
        </w:rPr>
        <w:t xml:space="preserve">Length Sweet-Spot: Books between 200–400 pages consistently score highest. Very long books (&gt;800 pages) show measurable reader-fatigue penalties.</w:t>
      </w:r>
    </w:p>
    <w:p>
      <w:pPr>
        <w:pStyle w:val="ListParagraph"/>
        <w:numPr>
          <w:ilvl w:val="0"/>
          <w:numId w:val="2"/>
        </w:numPr>
        <w:spacing w:after="40" w:before="40"/>
      </w:pPr>
      <w:r>
        <w:rPr>
          <w:rFonts w:ascii="Arial" w:cs="Arial" w:eastAsia="Arial" w:hAnsi="Arial"/>
          <w:color w:val="1E293B"/>
          <w:sz w:val="22"/>
          <w:szCs w:val="22"/>
        </w:rPr>
        <w:t xml:space="preserve">Genre Gap: Poetry (4.12) and Philosophy (4.01) vastly outperform high-volume genres. Niche genres represent quality publishing opportunities.</w:t>
      </w:r>
    </w:p>
    <w:p>
      <w:pPr>
        <w:pStyle w:val="ListParagraph"/>
        <w:numPr>
          <w:ilvl w:val="0"/>
          <w:numId w:val="2"/>
        </w:numPr>
        <w:spacing w:after="40" w:before="40"/>
      </w:pPr>
      <w:r>
        <w:rPr>
          <w:rFonts w:ascii="Arial" w:cs="Arial" w:eastAsia="Arial" w:hAnsi="Arial"/>
          <w:color w:val="1E293B"/>
          <w:sz w:val="22"/>
          <w:szCs w:val="22"/>
        </w:rPr>
        <w:t xml:space="preserve">Geographic Insight: UK-registered ISBNs dominate (45%), reflecting dataset bias. South Korea and Philippines punch far above their weight in average rating.</w:t>
      </w:r>
    </w:p>
    <w:p>
      <w:pPr>
        <w:pStyle w:val="Heading2"/>
        <w:spacing w:after="80" w:before="240"/>
      </w:pPr>
      <w:r>
        <w:rPr>
          <w:rFonts w:ascii="Arial" w:cs="Arial" w:eastAsia="Arial" w:hAnsi="Arial"/>
          <w:b/>
          <w:bCs/>
          <w:color w:val="2563EB"/>
          <w:sz w:val="26"/>
          <w:szCs w:val="26"/>
        </w:rPr>
        <w:t xml:space="preserve">8.2 Recommendations</w:t>
      </w:r>
    </w:p>
    <w:p>
      <w:pPr>
        <w:pStyle w:val="ListParagraph"/>
        <w:numPr>
          <w:ilvl w:val="0"/>
          <w:numId w:val="2"/>
        </w:numPr>
        <w:spacing w:after="40" w:before="40"/>
      </w:pPr>
      <w:r>
        <w:rPr>
          <w:rFonts w:ascii="Arial" w:cs="Arial" w:eastAsia="Arial" w:hAnsi="Arial"/>
          <w:color w:val="1E293B"/>
          <w:sz w:val="22"/>
          <w:szCs w:val="22"/>
        </w:rPr>
        <w:t xml:space="preserve">For Publishers: Invest in physical Hardcover editions for prestige titles; resist padding manuscripts beyond 400 pages.</w:t>
      </w:r>
    </w:p>
    <w:p>
      <w:pPr>
        <w:pStyle w:val="ListParagraph"/>
        <w:numPr>
          <w:ilvl w:val="0"/>
          <w:numId w:val="2"/>
        </w:numPr>
        <w:spacing w:after="40" w:before="40"/>
      </w:pPr>
      <w:r>
        <w:rPr>
          <w:rFonts w:ascii="Arial" w:cs="Arial" w:eastAsia="Arial" w:hAnsi="Arial"/>
          <w:color w:val="1E293B"/>
          <w:sz w:val="22"/>
          <w:szCs w:val="22"/>
        </w:rPr>
        <w:t xml:space="preserve">For Platform Designers: GoodReads should consider surfacing high-rated niche genres (Poetry, Philosophy) more prominently to combat the volume bias in recommendations.</w:t>
      </w:r>
    </w:p>
    <w:p>
      <w:pPr>
        <w:pStyle w:val="ListParagraph"/>
        <w:numPr>
          <w:ilvl w:val="0"/>
          <w:numId w:val="2"/>
        </w:numPr>
        <w:spacing w:after="40" w:before="40"/>
      </w:pPr>
      <w:r>
        <w:rPr>
          <w:rFonts w:ascii="Arial" w:cs="Arial" w:eastAsia="Arial" w:hAnsi="Arial"/>
          <w:color w:val="1E293B"/>
          <w:sz w:val="22"/>
          <w:szCs w:val="22"/>
        </w:rPr>
        <w:t xml:space="preserve">For Authors: Short-to-medium length books in Philosophy, Science, or Poetry genres have the highest likelihood of achieving top-quartile ratings.</w:t>
      </w:r>
    </w:p>
    <w:p>
      <w:pPr>
        <w:pStyle w:val="ListParagraph"/>
        <w:numPr>
          <w:ilvl w:val="0"/>
          <w:numId w:val="2"/>
        </w:numPr>
        <w:spacing w:after="40" w:before="40"/>
      </w:pPr>
      <w:r>
        <w:rPr>
          <w:rFonts w:ascii="Arial" w:cs="Arial" w:eastAsia="Arial" w:hAnsi="Arial"/>
          <w:color w:val="1E293B"/>
          <w:sz w:val="22"/>
          <w:szCs w:val="22"/>
        </w:rPr>
        <w:t xml:space="preserve">For Data Scientists: ISBN prefix geospatial mapping is a low-cost technique for enriching book datasets without external API calls.</w:t>
      </w:r>
    </w:p>
    <w:p>
      <w:pPr>
        <w:pStyle w:val="Heading2"/>
        <w:spacing w:after="80" w:before="240"/>
      </w:pPr>
      <w:r>
        <w:rPr>
          <w:rFonts w:ascii="Arial" w:cs="Arial" w:eastAsia="Arial" w:hAnsi="Arial"/>
          <w:b/>
          <w:bCs/>
          <w:color w:val="2563EB"/>
          <w:sz w:val="26"/>
          <w:szCs w:val="26"/>
        </w:rPr>
        <w:t xml:space="preserve">8.3 Limitations &amp; Future Work</w:t>
      </w:r>
    </w:p>
    <w:p>
      <w:pPr>
        <w:spacing w:after="80" w:before="80"/>
        <w:jc w:val="both"/>
      </w:pPr>
      <w:r>
        <w:rPr>
          <w:rFonts w:ascii="Arial" w:cs="Arial" w:eastAsia="Arial" w:hAnsi="Arial"/>
          <w:color w:val="1E293B"/>
          <w:sz w:val="22"/>
          <w:szCs w:val="22"/>
        </w:rPr>
        <w:t xml:space="preserve">The ISBN-to-country mapping reflects publisher registration, not author nationality or primary readership market. Future work could enrich the dataset with author nationality (from Wikidata API) and reader location (from GoodReads user metadata if available). Additionally, sentiment analysis on the review text column could reveal qualitative drivers of high ratings that quantitative analysis misses.</w:t>
      </w:r>
    </w:p>
    <w:p>
      <w:pPr>
        <w:spacing w:after="0" w:before="120"/>
      </w:pPr>
      <w:r>
        <w:t xml:space="preserve"/>
      </w:r>
    </w:p>
    <w:p>
      <w:pPr>
        <w:pBdr>
          <w:bottom w:val="single" w:color="E2E8F0" w:sz="4"/>
        </w:pBdr>
        <w:spacing w:after="160" w:before="160"/>
      </w:pPr>
      <w:r>
        <w:t xml:space="preserve"/>
      </w:r>
    </w:p>
    <w:p>
      <w:pPr>
        <w:pStyle w:val="Heading1"/>
        <w:spacing w:after="120" w:before="360"/>
      </w:pPr>
      <w:r>
        <w:rPr>
          <w:rFonts w:ascii="Arial" w:cs="Arial" w:eastAsia="Arial" w:hAnsi="Arial"/>
          <w:b/>
          <w:bCs/>
          <w:color w:val="1A3C6B"/>
          <w:sz w:val="32"/>
          <w:szCs w:val="32"/>
        </w:rPr>
        <w:t xml:space="preserve">References &amp; Libraries</w:t>
      </w:r>
    </w:p>
    <w:p>
      <w:pPr>
        <w:spacing w:after="80" w:before="80"/>
        <w:jc w:val="both"/>
      </w:pPr>
      <w:r>
        <w:rPr>
          <w:rFonts w:ascii="Arial" w:cs="Arial" w:eastAsia="Arial" w:hAnsi="Arial"/>
          <w:color w:val="1E293B"/>
          <w:sz w:val="22"/>
          <w:szCs w:val="22"/>
        </w:rPr>
        <w:t xml:space="preserve">1. GoodReads 100k Books Dataset, Kaggle (2021). https://www.kaggle.com/datasets/mdhamani/goodreads-books-100k</w:t>
      </w:r>
    </w:p>
    <w:p>
      <w:pPr>
        <w:spacing w:after="80" w:before="80"/>
        <w:jc w:val="both"/>
      </w:pPr>
      <w:r>
        <w:rPr>
          <w:rFonts w:ascii="Arial" w:cs="Arial" w:eastAsia="Arial" w:hAnsi="Arial"/>
          <w:color w:val="1E293B"/>
          <w:sz w:val="22"/>
          <w:szCs w:val="22"/>
        </w:rPr>
        <w:t xml:space="preserve">2. Plotly Technologies Inc. Collaborative data science. Montreal, QC: Plotly Technologies Inc. https://plotly.com</w:t>
      </w:r>
    </w:p>
    <w:p>
      <w:pPr>
        <w:spacing w:after="80" w:before="80"/>
        <w:jc w:val="both"/>
      </w:pPr>
      <w:r>
        <w:rPr>
          <w:rFonts w:ascii="Arial" w:cs="Arial" w:eastAsia="Arial" w:hAnsi="Arial"/>
          <w:color w:val="1E293B"/>
          <w:sz w:val="22"/>
          <w:szCs w:val="22"/>
        </w:rPr>
        <w:t xml:space="preserve">3. Plotly Dash documentation. https://dash.plotly.com</w:t>
      </w:r>
    </w:p>
    <w:p>
      <w:pPr>
        <w:spacing w:after="80" w:before="80"/>
        <w:jc w:val="both"/>
      </w:pPr>
      <w:r>
        <w:rPr>
          <w:rFonts w:ascii="Arial" w:cs="Arial" w:eastAsia="Arial" w:hAnsi="Arial"/>
          <w:color w:val="1E293B"/>
          <w:sz w:val="22"/>
          <w:szCs w:val="22"/>
        </w:rPr>
        <w:t xml:space="preserve">4. Folium library documentation. https://python-visualization.github.io/folium/</w:t>
      </w:r>
    </w:p>
    <w:p>
      <w:pPr>
        <w:spacing w:after="80" w:before="80"/>
        <w:jc w:val="both"/>
      </w:pPr>
      <w:r>
        <w:rPr>
          <w:rFonts w:ascii="Arial" w:cs="Arial" w:eastAsia="Arial" w:hAnsi="Arial"/>
          <w:color w:val="1E293B"/>
          <w:sz w:val="22"/>
          <w:szCs w:val="22"/>
        </w:rPr>
        <w:t xml:space="preserve">5. Natural Earth geo-countries GeoJSON. https://github.com/datasets/geo-countries</w:t>
      </w:r>
    </w:p>
    <w:p>
      <w:pPr>
        <w:spacing w:after="80" w:before="80"/>
        <w:jc w:val="both"/>
      </w:pPr>
      <w:r>
        <w:rPr>
          <w:rFonts w:ascii="Arial" w:cs="Arial" w:eastAsia="Arial" w:hAnsi="Arial"/>
          <w:color w:val="1E293B"/>
          <w:sz w:val="22"/>
          <w:szCs w:val="22"/>
        </w:rPr>
        <w:t xml:space="preserve">6. International ISBN Agency. ISBN Users' Manual. https://www.isbn-international.org</w:t>
      </w:r>
    </w:p>
    <w:p>
      <w:pPr>
        <w:spacing w:after="80" w:before="80"/>
        <w:jc w:val="both"/>
      </w:pPr>
      <w:r>
        <w:rPr>
          <w:rFonts w:ascii="Arial" w:cs="Arial" w:eastAsia="Arial" w:hAnsi="Arial"/>
          <w:color w:val="1E293B"/>
          <w:sz w:val="22"/>
          <w:szCs w:val="22"/>
        </w:rPr>
        <w:t xml:space="preserve">7. McKinney, W. (2010). Data Structures for Statistical Computing in Python. Proceedings of the 9th Python in Science Conference.</w:t>
      </w:r>
    </w:p>
    <w:p>
      <w:pPr>
        <w:spacing w:after="80" w:before="80"/>
        <w:jc w:val="both"/>
      </w:pPr>
      <w:r>
        <w:rPr>
          <w:rFonts w:ascii="Arial" w:cs="Arial" w:eastAsia="Arial" w:hAnsi="Arial"/>
          <w:color w:val="1E293B"/>
          <w:sz w:val="22"/>
          <w:szCs w:val="22"/>
        </w:rPr>
        <w:t xml:space="preserve">8. Python Software Foundation. Python 3.12. https://www.python.org</w:t>
      </w:r>
    </w:p>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Arial" w:cs="Arial" w:eastAsia="Arial" w:hAnsi="Arial"/>
        <w:color w:val="64748B"/>
        <w:sz w:val="18"/>
        <w:szCs w:val="18"/>
      </w:rPr>
      <w:t xml:space="preserve">GoodReads 100k — Phase 3 Final Report</w:t>
    </w:r>
    <w:r>
      <w:rPr>
        <w:rFonts w:ascii="Arial" w:cs="Arial" w:eastAsia="Arial" w:hAnsi="Arial"/>
        <w:color w:val="64748B"/>
        <w:sz w:val="18"/>
        <w:szCs w:val="18"/>
      </w:rPr>
      <w:t xml:space="preserve">   |   Nour Eddin Abuazzam &amp; Zeid Salloum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2026-05-31T20:07:31.356Z</dcterms:created>
  <dcterms:modified xsi:type="dcterms:W3CDTF">2026-05-31T20:07:31.357Z</dcterms:modified>
</cp:coreProperties>
</file>

<file path=docProps/custom.xml><?xml version="1.0" encoding="utf-8"?>
<Properties xmlns="http://schemas.openxmlformats.org/officeDocument/2006/custom-properties" xmlns:vt="http://schemas.openxmlformats.org/officeDocument/2006/docPropsVTypes"/>
</file>