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C4D53" w14:textId="77777777" w:rsidR="005216AA" w:rsidRPr="005216AA" w:rsidRDefault="005216AA" w:rsidP="005216AA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216AA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C2.1 Chemical Signalling (HL)</w:t>
      </w:r>
    </w:p>
    <w:p w14:paraId="46BF459D" w14:textId="77777777" w:rsidR="005216AA" w:rsidRPr="005216AA" w:rsidRDefault="005216AA" w:rsidP="005216A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216AA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32DE776C" w14:textId="77777777" w:rsidR="005216AA" w:rsidRPr="005216AA" w:rsidRDefault="005216AA" w:rsidP="005216A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216AA">
        <w:rPr>
          <w:rFonts w:ascii="Arial" w:eastAsia="Times New Roman" w:hAnsi="Arial" w:cs="Arial"/>
          <w:kern w:val="0"/>
          <w14:ligatures w14:val="none"/>
        </w:rPr>
        <w:t xml:space="preserve">Define a </w:t>
      </w:r>
      <w:r w:rsidRPr="005216AA">
        <w:rPr>
          <w:rFonts w:ascii="Arial" w:eastAsia="Times New Roman" w:hAnsi="Arial" w:cs="Arial"/>
          <w:b/>
          <w:bCs/>
          <w:kern w:val="0"/>
          <w14:ligatures w14:val="none"/>
        </w:rPr>
        <w:t>ligand</w:t>
      </w:r>
      <w:r w:rsidRPr="005216AA">
        <w:rPr>
          <w:rFonts w:ascii="Arial" w:eastAsia="Times New Roman" w:hAnsi="Arial" w:cs="Arial"/>
          <w:kern w:val="0"/>
          <w14:ligatures w14:val="none"/>
        </w:rPr>
        <w:t xml:space="preserve"> as a molecule that binds specifically to a receptor protein to initiate a cellular response.</w:t>
      </w:r>
    </w:p>
    <w:p w14:paraId="1B98267B" w14:textId="77777777" w:rsidR="005216AA" w:rsidRPr="005216AA" w:rsidRDefault="005216AA" w:rsidP="005216A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216AA">
        <w:rPr>
          <w:rFonts w:ascii="Arial" w:eastAsia="Times New Roman" w:hAnsi="Arial" w:cs="Arial"/>
          <w:kern w:val="0"/>
          <w14:ligatures w14:val="none"/>
        </w:rPr>
        <w:t xml:space="preserve">Outline the stages of </w:t>
      </w:r>
      <w:r w:rsidRPr="005216AA">
        <w:rPr>
          <w:rFonts w:ascii="Arial" w:eastAsia="Times New Roman" w:hAnsi="Arial" w:cs="Arial"/>
          <w:b/>
          <w:bCs/>
          <w:kern w:val="0"/>
          <w14:ligatures w14:val="none"/>
        </w:rPr>
        <w:t>signal transduction</w:t>
      </w:r>
      <w:r w:rsidRPr="005216AA">
        <w:rPr>
          <w:rFonts w:ascii="Arial" w:eastAsia="Times New Roman" w:hAnsi="Arial" w:cs="Arial"/>
          <w:kern w:val="0"/>
          <w14:ligatures w14:val="none"/>
        </w:rPr>
        <w:t>, including:</w:t>
      </w:r>
    </w:p>
    <w:p w14:paraId="3708F1A9" w14:textId="77777777" w:rsidR="005216AA" w:rsidRPr="005216AA" w:rsidRDefault="005216AA" w:rsidP="005216AA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216AA">
        <w:rPr>
          <w:rFonts w:ascii="Arial" w:eastAsia="Times New Roman" w:hAnsi="Arial" w:cs="Arial"/>
          <w:kern w:val="0"/>
          <w14:ligatures w14:val="none"/>
        </w:rPr>
        <w:t>signal reception</w:t>
      </w:r>
    </w:p>
    <w:p w14:paraId="6D2BA3FA" w14:textId="77777777" w:rsidR="005216AA" w:rsidRPr="005216AA" w:rsidRDefault="005216AA" w:rsidP="005216AA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216AA">
        <w:rPr>
          <w:rFonts w:ascii="Arial" w:eastAsia="Times New Roman" w:hAnsi="Arial" w:cs="Arial"/>
          <w:kern w:val="0"/>
          <w14:ligatures w14:val="none"/>
        </w:rPr>
        <w:t>intracellular relay</w:t>
      </w:r>
    </w:p>
    <w:p w14:paraId="3E3EA7E1" w14:textId="77777777" w:rsidR="005216AA" w:rsidRPr="005216AA" w:rsidRDefault="005216AA" w:rsidP="005216AA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216AA">
        <w:rPr>
          <w:rFonts w:ascii="Arial" w:eastAsia="Times New Roman" w:hAnsi="Arial" w:cs="Arial"/>
          <w:kern w:val="0"/>
          <w14:ligatures w14:val="none"/>
        </w:rPr>
        <w:t>cellular response</w:t>
      </w:r>
    </w:p>
    <w:p w14:paraId="04BB3889" w14:textId="77777777" w:rsidR="005216AA" w:rsidRPr="005216AA" w:rsidRDefault="005216AA" w:rsidP="005216A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216AA">
        <w:rPr>
          <w:rFonts w:ascii="Arial" w:eastAsia="Times New Roman" w:hAnsi="Arial" w:cs="Arial"/>
          <w:kern w:val="0"/>
          <w14:ligatures w14:val="none"/>
        </w:rPr>
        <w:t xml:space="preserve">Explain </w:t>
      </w:r>
      <w:r w:rsidRPr="005216AA">
        <w:rPr>
          <w:rFonts w:ascii="Arial" w:eastAsia="Times New Roman" w:hAnsi="Arial" w:cs="Arial"/>
          <w:b/>
          <w:bCs/>
          <w:kern w:val="0"/>
          <w14:ligatures w14:val="none"/>
        </w:rPr>
        <w:t>quorum sensing</w:t>
      </w:r>
      <w:r w:rsidRPr="005216AA">
        <w:rPr>
          <w:rFonts w:ascii="Arial" w:eastAsia="Times New Roman" w:hAnsi="Arial" w:cs="Arial"/>
          <w:kern w:val="0"/>
          <w14:ligatures w14:val="none"/>
        </w:rPr>
        <w:t xml:space="preserve"> in bacteria and how cell density influences gene expression and coordinated behaviour.</w:t>
      </w:r>
    </w:p>
    <w:p w14:paraId="1D74926C" w14:textId="77777777" w:rsidR="005216AA" w:rsidRPr="005216AA" w:rsidRDefault="005216AA" w:rsidP="005216A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216AA">
        <w:rPr>
          <w:rFonts w:ascii="Arial" w:eastAsia="Times New Roman" w:hAnsi="Arial" w:cs="Arial"/>
          <w:kern w:val="0"/>
          <w14:ligatures w14:val="none"/>
        </w:rPr>
        <w:t xml:space="preserve">Describe </w:t>
      </w:r>
      <w:r w:rsidRPr="005216AA">
        <w:rPr>
          <w:rFonts w:ascii="Arial" w:eastAsia="Times New Roman" w:hAnsi="Arial" w:cs="Arial"/>
          <w:b/>
          <w:bCs/>
          <w:kern w:val="0"/>
          <w14:ligatures w14:val="none"/>
        </w:rPr>
        <w:t>bioluminescence</w:t>
      </w:r>
      <w:r w:rsidRPr="005216AA">
        <w:rPr>
          <w:rFonts w:ascii="Arial" w:eastAsia="Times New Roman" w:hAnsi="Arial" w:cs="Arial"/>
          <w:kern w:val="0"/>
          <w14:ligatures w14:val="none"/>
        </w:rPr>
        <w:t>, its biological role, and practical applications.</w:t>
      </w:r>
    </w:p>
    <w:p w14:paraId="1C220AFC" w14:textId="77777777" w:rsidR="005216AA" w:rsidRPr="005216AA" w:rsidRDefault="005216AA" w:rsidP="005216A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216AA">
        <w:rPr>
          <w:rFonts w:ascii="Arial" w:eastAsia="Times New Roman" w:hAnsi="Arial" w:cs="Arial"/>
          <w:kern w:val="0"/>
          <w14:ligatures w14:val="none"/>
        </w:rPr>
        <w:t>Identify major categories of signalling molecules in animals:</w:t>
      </w:r>
    </w:p>
    <w:p w14:paraId="610C1F8A" w14:textId="77777777" w:rsidR="005216AA" w:rsidRPr="005216AA" w:rsidRDefault="005216AA" w:rsidP="005216AA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216AA">
        <w:rPr>
          <w:rFonts w:ascii="Arial" w:eastAsia="Times New Roman" w:hAnsi="Arial" w:cs="Arial"/>
          <w:b/>
          <w:bCs/>
          <w:kern w:val="0"/>
          <w14:ligatures w14:val="none"/>
        </w:rPr>
        <w:t>Hormones</w:t>
      </w:r>
    </w:p>
    <w:p w14:paraId="2922E19A" w14:textId="77777777" w:rsidR="005216AA" w:rsidRPr="005216AA" w:rsidRDefault="005216AA" w:rsidP="005216AA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216AA">
        <w:rPr>
          <w:rFonts w:ascii="Arial" w:eastAsia="Times New Roman" w:hAnsi="Arial" w:cs="Arial"/>
          <w:b/>
          <w:bCs/>
          <w:kern w:val="0"/>
          <w14:ligatures w14:val="none"/>
        </w:rPr>
        <w:t>Neurotransmitters</w:t>
      </w:r>
    </w:p>
    <w:p w14:paraId="3A359D13" w14:textId="77777777" w:rsidR="005216AA" w:rsidRPr="005216AA" w:rsidRDefault="005216AA" w:rsidP="005216AA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216AA">
        <w:rPr>
          <w:rFonts w:ascii="Arial" w:eastAsia="Times New Roman" w:hAnsi="Arial" w:cs="Arial"/>
          <w:b/>
          <w:bCs/>
          <w:kern w:val="0"/>
          <w14:ligatures w14:val="none"/>
        </w:rPr>
        <w:t>Cytokines</w:t>
      </w:r>
    </w:p>
    <w:p w14:paraId="35D7AA5C" w14:textId="77777777" w:rsidR="005216AA" w:rsidRPr="005216AA" w:rsidRDefault="005216AA" w:rsidP="005216AA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216AA">
        <w:rPr>
          <w:rFonts w:ascii="Arial" w:eastAsia="Times New Roman" w:hAnsi="Arial" w:cs="Arial"/>
          <w:b/>
          <w:bCs/>
          <w:kern w:val="0"/>
          <w14:ligatures w14:val="none"/>
        </w:rPr>
        <w:t>Calcium ions</w:t>
      </w:r>
    </w:p>
    <w:p w14:paraId="2DAF57B3" w14:textId="77777777" w:rsidR="005216AA" w:rsidRPr="005216AA" w:rsidRDefault="005216AA" w:rsidP="005216A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216AA">
        <w:rPr>
          <w:rFonts w:ascii="Arial" w:eastAsia="Times New Roman" w:hAnsi="Arial" w:cs="Arial"/>
          <w:kern w:val="0"/>
          <w14:ligatures w14:val="none"/>
        </w:rPr>
        <w:t>Distinguish between different signalling modes in multicellular organisms, such as endocrine, paracrine, autocrine, and synaptic signalling.</w:t>
      </w:r>
    </w:p>
    <w:p w14:paraId="3AC4446C" w14:textId="77777777" w:rsidR="005216AA" w:rsidRPr="005216AA" w:rsidRDefault="005216AA" w:rsidP="005216A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216AA">
        <w:rPr>
          <w:rFonts w:ascii="Arial" w:eastAsia="Times New Roman" w:hAnsi="Arial" w:cs="Arial"/>
          <w:kern w:val="0"/>
          <w14:ligatures w14:val="none"/>
        </w:rPr>
        <w:t xml:space="preserve">Compare the structure and function of </w:t>
      </w:r>
      <w:r w:rsidRPr="005216AA">
        <w:rPr>
          <w:rFonts w:ascii="Arial" w:eastAsia="Times New Roman" w:hAnsi="Arial" w:cs="Arial"/>
          <w:b/>
          <w:bCs/>
          <w:kern w:val="0"/>
          <w14:ligatures w14:val="none"/>
        </w:rPr>
        <w:t>hormones</w:t>
      </w:r>
      <w:r w:rsidRPr="005216AA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5216AA">
        <w:rPr>
          <w:rFonts w:ascii="Arial" w:eastAsia="Times New Roman" w:hAnsi="Arial" w:cs="Arial"/>
          <w:b/>
          <w:bCs/>
          <w:kern w:val="0"/>
          <w14:ligatures w14:val="none"/>
        </w:rPr>
        <w:t>neurotransmitters</w:t>
      </w:r>
      <w:r w:rsidRPr="005216AA">
        <w:rPr>
          <w:rFonts w:ascii="Arial" w:eastAsia="Times New Roman" w:hAnsi="Arial" w:cs="Arial"/>
          <w:kern w:val="0"/>
          <w14:ligatures w14:val="none"/>
        </w:rPr>
        <w:t>.</w:t>
      </w:r>
    </w:p>
    <w:p w14:paraId="1681A746" w14:textId="77777777" w:rsidR="005216AA" w:rsidRPr="005216AA" w:rsidRDefault="005216AA" w:rsidP="005216A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216AA">
        <w:rPr>
          <w:rFonts w:ascii="Arial" w:eastAsia="Times New Roman" w:hAnsi="Arial" w:cs="Arial"/>
          <w:kern w:val="0"/>
          <w14:ligatures w14:val="none"/>
        </w:rPr>
        <w:t xml:space="preserve">Explain how signalling molecules can produce both </w:t>
      </w:r>
      <w:r w:rsidRPr="005216AA">
        <w:rPr>
          <w:rFonts w:ascii="Arial" w:eastAsia="Times New Roman" w:hAnsi="Arial" w:cs="Arial"/>
          <w:b/>
          <w:bCs/>
          <w:kern w:val="0"/>
          <w14:ligatures w14:val="none"/>
        </w:rPr>
        <w:t>localised and long-distance effects</w:t>
      </w:r>
      <w:r w:rsidRPr="005216AA">
        <w:rPr>
          <w:rFonts w:ascii="Arial" w:eastAsia="Times New Roman" w:hAnsi="Arial" w:cs="Arial"/>
          <w:kern w:val="0"/>
          <w14:ligatures w14:val="none"/>
        </w:rPr>
        <w:t>.</w:t>
      </w:r>
    </w:p>
    <w:p w14:paraId="06FAD936" w14:textId="77777777" w:rsidR="005216AA" w:rsidRPr="005216AA" w:rsidRDefault="005216AA" w:rsidP="005216A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216AA">
        <w:rPr>
          <w:rFonts w:ascii="Arial" w:eastAsia="Times New Roman" w:hAnsi="Arial" w:cs="Arial"/>
          <w:kern w:val="0"/>
          <w14:ligatures w14:val="none"/>
        </w:rPr>
        <w:t>Analyse how signalling molecules coordinate communication between different parts of the body.</w:t>
      </w:r>
    </w:p>
    <w:p w14:paraId="606BA99B" w14:textId="77777777" w:rsidR="005216AA" w:rsidRPr="005216AA" w:rsidRDefault="005216AA" w:rsidP="005216A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216AA">
        <w:rPr>
          <w:rFonts w:ascii="Arial" w:eastAsia="Times New Roman" w:hAnsi="Arial" w:cs="Arial"/>
          <w:kern w:val="0"/>
          <w14:ligatures w14:val="none"/>
        </w:rPr>
        <w:t xml:space="preserve">Compare </w:t>
      </w:r>
      <w:r w:rsidRPr="005216AA">
        <w:rPr>
          <w:rFonts w:ascii="Arial" w:eastAsia="Times New Roman" w:hAnsi="Arial" w:cs="Arial"/>
          <w:b/>
          <w:bCs/>
          <w:kern w:val="0"/>
          <w14:ligatures w14:val="none"/>
        </w:rPr>
        <w:t>transmembrane receptors</w:t>
      </w:r>
      <w:r w:rsidRPr="005216AA">
        <w:rPr>
          <w:rFonts w:ascii="Arial" w:eastAsia="Times New Roman" w:hAnsi="Arial" w:cs="Arial"/>
          <w:kern w:val="0"/>
          <w14:ligatures w14:val="none"/>
        </w:rPr>
        <w:t xml:space="preserve"> with </w:t>
      </w:r>
      <w:r w:rsidRPr="005216AA">
        <w:rPr>
          <w:rFonts w:ascii="Arial" w:eastAsia="Times New Roman" w:hAnsi="Arial" w:cs="Arial"/>
          <w:b/>
          <w:bCs/>
          <w:kern w:val="0"/>
          <w14:ligatures w14:val="none"/>
        </w:rPr>
        <w:t>intracellular receptors</w:t>
      </w:r>
      <w:r w:rsidRPr="005216AA">
        <w:rPr>
          <w:rFonts w:ascii="Arial" w:eastAsia="Times New Roman" w:hAnsi="Arial" w:cs="Arial"/>
          <w:kern w:val="0"/>
          <w14:ligatures w14:val="none"/>
        </w:rPr>
        <w:t>, highlighting structural and functional differences.</w:t>
      </w:r>
    </w:p>
    <w:p w14:paraId="1D5699F8" w14:textId="77777777" w:rsidR="005216AA" w:rsidRPr="005216AA" w:rsidRDefault="005216AA" w:rsidP="005216A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216AA">
        <w:rPr>
          <w:rFonts w:ascii="Arial" w:eastAsia="Times New Roman" w:hAnsi="Arial" w:cs="Arial"/>
          <w:kern w:val="0"/>
          <w14:ligatures w14:val="none"/>
        </w:rPr>
        <w:t>Describe signalling pathways initiated by both transmembrane and intracellular receptors.</w:t>
      </w:r>
    </w:p>
    <w:p w14:paraId="1E5D7FD6" w14:textId="77777777" w:rsidR="005216AA" w:rsidRPr="005216AA" w:rsidRDefault="005216AA" w:rsidP="005216A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216AA">
        <w:rPr>
          <w:rFonts w:ascii="Arial" w:eastAsia="Times New Roman" w:hAnsi="Arial" w:cs="Arial"/>
          <w:kern w:val="0"/>
          <w14:ligatures w14:val="none"/>
        </w:rPr>
        <w:t>Explain how signal transduction pathways are initiated following ligand binding.</w:t>
      </w:r>
    </w:p>
    <w:p w14:paraId="03FDE5D3" w14:textId="77777777" w:rsidR="005216AA" w:rsidRPr="005216AA" w:rsidRDefault="005216AA" w:rsidP="005216A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216AA">
        <w:rPr>
          <w:rFonts w:ascii="Arial" w:eastAsia="Times New Roman" w:hAnsi="Arial" w:cs="Arial"/>
          <w:kern w:val="0"/>
          <w14:ligatures w14:val="none"/>
        </w:rPr>
        <w:t>Compare mechanisms of different types of transmembrane receptors, including:</w:t>
      </w:r>
    </w:p>
    <w:p w14:paraId="3E668228" w14:textId="77777777" w:rsidR="005216AA" w:rsidRPr="005216AA" w:rsidRDefault="005216AA" w:rsidP="005216AA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216AA">
        <w:rPr>
          <w:rFonts w:ascii="Arial" w:eastAsia="Times New Roman" w:hAnsi="Arial" w:cs="Arial"/>
          <w:kern w:val="0"/>
          <w14:ligatures w14:val="none"/>
        </w:rPr>
        <w:t>ligand-gated ion channels</w:t>
      </w:r>
    </w:p>
    <w:p w14:paraId="7D9BFC57" w14:textId="77777777" w:rsidR="005216AA" w:rsidRPr="005216AA" w:rsidRDefault="005216AA" w:rsidP="005216AA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216AA">
        <w:rPr>
          <w:rFonts w:ascii="Arial" w:eastAsia="Times New Roman" w:hAnsi="Arial" w:cs="Arial"/>
          <w:b/>
          <w:bCs/>
          <w:kern w:val="0"/>
          <w14:ligatures w14:val="none"/>
        </w:rPr>
        <w:t>G protein-coupled receptors (GPCRs)</w:t>
      </w:r>
    </w:p>
    <w:p w14:paraId="642C7E34" w14:textId="77777777" w:rsidR="005216AA" w:rsidRPr="005216AA" w:rsidRDefault="005216AA" w:rsidP="005216A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216AA">
        <w:rPr>
          <w:rFonts w:ascii="Arial" w:eastAsia="Times New Roman" w:hAnsi="Arial" w:cs="Arial"/>
          <w:kern w:val="0"/>
          <w14:ligatures w14:val="none"/>
        </w:rPr>
        <w:t xml:space="preserve">Analyse how transmembrane receptors can alter </w:t>
      </w:r>
      <w:r w:rsidRPr="005216AA">
        <w:rPr>
          <w:rFonts w:ascii="Arial" w:eastAsia="Times New Roman" w:hAnsi="Arial" w:cs="Arial"/>
          <w:b/>
          <w:bCs/>
          <w:kern w:val="0"/>
          <w14:ligatures w14:val="none"/>
        </w:rPr>
        <w:t>membrane potential</w:t>
      </w:r>
      <w:r w:rsidRPr="005216AA">
        <w:rPr>
          <w:rFonts w:ascii="Arial" w:eastAsia="Times New Roman" w:hAnsi="Arial" w:cs="Arial"/>
          <w:kern w:val="0"/>
          <w14:ligatures w14:val="none"/>
        </w:rPr>
        <w:t xml:space="preserve"> and activate intracellular pathways, using </w:t>
      </w:r>
      <w:r w:rsidRPr="005216AA">
        <w:rPr>
          <w:rFonts w:ascii="Arial" w:eastAsia="Times New Roman" w:hAnsi="Arial" w:cs="Arial"/>
          <w:b/>
          <w:bCs/>
          <w:kern w:val="0"/>
          <w14:ligatures w14:val="none"/>
        </w:rPr>
        <w:t>insulin</w:t>
      </w:r>
      <w:r w:rsidRPr="005216AA">
        <w:rPr>
          <w:rFonts w:ascii="Arial" w:eastAsia="Times New Roman" w:hAnsi="Arial" w:cs="Arial"/>
          <w:kern w:val="0"/>
          <w14:ligatures w14:val="none"/>
        </w:rPr>
        <w:t xml:space="preserve"> as an example.</w:t>
      </w:r>
    </w:p>
    <w:p w14:paraId="19F2809D" w14:textId="77777777" w:rsidR="005216AA" w:rsidRPr="005216AA" w:rsidRDefault="005216AA" w:rsidP="005216A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216AA">
        <w:rPr>
          <w:rFonts w:ascii="Arial" w:eastAsia="Times New Roman" w:hAnsi="Arial" w:cs="Arial"/>
          <w:kern w:val="0"/>
          <w14:ligatures w14:val="none"/>
        </w:rPr>
        <w:t xml:space="preserve">Describe the effects of </w:t>
      </w:r>
      <w:r w:rsidRPr="005216AA">
        <w:rPr>
          <w:rFonts w:ascii="Arial" w:eastAsia="Times New Roman" w:hAnsi="Arial" w:cs="Arial"/>
          <w:b/>
          <w:bCs/>
          <w:kern w:val="0"/>
          <w14:ligatures w14:val="none"/>
        </w:rPr>
        <w:t>oestradiol and progesterone</w:t>
      </w:r>
      <w:r w:rsidRPr="005216AA">
        <w:rPr>
          <w:rFonts w:ascii="Arial" w:eastAsia="Times New Roman" w:hAnsi="Arial" w:cs="Arial"/>
          <w:kern w:val="0"/>
          <w14:ligatures w14:val="none"/>
        </w:rPr>
        <w:t xml:space="preserve"> on target cells via intracellular receptors.</w:t>
      </w:r>
    </w:p>
    <w:p w14:paraId="073CB3D9" w14:textId="77777777" w:rsidR="005216AA" w:rsidRPr="005216AA" w:rsidRDefault="005216AA" w:rsidP="005216A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216AA">
        <w:rPr>
          <w:rFonts w:ascii="Arial" w:eastAsia="Times New Roman" w:hAnsi="Arial" w:cs="Arial"/>
          <w:kern w:val="0"/>
          <w14:ligatures w14:val="none"/>
        </w:rPr>
        <w:t xml:space="preserve">Explain how </w:t>
      </w:r>
      <w:r w:rsidRPr="005216AA">
        <w:rPr>
          <w:rFonts w:ascii="Arial" w:eastAsia="Times New Roman" w:hAnsi="Arial" w:cs="Arial"/>
          <w:b/>
          <w:bCs/>
          <w:kern w:val="0"/>
          <w14:ligatures w14:val="none"/>
        </w:rPr>
        <w:t>positive feedback</w:t>
      </w:r>
      <w:r w:rsidRPr="005216AA">
        <w:rPr>
          <w:rFonts w:ascii="Arial" w:eastAsia="Times New Roman" w:hAnsi="Arial" w:cs="Arial"/>
          <w:kern w:val="0"/>
          <w14:ligatures w14:val="none"/>
        </w:rPr>
        <w:t xml:space="preserve"> enhances a signalling response.</w:t>
      </w:r>
    </w:p>
    <w:p w14:paraId="3ECC30C6" w14:textId="77777777" w:rsidR="005216AA" w:rsidRPr="005216AA" w:rsidRDefault="005216AA" w:rsidP="005216A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216AA">
        <w:rPr>
          <w:rFonts w:ascii="Arial" w:eastAsia="Times New Roman" w:hAnsi="Arial" w:cs="Arial"/>
          <w:kern w:val="0"/>
          <w14:ligatures w14:val="none"/>
        </w:rPr>
        <w:t xml:space="preserve">Explain how </w:t>
      </w:r>
      <w:r w:rsidRPr="005216AA">
        <w:rPr>
          <w:rFonts w:ascii="Arial" w:eastAsia="Times New Roman" w:hAnsi="Arial" w:cs="Arial"/>
          <w:b/>
          <w:bCs/>
          <w:kern w:val="0"/>
          <w14:ligatures w14:val="none"/>
        </w:rPr>
        <w:t>negative feedback</w:t>
      </w:r>
      <w:r w:rsidRPr="005216AA">
        <w:rPr>
          <w:rFonts w:ascii="Arial" w:eastAsia="Times New Roman" w:hAnsi="Arial" w:cs="Arial"/>
          <w:kern w:val="0"/>
          <w14:ligatures w14:val="none"/>
        </w:rPr>
        <w:t xml:space="preserve"> reduces or limits a signalling response.</w:t>
      </w:r>
    </w:p>
    <w:p w14:paraId="3A77E476" w14:textId="77777777" w:rsidR="005216AA" w:rsidRPr="005216AA" w:rsidRDefault="005216AA" w:rsidP="005216A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216AA">
        <w:rPr>
          <w:rFonts w:ascii="Arial" w:eastAsia="Times New Roman" w:hAnsi="Arial" w:cs="Arial"/>
          <w:kern w:val="0"/>
          <w14:ligatures w14:val="none"/>
        </w:rPr>
        <w:t>Discuss why an appropriate balance between positive and negative feedback is essential for stable cellular function.</w:t>
      </w:r>
    </w:p>
    <w:p w14:paraId="5BF8569D" w14:textId="77777777" w:rsidR="008F4E0B" w:rsidRPr="005216AA" w:rsidRDefault="008F4E0B">
      <w:pPr>
        <w:rPr>
          <w:rFonts w:ascii="Arial" w:hAnsi="Arial" w:cs="Arial"/>
        </w:rPr>
      </w:pPr>
    </w:p>
    <w:sectPr w:rsidR="008F4E0B" w:rsidRPr="005216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86F57"/>
    <w:multiLevelType w:val="multilevel"/>
    <w:tmpl w:val="36CC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739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6AA"/>
    <w:rsid w:val="0008224F"/>
    <w:rsid w:val="005216AA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411EC"/>
  <w15:chartTrackingRefBased/>
  <w15:docId w15:val="{D4DE4E56-2A23-B349-B533-C01464360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1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6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6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6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6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1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6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6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6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6A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216A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16A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1628</Characters>
  <Application>Microsoft Office Word</Application>
  <DocSecurity>0</DocSecurity>
  <Lines>52</Lines>
  <Paragraphs>44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2026-02-27T01:44:00Z</dcterms:created>
  <dcterms:modified xsi:type="dcterms:W3CDTF">2026-02-27T01:46:00Z</dcterms:modified>
</cp:coreProperties>
</file>