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2.12 The Market’s Inability to Achieve Equity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familiar with</w:t>
      </w:r>
      <w:r w:rsidDel="00000000" w:rsidR="00000000" w:rsidRPr="00000000">
        <w:rPr>
          <w:rtl w:val="0"/>
        </w:rPr>
        <w:t xml:space="preserve"> the following key terminology: </w:t>
      </w: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capitalism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income inequality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Kuznets curve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income distribution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industrialisation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service sector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factors of production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labour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capital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entrepreneurship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factor 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financial investment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feudalism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concept of </w:t>
      </w: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, including fairness in the distribution of income and wealth.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why the operation of a </w:t>
      </w:r>
      <w:r w:rsidDel="00000000" w:rsidR="00000000" w:rsidRPr="00000000">
        <w:rPr>
          <w:b w:val="1"/>
          <w:bCs w:val="1"/>
          <w:rtl w:val="0"/>
        </w:rPr>
        <w:t xml:space="preserve">free market economy</w:t>
      </w:r>
      <w:r w:rsidDel="00000000" w:rsidR="00000000" w:rsidRPr="00000000">
        <w:rPr>
          <w:rtl w:val="0"/>
        </w:rPr>
        <w:t xml:space="preserve"> may lead to </w:t>
      </w:r>
      <w:r w:rsidDel="00000000" w:rsidR="00000000" w:rsidRPr="00000000">
        <w:rPr>
          <w:b w:val="1"/>
          <w:bCs w:val="1"/>
          <w:rtl w:val="0"/>
        </w:rPr>
        <w:t xml:space="preserve">unequal distribution of income and wealth</w:t>
      </w:r>
      <w:r w:rsidDel="00000000" w:rsidR="00000000" w:rsidRPr="00000000">
        <w:rPr>
          <w:rtl w:val="0"/>
        </w:rPr>
        <w:t xml:space="preserve">, with reference to factor ownership and market outcomes.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 and explain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circular flow of income model</w:t>
      </w:r>
      <w:r w:rsidDel="00000000" w:rsidR="00000000" w:rsidRPr="00000000">
        <w:rPr>
          <w:rtl w:val="0"/>
        </w:rPr>
        <w:t xml:space="preserve"> to illustrate how the free market system can generate income inequalities.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