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– The balance of payments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purpose and role of the balance of payments</w:t>
      </w:r>
      <w:r w:rsidDel="00000000" w:rsidR="00000000" w:rsidRPr="00000000">
        <w:rPr>
          <w:rtl w:val="0"/>
        </w:rPr>
        <w:t xml:space="preserve">, which records </w:t>
      </w:r>
      <w:r w:rsidDel="00000000" w:rsidR="00000000" w:rsidRPr="00000000">
        <w:rPr>
          <w:b w:val="1"/>
          <w:bCs w:val="1"/>
          <w:rtl w:val="0"/>
        </w:rPr>
        <w:t xml:space="preserve">all economic transactions between residents of a country and the rest of the 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debit and credit entries</w:t>
      </w:r>
      <w:r w:rsidDel="00000000" w:rsidR="00000000" w:rsidRPr="00000000">
        <w:rPr>
          <w:rtl w:val="0"/>
        </w:rPr>
        <w:t xml:space="preserve"> in the balance of payments.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a surplus and a deficit</w:t>
      </w:r>
      <w:r w:rsidDel="00000000" w:rsidR="00000000" w:rsidRPr="00000000">
        <w:rPr>
          <w:rtl w:val="0"/>
        </w:rPr>
        <w:t xml:space="preserve"> within a balance of payments account.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four components of the current account</w:t>
      </w:r>
      <w:r w:rsidDel="00000000" w:rsidR="00000000" w:rsidRPr="00000000">
        <w:rPr>
          <w:rtl w:val="0"/>
        </w:rPr>
        <w:t xml:space="preserve">, including: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balance of trade in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balance of trade in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current transfers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a current account surplus and a current account deficit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two components of the capital account</w:t>
      </w:r>
      <w:r w:rsidDel="00000000" w:rsidR="00000000" w:rsidRPr="00000000">
        <w:rPr>
          <w:rtl w:val="0"/>
        </w:rPr>
        <w:t xml:space="preserve">, including: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capital transfers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transactions involving non-produced, non-financial 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main components of the financial account</w:t>
      </w:r>
      <w:r w:rsidDel="00000000" w:rsidR="00000000" w:rsidRPr="00000000">
        <w:rPr>
          <w:rtl w:val="0"/>
        </w:rPr>
        <w:t xml:space="preserve">, including: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foreign direct investment (FDI)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portfolio investment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reserve assets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official borrowing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elements of the balance of payments using provided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that the current account balance equals the combined balance of the capital account and financial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the interdependence between the current account and financial account</w:t>
      </w:r>
      <w:r w:rsidDel="00000000" w:rsidR="00000000" w:rsidRPr="00000000">
        <w:rPr>
          <w:rtl w:val="0"/>
        </w:rPr>
        <w:t xml:space="preserve">, recognising that </w:t>
      </w:r>
      <w:r w:rsidDel="00000000" w:rsidR="00000000" w:rsidRPr="00000000">
        <w:rPr>
          <w:b w:val="1"/>
          <w:bCs w:val="1"/>
          <w:rtl w:val="0"/>
        </w:rPr>
        <w:t xml:space="preserve">credits correspond with debits and deficits are offset by surpluses elsewhere in the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Level (HL)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key terminology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balance of payments, current account, capital account, financial account, credits, debits, deficits, surpluses, direct investment, portfolio investment, reserve assets, official borrowing, expenditure-switching policies, expenditure-reducing policies, Marshall–Lerner condition, and the J-curve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why a current account deficit may place downward pressure on the exchange rate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a current account surplus may create upward pressure on the currency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diagram to illustrate the relationship between the exchange rate and the current account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economic implications of a persistent current account deficit</w:t>
      </w:r>
      <w:r w:rsidDel="00000000" w:rsidR="00000000" w:rsidRPr="00000000">
        <w:rPr>
          <w:rtl w:val="0"/>
        </w:rPr>
        <w:t xml:space="preserve">, including potential effects on </w:t>
      </w:r>
      <w:r w:rsidDel="00000000" w:rsidR="00000000" w:rsidRPr="00000000">
        <w:rPr>
          <w:b w:val="1"/>
          <w:bCs w:val="1"/>
          <w:rtl w:val="0"/>
        </w:rPr>
        <w:t xml:space="preserve">exchange rates, interest rates, foreign ownership of domestic assets, levels of debt, credit ratings, demand management policies, and long-term economic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policy measures governments may use to correct a persistent current account deficit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expenditure-switching policies, expenditure-reducing policies, and supply-side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the effectiveness of policies aimed at correcting persistent current account deficits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and explain the Marshall–Lerner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the Marshall–Lerner condition to analyse the effects of currency depreciation or devaluation on the current account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J-curve effect</w:t>
      </w:r>
      <w:r w:rsidDel="00000000" w:rsidR="00000000" w:rsidRPr="00000000">
        <w:rPr>
          <w:rtl w:val="0"/>
        </w:rPr>
        <w:t xml:space="preserve">, linking it to the </w:t>
      </w:r>
      <w:r w:rsidDel="00000000" w:rsidR="00000000" w:rsidRPr="00000000">
        <w:rPr>
          <w:b w:val="1"/>
          <w:bCs w:val="1"/>
          <w:rtl w:val="0"/>
        </w:rPr>
        <w:t xml:space="preserve">Marshall–Lerner condition and the short-run adjustment of trade balances after a currency depreciation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potential implications of a persistent current account surplus</w:t>
      </w:r>
      <w:r w:rsidDel="00000000" w:rsidR="00000000" w:rsidRPr="00000000">
        <w:rPr>
          <w:rtl w:val="0"/>
        </w:rPr>
        <w:t xml:space="preserve">, including impacts on </w:t>
      </w:r>
      <w:r w:rsidDel="00000000" w:rsidR="00000000" w:rsidRPr="00000000">
        <w:rPr>
          <w:b w:val="1"/>
          <w:bCs w:val="1"/>
          <w:rtl w:val="0"/>
        </w:rPr>
        <w:t xml:space="preserve">domestic consumption and investment, exchange rates, inflation, employment, and export competitiveness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