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F4E0" w14:textId="77777777" w:rsidR="00127C7F" w:rsidRPr="00127C7F" w:rsidRDefault="00127C7F" w:rsidP="00127C7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4.2 Presentation of data</w:t>
      </w:r>
    </w:p>
    <w:p w14:paraId="7461F177" w14:textId="77777777" w:rsidR="00127C7F" w:rsidRPr="00127C7F" w:rsidRDefault="00127C7F" w:rsidP="00127C7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6C7955FE" w14:textId="77777777" w:rsidR="00127C7F" w:rsidRPr="00127C7F" w:rsidRDefault="00127C7F" w:rsidP="00127C7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5E4E38B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frequency distribution diagram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from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frequency distribution table</w:t>
      </w:r>
    </w:p>
    <w:p w14:paraId="38F9FF1F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identify the following from data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grouped into intervals</w:t>
      </w:r>
      <w:r w:rsidRPr="00127C7F">
        <w:rPr>
          <w:rFonts w:ascii="Arial" w:eastAsia="Times New Roman" w:hAnsi="Arial" w:cs="Arial"/>
          <w:kern w:val="0"/>
          <w14:ligatures w14:val="none"/>
        </w:rPr>
        <w:t>:</w:t>
      </w:r>
    </w:p>
    <w:p w14:paraId="69BD27DE" w14:textId="77777777" w:rsidR="00127C7F" w:rsidRPr="00127C7F" w:rsidRDefault="00127C7F" w:rsidP="00127C7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mid-interval values</w:t>
      </w:r>
    </w:p>
    <w:p w14:paraId="18AF6729" w14:textId="77777777" w:rsidR="00127C7F" w:rsidRPr="00127C7F" w:rsidRDefault="00127C7F" w:rsidP="00127C7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interval width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(although varying interval widths are uncommon)</w:t>
      </w:r>
    </w:p>
    <w:p w14:paraId="1C155EDF" w14:textId="77777777" w:rsidR="00127C7F" w:rsidRPr="00127C7F" w:rsidRDefault="00127C7F" w:rsidP="00127C7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lower interval boundary</w:t>
      </w:r>
    </w:p>
    <w:p w14:paraId="7AE555B8" w14:textId="77777777" w:rsidR="00127C7F" w:rsidRPr="00127C7F" w:rsidRDefault="00127C7F" w:rsidP="00127C7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upper interval boundary</w:t>
      </w:r>
    </w:p>
    <w:p w14:paraId="4B166356" w14:textId="77777777" w:rsidR="00127C7F" w:rsidRPr="00127C7F" w:rsidRDefault="00127C7F" w:rsidP="00127C7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modal class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(the class with the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highest frequency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or the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tallest bar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in the diagram)</w:t>
      </w:r>
    </w:p>
    <w:p w14:paraId="34EDBEDF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five-number summary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range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interquartile range (IQR)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from a set of data</w:t>
      </w:r>
    </w:p>
    <w:p w14:paraId="1FC048AE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construct and interpret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box-and-whisker plot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identifying any outliers</w:t>
      </w:r>
    </w:p>
    <w:p w14:paraId="2EB1029E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interpret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box-and-whisker plot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to determine whether data is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approximately normally distributed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positively skewed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, or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negatively skewed</w:t>
      </w:r>
    </w:p>
    <w:p w14:paraId="57BE4535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cumulative frequency curve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 from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frequency table</w:t>
      </w:r>
    </w:p>
    <w:p w14:paraId="3971EBFA" w14:textId="77777777" w:rsidR="00127C7F" w:rsidRPr="00127C7F" w:rsidRDefault="00127C7F" w:rsidP="00127C7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7C7F">
        <w:rPr>
          <w:rFonts w:ascii="Arial" w:eastAsia="Times New Roman" w:hAnsi="Arial" w:cs="Arial"/>
          <w:kern w:val="0"/>
          <w14:ligatures w14:val="none"/>
        </w:rPr>
        <w:t xml:space="preserve">interpret a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cumulative frequency curve</w:t>
      </w:r>
      <w:r w:rsidRPr="00127C7F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127C7F">
        <w:rPr>
          <w:rFonts w:ascii="Arial" w:eastAsia="Times New Roman" w:hAnsi="Arial" w:cs="Arial"/>
          <w:b/>
          <w:bCs/>
          <w:kern w:val="0"/>
          <w14:ligatures w14:val="none"/>
        </w:rPr>
        <w:t>percentiles</w:t>
      </w:r>
    </w:p>
    <w:p w14:paraId="08396F2A" w14:textId="77777777" w:rsidR="008F4E0B" w:rsidRPr="00127C7F" w:rsidRDefault="008F4E0B">
      <w:pPr>
        <w:rPr>
          <w:rFonts w:ascii="Arial" w:hAnsi="Arial" w:cs="Arial"/>
        </w:rPr>
      </w:pPr>
    </w:p>
    <w:sectPr w:rsidR="008F4E0B" w:rsidRPr="00127C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74946"/>
    <w:multiLevelType w:val="multilevel"/>
    <w:tmpl w:val="88F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53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7F"/>
    <w:rsid w:val="00127C7F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97E7"/>
  <w15:chartTrackingRefBased/>
  <w15:docId w15:val="{46615DFE-F167-224C-B9DC-12450783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7C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C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734</Characters>
  <Application>Microsoft Office Word</Application>
  <DocSecurity>0</DocSecurity>
  <Lines>17</Lines>
  <Paragraphs>14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2026-03-06T20:35:00Z</dcterms:created>
  <dcterms:modified xsi:type="dcterms:W3CDTF">2026-03-06T20:37:00Z</dcterms:modified>
</cp:coreProperties>
</file>