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534AB7"/>
          <w:sz w:val="40"/>
          <w:szCs w:val="40"/>
        </w:rPr>
        <w:t xml:space="preserve">AI Spec-Driven Governance for Data Pipelines</w:t>
      </w:r>
    </w:p>
    <w:p>
      <w:pPr>
        <w:spacing w:after="320"/>
      </w:pPr>
      <w:r>
        <w:rPr>
          <w:i/>
          <w:iCs/>
          <w:color w:val="5F5E5A"/>
          <w:sz w:val="20"/>
          <w:szCs w:val="20"/>
        </w:rPr>
        <w:t xml:space="preserve">PoC Proposal &amp; Developer Meeting Prep  ·  July 2026</w:t>
      </w:r>
    </w:p>
    <w:p>
      <w:pPr>
        <w:pBdr>
          <w:bottom w:val="single" w:color="D3D1C7" w:sz="6"/>
        </w:pBdr>
        <w:spacing w:after="160" w:before="160"/>
      </w:pPr>
    </w:p>
    <w:p>
      <w:pPr>
        <w:pStyle w:val="Heading1"/>
        <w:spacing w:after="120" w:before="360"/>
      </w:pPr>
      <w:r>
        <w:t xml:space="preserve">1. What are we building</w:t>
      </w:r>
    </w:p>
    <w:p>
      <w:pPr>
        <w:spacing w:after="120"/>
      </w:pPr>
      <w:r>
        <w:rPr>
          <w:sz w:val="22"/>
          <w:szCs w:val="22"/>
        </w:rPr>
        <w:t xml:space="preserve">This proof-of-concept connects two approaches that currently exist separately in the market into one closed loop: spec-driven development (SDD) — which ensures AI-generated code is compliant before it's written — and an Automated Governance Agent (AGA) — which audits everything actually deployed, including legacy code and manual changes that no SDD workflow ever touched.</w:t>
      </w:r>
    </w:p>
    <w:p>
      <w:pPr>
        <w:spacing w:after="120"/>
      </w:pPr>
      <w:r>
        <w:rPr>
          <w:sz w:val="22"/>
          <w:szCs w:val="22"/>
        </w:rPr>
        <w:t xml:space="preserve">Neither half alone is sufficient. SDD only covers new code written through the governed flow. AGA only catches problems after they're already deployed. Together, they cover the full data science and data engineering lifecycle: from the moment Copilot writes a pipeline, through deployment, to continuous compliance checking of what's actually live in Azure and Databricks.</w:t>
      </w:r>
    </w:p>
    <w:p>
      <w:pPr>
        <w:pStyle w:val="Heading2"/>
        <w:spacing w:after="80" w:before="280"/>
      </w:pPr>
      <w:r>
        <w:t xml:space="preserve">The core idea in one sentence</w:t>
      </w:r>
    </w:p>
    <w:p>
      <w:pPr>
        <w:spacing w:after="120"/>
      </w:pPr>
      <w:r>
        <w:rPr>
          <w:sz w:val="22"/>
          <w:szCs w:val="22"/>
        </w:rPr>
        <w:t xml:space="preserve">Write governance rules once in ChromaDB, compile them into a constitution for Copilot at build time, and use the same rules to audit live deployed resources at runtime — so there is one policy source and no duplicate compliance logic.</w:t>
      </w:r>
    </w:p>
    <w:p>
      <w:pPr>
        <w:pBdr>
          <w:bottom w:val="single" w:color="D3D1C7" w:sz="6"/>
        </w:pBdr>
        <w:spacing w:after="160" w:before="160"/>
      </w:pPr>
    </w:p>
    <w:p>
      <w:pPr>
        <w:pStyle w:val="Heading1"/>
        <w:spacing w:after="120" w:before="360"/>
      </w:pPr>
      <w:r>
        <w:t xml:space="preserve">2. System overview — two paths, one policy source</w:t>
      </w:r>
    </w:p>
    <w:p>
      <w:pPr>
        <w:spacing w:after="80" w:before="80"/>
      </w:pPr>
      <w:r>
        <w:rPr>
          <w:b/>
          <w:bCs/>
          <w:color w:val="FFFFFF"/>
          <w:sz w:val="18"/>
          <w:szCs w:val="18"/>
          <w:shd w:fill="0F6E56" w:val="clear"/>
        </w:rPr>
        <w:t xml:space="preserve">  BUILD-TIME PATH  (teal)  </w:t>
      </w:r>
    </w:p>
    <w:p>
      <w:pPr>
        <w:spacing w:after="120"/>
      </w:pPr>
      <w:r>
        <w:rPr>
          <w:sz w:val="22"/>
          <w:szCs w:val="22"/>
        </w:rPr>
        <w:t xml:space="preserve">Before any code is written, an engineer creates four Markdown specification files using the GitHub Spec Kit workflow. These files define what the pipeline must do, how it should be architected, the ordered build steps, and the non-negotiable governance constraints. Copilot reads all four before suggesting any code, so compliance is designed in rather than bolted on. A lightweight pre-commit check using the same policy library catches any remaining issues before the code reaches Git.</w:t>
      </w:r>
    </w:p>
    <w:p>
      <w:pPr>
        <w:spacing w:after="80"/>
      </w:pPr>
      <w:r>
        <w:rPr>
          <w:b/>
          <w:bCs/>
          <w:color w:val="0F6E56"/>
          <w:sz w:val="22"/>
          <w:szCs w:val="22"/>
        </w:rPr>
        <w:t xml:space="preserve">spec.md</w:t>
      </w:r>
      <w:r>
        <w:rPr>
          <w:sz w:val="22"/>
          <w:szCs w:val="22"/>
        </w:rPr>
        <w:t xml:space="preserve">  Requirements, acceptance criteria, compliance criteria</w:t>
      </w:r>
    </w:p>
    <w:p>
      <w:pPr>
        <w:spacing w:after="80"/>
      </w:pPr>
      <w:r>
        <w:rPr>
          <w:b/>
          <w:bCs/>
          <w:color w:val="0F6E56"/>
          <w:sz w:val="22"/>
          <w:szCs w:val="22"/>
        </w:rPr>
        <w:t xml:space="preserve">design.md</w:t>
      </w:r>
      <w:r>
        <w:rPr>
          <w:sz w:val="22"/>
          <w:szCs w:val="22"/>
        </w:rPr>
        <w:t xml:space="preserve">  Architecture, compliant patterns chosen upfront</w:t>
      </w:r>
    </w:p>
    <w:p>
      <w:pPr>
        <w:spacing w:after="80"/>
      </w:pPr>
      <w:r>
        <w:rPr>
          <w:b/>
          <w:bCs/>
          <w:color w:val="0F6E56"/>
          <w:sz w:val="22"/>
          <w:szCs w:val="22"/>
        </w:rPr>
        <w:t xml:space="preserve">tasks.md</w:t>
      </w:r>
      <w:r>
        <w:rPr>
          <w:sz w:val="22"/>
          <w:szCs w:val="22"/>
        </w:rPr>
        <w:t xml:space="preserve">  Build steps, each with an explicit compliance done-condition</w:t>
      </w:r>
    </w:p>
    <w:p>
      <w:pPr>
        <w:spacing w:after="160"/>
      </w:pPr>
      <w:r>
        <w:rPr>
          <w:b/>
          <w:bCs/>
          <w:color w:val="534AB7"/>
          <w:sz w:val="22"/>
          <w:szCs w:val="22"/>
        </w:rPr>
        <w:t xml:space="preserve">rules.md</w:t>
      </w:r>
      <w:r>
        <w:rPr>
          <w:sz w:val="22"/>
          <w:szCs w:val="22"/>
        </w:rPr>
        <w:t xml:space="preserve">  Non-negotiables compiled automatically from ChromaDB</w:t>
      </w:r>
    </w:p>
    <w:p>
      <w:pPr>
        <w:spacing w:after="80" w:before="80"/>
      </w:pPr>
      <w:r>
        <w:rPr>
          <w:b/>
          <w:bCs/>
          <w:color w:val="FFFFFF"/>
          <w:sz w:val="18"/>
          <w:szCs w:val="18"/>
          <w:shd w:fill="993C1D" w:val="clear"/>
        </w:rPr>
        <w:t xml:space="preserve">  RUNTIME PATH  (coral)  </w:t>
      </w:r>
    </w:p>
    <w:p>
      <w:pPr>
        <w:spacing w:after="120"/>
      </w:pPr>
      <w:r>
        <w:rPr>
          <w:sz w:val="22"/>
          <w:szCs w:val="22"/>
        </w:rPr>
        <w:t xml:space="preserve">After deployment via CI/CD pipeline, the AGA's Orchestrator triggers four agents on demand or on a schedule. The Repository Agent reads what's in Git; the Config Agent reads what's actually live in Azure and Databricks — clusters, jobs, network settings, storage configuration. These two sources can and do diverge (manual portal changes, parameter overrides, legacy resources). The Auditor Agent compares both against ChromaDB using RAG-based semantic retrieval. The Remediation Agent turns every finding into a concrete executable fix. Output is a machine-readable JSON report and a human-readable draft report.</w:t>
      </w:r>
    </w:p>
    <w:p>
      <w:pPr>
        <w:pBdr>
          <w:bottom w:val="single" w:color="D3D1C7" w:sz="6"/>
        </w:pBdr>
        <w:spacing w:after="160" w:before="160"/>
      </w:pPr>
    </w:p>
    <w:p>
      <w:pPr>
        <w:pStyle w:val="Heading1"/>
        <w:spacing w:after="120" w:before="360"/>
      </w:pPr>
      <w:r>
        <w:t xml:space="preserve">3. Phased build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c>
          <w:tcPr>
            <w:tcW w:type="dxa" w:w="2200"/>
            <w:shd w:fill="534AB7" w:val="clear"/>
            <w:tcMar>
              <w:top w:type="dxa" w:w="80"/>
              <w:left w:type="dxa" w:w="120"/>
              <w:bottom w:type="dxa" w:w="80"/>
              <w:right w:type="dxa" w:w="120"/>
            </w:tcMar>
          </w:tcPr>
          <w:p>
            <w:r>
              <w:rPr>
                <w:b/>
                <w:bCs/>
                <w:color w:val="FFFFFF"/>
                <w:sz w:val="20"/>
                <w:szCs w:val="20"/>
              </w:rPr>
              <w:t xml:space="preserve">Phase</w:t>
            </w:r>
          </w:p>
        </w:tc>
        <w:tc>
          <w:tcPr>
            <w:tcW w:type="dxa" w:w="4400"/>
            <w:shd w:fill="534AB7" w:val="clear"/>
            <w:tcMar>
              <w:top w:type="dxa" w:w="80"/>
              <w:left w:type="dxa" w:w="120"/>
              <w:bottom w:type="dxa" w:w="80"/>
              <w:right w:type="dxa" w:w="120"/>
            </w:tcMar>
          </w:tcPr>
          <w:p>
            <w:r>
              <w:rPr>
                <w:b/>
                <w:bCs/>
                <w:color w:val="FFFFFF"/>
                <w:sz w:val="20"/>
                <w:szCs w:val="20"/>
              </w:rPr>
              <w:t xml:space="preserve">Focus</w:t>
            </w:r>
          </w:p>
        </w:tc>
        <w:tc>
          <w:tcPr>
            <w:tcW w:type="dxa" w:w="2400"/>
            <w:shd w:fill="534AB7" w:val="clear"/>
            <w:tcMar>
              <w:top w:type="dxa" w:w="80"/>
              <w:left w:type="dxa" w:w="120"/>
              <w:bottom w:type="dxa" w:w="80"/>
              <w:right w:type="dxa" w:w="120"/>
            </w:tcMar>
          </w:tcPr>
          <w:p>
            <w:r>
              <w:rPr>
                <w:b/>
                <w:bCs/>
                <w:color w:val="FFFFFF"/>
                <w:sz w:val="20"/>
                <w:szCs w:val="20"/>
              </w:rPr>
              <w:t xml:space="preserve">Key deliverable</w:t>
            </w:r>
          </w:p>
        </w:tc>
      </w:tr>
      <w:tr>
        <w:tc>
          <w:tcPr>
            <w:tcW w:type="dxa" w:w="2200"/>
            <w:tcMar>
              <w:top w:type="dxa" w:w="80"/>
              <w:left w:type="dxa" w:w="120"/>
              <w:bottom w:type="dxa" w:w="80"/>
              <w:right w:type="dxa" w:w="120"/>
            </w:tcMar>
          </w:tcPr>
          <w:p>
            <w:pPr>
              <w:spacing w:after="60"/>
            </w:pPr>
            <w:r>
              <w:rPr>
                <w:b/>
                <w:bCs/>
                <w:sz w:val="20"/>
                <w:szCs w:val="20"/>
              </w:rPr>
              <w:t xml:space="preserve">0 — Policy</w:t>
            </w:r>
          </w:p>
        </w:tc>
        <w:tc>
          <w:tcPr>
            <w:tcW w:type="dxa" w:w="4400"/>
            <w:tcMar>
              <w:top w:type="dxa" w:w="80"/>
              <w:left w:type="dxa" w:w="120"/>
              <w:bottom w:type="dxa" w:w="80"/>
              <w:right w:type="dxa" w:w="120"/>
            </w:tcMar>
          </w:tcPr>
          <w:p>
            <w:pPr>
              <w:spacing w:after="60"/>
            </w:pPr>
            <w:r>
              <w:rPr>
                <w:b w:val="false"/>
                <w:bCs w:val="false"/>
                <w:sz w:val="20"/>
                <w:szCs w:val="20"/>
              </w:rPr>
              <w:t xml:space="preserve">Author 5–10 real governance policies (technical + departmental: naming conventions, star-schema standards, encryption, access). Script to compile them into rules.md.</w:t>
            </w:r>
          </w:p>
        </w:tc>
        <w:tc>
          <w:tcPr>
            <w:tcW w:type="dxa" w:w="2400"/>
            <w:tcMar>
              <w:top w:type="dxa" w:w="80"/>
              <w:left w:type="dxa" w:w="120"/>
              <w:bottom w:type="dxa" w:w="80"/>
              <w:right w:type="dxa" w:w="120"/>
            </w:tcMar>
          </w:tcPr>
          <w:p>
            <w:pPr>
              <w:spacing w:after="60"/>
            </w:pPr>
            <w:r>
              <w:rPr>
                <w:b w:val="false"/>
                <w:bCs w:val="false"/>
                <w:sz w:val="20"/>
                <w:szCs w:val="20"/>
              </w:rPr>
              <w:t xml:space="preserve">chromadb/ + rules.md generator</w:t>
            </w:r>
          </w:p>
        </w:tc>
      </w:tr>
      <w:tr>
        <w:tc>
          <w:tcPr>
            <w:tcW w:type="dxa" w:w="2200"/>
            <w:shd w:fill="F1EFE8" w:val="clear"/>
            <w:tcMar>
              <w:top w:type="dxa" w:w="80"/>
              <w:left w:type="dxa" w:w="120"/>
              <w:bottom w:type="dxa" w:w="80"/>
              <w:right w:type="dxa" w:w="120"/>
            </w:tcMar>
          </w:tcPr>
          <w:p>
            <w:pPr>
              <w:spacing w:after="60"/>
            </w:pPr>
            <w:r>
              <w:rPr>
                <w:b/>
                <w:bCs/>
                <w:sz w:val="20"/>
                <w:szCs w:val="20"/>
              </w:rPr>
              <w:t xml:space="preserve">1 — Foundation</w:t>
            </w:r>
          </w:p>
        </w:tc>
        <w:tc>
          <w:tcPr>
            <w:tcW w:type="dxa" w:w="4400"/>
            <w:shd w:fill="F1EFE8" w:val="clear"/>
            <w:tcMar>
              <w:top w:type="dxa" w:w="80"/>
              <w:left w:type="dxa" w:w="120"/>
              <w:bottom w:type="dxa" w:w="80"/>
              <w:right w:type="dxa" w:w="120"/>
            </w:tcMar>
          </w:tcPr>
          <w:p>
            <w:pPr>
              <w:spacing w:after="60"/>
            </w:pPr>
            <w:r>
              <w:rPr>
                <w:b w:val="false"/>
                <w:bCs w:val="false"/>
                <w:sz w:val="20"/>
                <w:szCs w:val="20"/>
              </w:rPr>
              <w:t xml:space="preserve">Embed policies into ChromaDB with semantic search enabled. Validate retrieval quality on sample queries.</w:t>
            </w:r>
          </w:p>
        </w:tc>
        <w:tc>
          <w:tcPr>
            <w:tcW w:type="dxa" w:w="2400"/>
            <w:shd w:fill="F1EFE8" w:val="clear"/>
            <w:tcMar>
              <w:top w:type="dxa" w:w="80"/>
              <w:left w:type="dxa" w:w="120"/>
              <w:bottom w:type="dxa" w:w="80"/>
              <w:right w:type="dxa" w:w="120"/>
            </w:tcMar>
          </w:tcPr>
          <w:p>
            <w:pPr>
              <w:spacing w:after="60"/>
            </w:pPr>
            <w:r>
              <w:rPr>
                <w:b w:val="false"/>
                <w:bCs w:val="false"/>
                <w:sz w:val="20"/>
                <w:szCs w:val="20"/>
              </w:rPr>
              <w:t xml:space="preserve">Working ChromaDB instance</w:t>
            </w:r>
          </w:p>
        </w:tc>
      </w:tr>
      <w:tr>
        <w:tc>
          <w:tcPr>
            <w:tcW w:type="dxa" w:w="2200"/>
            <w:tcMar>
              <w:top w:type="dxa" w:w="80"/>
              <w:left w:type="dxa" w:w="120"/>
              <w:bottom w:type="dxa" w:w="80"/>
              <w:right w:type="dxa" w:w="120"/>
            </w:tcMar>
          </w:tcPr>
          <w:p>
            <w:pPr>
              <w:spacing w:after="60"/>
            </w:pPr>
            <w:r>
              <w:rPr>
                <w:b/>
                <w:bCs/>
                <w:sz w:val="20"/>
                <w:szCs w:val="20"/>
              </w:rPr>
              <w:t xml:space="preserve">2 — Build-time pilot</w:t>
            </w:r>
          </w:p>
        </w:tc>
        <w:tc>
          <w:tcPr>
            <w:tcW w:type="dxa" w:w="4400"/>
            <w:tcMar>
              <w:top w:type="dxa" w:w="80"/>
              <w:left w:type="dxa" w:w="120"/>
              <w:bottom w:type="dxa" w:w="80"/>
              <w:right w:type="dxa" w:w="120"/>
            </w:tcMar>
          </w:tcPr>
          <w:p>
            <w:pPr>
              <w:spacing w:after="60"/>
            </w:pPr>
            <w:r>
              <w:rPr>
                <w:b w:val="false"/>
                <w:bCs w:val="false"/>
                <w:sz w:val="20"/>
                <w:szCs w:val="20"/>
              </w:rPr>
              <w:t xml:space="preserve">Wire rules.md into Copilot via copilot-instructions.md. Generate one pipeline with and without the constitution. Compare findings.</w:t>
            </w:r>
          </w:p>
        </w:tc>
        <w:tc>
          <w:tcPr>
            <w:tcW w:type="dxa" w:w="2400"/>
            <w:tcMar>
              <w:top w:type="dxa" w:w="80"/>
              <w:left w:type="dxa" w:w="120"/>
              <w:bottom w:type="dxa" w:w="80"/>
              <w:right w:type="dxa" w:w="120"/>
            </w:tcMar>
          </w:tcPr>
          <w:p>
            <w:pPr>
              <w:spacing w:after="60"/>
            </w:pPr>
            <w:r>
              <w:rPr>
                <w:b w:val="false"/>
                <w:bCs w:val="false"/>
                <w:sz w:val="20"/>
                <w:szCs w:val="20"/>
              </w:rPr>
              <w:t xml:space="preserve">Measurable reduction in build-time violations</w:t>
            </w:r>
          </w:p>
        </w:tc>
      </w:tr>
      <w:tr>
        <w:tc>
          <w:tcPr>
            <w:tcW w:type="dxa" w:w="2200"/>
            <w:shd w:fill="F1EFE8" w:val="clear"/>
            <w:tcMar>
              <w:top w:type="dxa" w:w="80"/>
              <w:left w:type="dxa" w:w="120"/>
              <w:bottom w:type="dxa" w:w="80"/>
              <w:right w:type="dxa" w:w="120"/>
            </w:tcMar>
          </w:tcPr>
          <w:p>
            <w:pPr>
              <w:spacing w:after="60"/>
            </w:pPr>
            <w:r>
              <w:rPr>
                <w:b/>
                <w:bCs/>
                <w:sz w:val="20"/>
                <w:szCs w:val="20"/>
              </w:rPr>
              <w:t xml:space="preserve">3 — Data layer</w:t>
            </w:r>
          </w:p>
        </w:tc>
        <w:tc>
          <w:tcPr>
            <w:tcW w:type="dxa" w:w="4400"/>
            <w:shd w:fill="F1EFE8" w:val="clear"/>
            <w:tcMar>
              <w:top w:type="dxa" w:w="80"/>
              <w:left w:type="dxa" w:w="120"/>
              <w:bottom w:type="dxa" w:w="80"/>
              <w:right w:type="dxa" w:w="120"/>
            </w:tcMar>
          </w:tcPr>
          <w:p>
            <w:pPr>
              <w:spacing w:after="60"/>
            </w:pPr>
            <w:r>
              <w:rPr>
                <w:b w:val="false"/>
                <w:bCs w:val="false"/>
                <w:sz w:val="20"/>
                <w:szCs w:val="20"/>
              </w:rPr>
              <w:t xml:space="preserve">Repository Agent (Git read, YAML/JSON/Python extraction). Config Agent (Azure SDK auth, query ≥3 resource types).</w:t>
            </w:r>
          </w:p>
        </w:tc>
        <w:tc>
          <w:tcPr>
            <w:tcW w:type="dxa" w:w="2400"/>
            <w:shd w:fill="F1EFE8" w:val="clear"/>
            <w:tcMar>
              <w:top w:type="dxa" w:w="80"/>
              <w:left w:type="dxa" w:w="120"/>
              <w:bottom w:type="dxa" w:w="80"/>
              <w:right w:type="dxa" w:w="120"/>
            </w:tcMar>
          </w:tcPr>
          <w:p>
            <w:pPr>
              <w:spacing w:after="60"/>
            </w:pPr>
            <w:r>
              <w:rPr>
                <w:b w:val="false"/>
                <w:bCs w:val="false"/>
                <w:sz w:val="20"/>
                <w:szCs w:val="20"/>
              </w:rPr>
              <w:t xml:space="preserve">Normalised resource JSON from both sources</w:t>
            </w:r>
          </w:p>
        </w:tc>
      </w:tr>
      <w:tr>
        <w:tc>
          <w:tcPr>
            <w:tcW w:type="dxa" w:w="2200"/>
            <w:tcMar>
              <w:top w:type="dxa" w:w="80"/>
              <w:left w:type="dxa" w:w="120"/>
              <w:bottom w:type="dxa" w:w="80"/>
              <w:right w:type="dxa" w:w="120"/>
            </w:tcMar>
          </w:tcPr>
          <w:p>
            <w:pPr>
              <w:spacing w:after="60"/>
            </w:pPr>
            <w:r>
              <w:rPr>
                <w:b/>
                <w:bCs/>
                <w:sz w:val="20"/>
                <w:szCs w:val="20"/>
              </w:rPr>
              <w:t xml:space="preserve">4 — Logic layer</w:t>
            </w:r>
          </w:p>
        </w:tc>
        <w:tc>
          <w:tcPr>
            <w:tcW w:type="dxa" w:w="4400"/>
            <w:tcMar>
              <w:top w:type="dxa" w:w="80"/>
              <w:left w:type="dxa" w:w="120"/>
              <w:bottom w:type="dxa" w:w="80"/>
              <w:right w:type="dxa" w:w="120"/>
            </w:tcMar>
          </w:tcPr>
          <w:p>
            <w:pPr>
              <w:spacing w:after="60"/>
            </w:pPr>
            <w:r>
              <w:rPr>
                <w:b w:val="false"/>
                <w:bCs w:val="false"/>
                <w:sz w:val="20"/>
                <w:szCs w:val="20"/>
              </w:rPr>
              <w:t xml:space="preserve">Auditor Agent (RAG pipeline, compliance decision, confidence score). Remediation Agent (CLI/ARM/Bicep fix per finding).</w:t>
            </w:r>
          </w:p>
        </w:tc>
        <w:tc>
          <w:tcPr>
            <w:tcW w:type="dxa" w:w="2400"/>
            <w:tcMar>
              <w:top w:type="dxa" w:w="80"/>
              <w:left w:type="dxa" w:w="120"/>
              <w:bottom w:type="dxa" w:w="80"/>
              <w:right w:type="dxa" w:w="120"/>
            </w:tcMar>
          </w:tcPr>
          <w:p>
            <w:pPr>
              <w:spacing w:after="60"/>
            </w:pPr>
            <w:r>
              <w:rPr>
                <w:b w:val="false"/>
                <w:bCs w:val="false"/>
                <w:sz w:val="20"/>
                <w:szCs w:val="20"/>
              </w:rPr>
              <w:t xml:space="preserve">machine_report.json per audit run</w:t>
            </w:r>
          </w:p>
        </w:tc>
      </w:tr>
      <w:tr>
        <w:tc>
          <w:tcPr>
            <w:tcW w:type="dxa" w:w="2200"/>
            <w:shd w:fill="F1EFE8" w:val="clear"/>
            <w:tcMar>
              <w:top w:type="dxa" w:w="80"/>
              <w:left w:type="dxa" w:w="120"/>
              <w:bottom w:type="dxa" w:w="80"/>
              <w:right w:type="dxa" w:w="120"/>
            </w:tcMar>
          </w:tcPr>
          <w:p>
            <w:pPr>
              <w:spacing w:after="60"/>
            </w:pPr>
            <w:r>
              <w:rPr>
                <w:b/>
                <w:bCs/>
                <w:sz w:val="20"/>
                <w:szCs w:val="20"/>
              </w:rPr>
              <w:t xml:space="preserve">5 — Orchestration</w:t>
            </w:r>
          </w:p>
        </w:tc>
        <w:tc>
          <w:tcPr>
            <w:tcW w:type="dxa" w:w="4400"/>
            <w:shd w:fill="F1EFE8" w:val="clear"/>
            <w:tcMar>
              <w:top w:type="dxa" w:w="80"/>
              <w:left w:type="dxa" w:w="120"/>
              <w:bottom w:type="dxa" w:w="80"/>
              <w:right w:type="dxa" w:w="120"/>
            </w:tcMar>
          </w:tcPr>
          <w:p>
            <w:pPr>
              <w:spacing w:after="60"/>
            </w:pPr>
            <w:r>
              <w:rPr>
                <w:b w:val="false"/>
                <w:bCs w:val="false"/>
                <w:sz w:val="20"/>
                <w:szCs w:val="20"/>
              </w:rPr>
              <w:t xml:space="preserve">main.py controller, sequential agent handoff, partial-failure handling, draft_report.md output.</w:t>
            </w:r>
          </w:p>
        </w:tc>
        <w:tc>
          <w:tcPr>
            <w:tcW w:type="dxa" w:w="2400"/>
            <w:shd w:fill="F1EFE8" w:val="clear"/>
            <w:tcMar>
              <w:top w:type="dxa" w:w="80"/>
              <w:left w:type="dxa" w:w="120"/>
              <w:bottom w:type="dxa" w:w="80"/>
              <w:right w:type="dxa" w:w="120"/>
            </w:tcMar>
          </w:tcPr>
          <w:p>
            <w:pPr>
              <w:spacing w:after="60"/>
            </w:pPr>
            <w:r>
              <w:rPr>
                <w:b w:val="false"/>
                <w:bCs w:val="false"/>
                <w:sz w:val="20"/>
                <w:szCs w:val="20"/>
              </w:rPr>
              <w:t xml:space="preserve">python main.py --workspace-id &lt;id&gt;</w:t>
            </w:r>
          </w:p>
        </w:tc>
      </w:tr>
      <w:tr>
        <w:tc>
          <w:tcPr>
            <w:tcW w:type="dxa" w:w="2200"/>
            <w:tcMar>
              <w:top w:type="dxa" w:w="80"/>
              <w:left w:type="dxa" w:w="120"/>
              <w:bottom w:type="dxa" w:w="80"/>
              <w:right w:type="dxa" w:w="120"/>
            </w:tcMar>
          </w:tcPr>
          <w:p>
            <w:pPr>
              <w:spacing w:after="60"/>
            </w:pPr>
            <w:r>
              <w:rPr>
                <w:b/>
                <w:bCs/>
                <w:sz w:val="20"/>
                <w:szCs w:val="20"/>
              </w:rPr>
              <w:t xml:space="preserve">6 — Validation</w:t>
            </w:r>
          </w:p>
        </w:tc>
        <w:tc>
          <w:tcPr>
            <w:tcW w:type="dxa" w:w="4400"/>
            <w:tcMar>
              <w:top w:type="dxa" w:w="80"/>
              <w:left w:type="dxa" w:w="120"/>
              <w:bottom w:type="dxa" w:w="80"/>
              <w:right w:type="dxa" w:w="120"/>
            </w:tcMar>
          </w:tcPr>
          <w:p>
            <w:pPr>
              <w:spacing w:after="60"/>
            </w:pPr>
            <w:r>
              <w:rPr>
                <w:b w:val="false"/>
                <w:bCs w:val="false"/>
                <w:sz w:val="20"/>
                <w:szCs w:val="20"/>
              </w:rPr>
              <w:t xml:space="preserve">2 compliant + 2 non-compliant scenarios per resource type. Measure: detection accuracy, false positives, remediation correctness.</w:t>
            </w:r>
          </w:p>
        </w:tc>
        <w:tc>
          <w:tcPr>
            <w:tcW w:type="dxa" w:w="2400"/>
            <w:tcMar>
              <w:top w:type="dxa" w:w="80"/>
              <w:left w:type="dxa" w:w="120"/>
              <w:bottom w:type="dxa" w:w="80"/>
              <w:right w:type="dxa" w:w="120"/>
            </w:tcMar>
          </w:tcPr>
          <w:p>
            <w:pPr>
              <w:spacing w:after="60"/>
            </w:pPr>
            <w:r>
              <w:rPr>
                <w:b w:val="false"/>
                <w:bCs w:val="false"/>
                <w:sz w:val="20"/>
                <w:szCs w:val="20"/>
              </w:rPr>
              <w:t xml:space="preserve">PoC demo-ready</w:t>
            </w:r>
          </w:p>
        </w:tc>
      </w:tr>
    </w:tbl>
    <w:p>
      <w:pPr>
        <w:spacing w:after="200"/>
      </w:pPr>
    </w:p>
    <w:p>
      <w:pPr>
        <w:pBdr>
          <w:bottom w:val="single" w:color="D3D1C7" w:sz="6"/>
        </w:pBdr>
        <w:spacing w:after="160" w:before="160"/>
      </w:pPr>
    </w:p>
    <w:p>
      <w:pPr>
        <w:pStyle w:val="Heading1"/>
        <w:spacing w:after="120" w:before="360"/>
      </w:pPr>
      <w:r>
        <w:t xml:space="preserve">4. Suggested improvements to the AGA design</w:t>
      </w:r>
    </w:p>
    <w:p>
      <w:pPr>
        <w:spacing w:after="120"/>
      </w:pPr>
      <w:r>
        <w:rPr>
          <w:sz w:val="22"/>
          <w:szCs w:val="22"/>
        </w:rPr>
        <w:t xml:space="preserve">Based on current enterprise RAG and multi-agent governance research (2025–2026), here are four concrete improvements worth proposing to the team. All are compatible with the existing spec and add meaningful value for minimal extra scope.</w:t>
      </w:r>
    </w:p>
    <w:p>
      <w:pPr>
        <w:pStyle w:val="Heading2"/>
        <w:spacing w:after="80" w:before="280"/>
      </w:pPr>
      <w:r>
        <w:t xml:space="preserve">4.1  Hybrid search in ChromaDB (recommended)</w:t>
      </w:r>
    </w:p>
    <w:p>
      <w:pPr>
        <w:spacing w:after="120"/>
      </w:pPr>
      <w:r>
        <w:rPr>
          <w:sz w:val="22"/>
          <w:szCs w:val="22"/>
        </w:rPr>
        <w:t xml:space="preserve">The current spec uses semantic similarity (embedding search) for policy retrieval. Enterprise RAG research in 2026 strongly recommends adding BM25 keyword search alongside vector search and fusing the results using Reciprocal Rank Fusion (RRF). The reason: vectors can 'blur' exact-match compliance identifiers — policy IDs like SEC-4.1, specific resource names, exact Azure parameter strings — which are precisely the things regulators expect to be precise. Hybrid search prevents this without significantly increasing complexity. Practically this means swapping chromadb.query() for a two-pass retrieval that also runs a keyword match on policy_id and title fields, then re-ranks the merged results.</w:t>
      </w:r>
    </w:p>
    <w:p>
      <w:pPr>
        <w:pStyle w:val="Heading2"/>
        <w:spacing w:after="80" w:before="280"/>
      </w:pPr>
      <w:r>
        <w:t xml:space="preserve">4.2  Source citation on every finding (low effort, high value)</w:t>
      </w:r>
    </w:p>
    <w:p>
      <w:pPr>
        <w:spacing w:after="120"/>
      </w:pPr>
      <w:r>
        <w:rPr>
          <w:sz w:val="22"/>
          <w:szCs w:val="22"/>
        </w:rPr>
        <w:t xml:space="preserve">The current JSON schema includes an evidence field and a policy reference. The improvement is to also include the specific ChromaDB chunk ID and similarity score that justified the compliance decision, not just the policy ID. This makes findings auditable and contestable — a data engineer who disagrees with a finding can trace exactly which policy text the Auditor matched against and with what confidence. It also aligns with the 2026 direction toward 'continuous compliance streams' where regulators expect machine-readable audit trails with full provenance. This is effectively a two-field addition to the existing schema: retrieval_chunk_id and retrieval_score.</w:t>
      </w:r>
    </w:p>
    <w:p>
      <w:pPr>
        <w:pStyle w:val="Heading2"/>
        <w:spacing w:after="80" w:before="280"/>
      </w:pPr>
      <w:r>
        <w:t xml:space="preserve">4.3  Data contracts as spec format for pipelines</w:t>
      </w:r>
    </w:p>
    <w:p>
      <w:pPr>
        <w:spacing w:after="120"/>
      </w:pPr>
      <w:r>
        <w:rPr>
          <w:sz w:val="22"/>
          <w:szCs w:val="22"/>
        </w:rPr>
        <w:t xml:space="preserve">Industry practice in 2026 has converged on YAML-based data contracts as the machine-readable agreement between a pipeline producer and its downstream consumers — defining schema, freshness SLAs, PII classification, and quality thresholds. Rather than treating governance policies as separate from pipeline specifications, the AGA could use or generate a lightweight data contract YAML alongside the standard Markdown spec files. This gives the Auditor Agent a precise, structured target to compare against (rather than interpreting free-text acceptance criteria) and creates a natural connection between the spec-driven build-time path and the runtime audit. Tools like Soda.io and Great Expectations already use this format; proposing it to the team costs nothing and could save significant scope at implementation time.</w:t>
      </w:r>
    </w:p>
    <w:p>
      <w:pPr>
        <w:pStyle w:val="Heading2"/>
        <w:spacing w:after="80" w:before="280"/>
      </w:pPr>
      <w:r>
        <w:t xml:space="preserve">4.4  Confidence gating before remediation</w:t>
      </w:r>
    </w:p>
    <w:p>
      <w:pPr>
        <w:spacing w:after="120"/>
      </w:pPr>
      <w:r>
        <w:rPr>
          <w:sz w:val="22"/>
          <w:szCs w:val="22"/>
        </w:rPr>
        <w:t xml:space="preserve">The current flow has the Auditor Agent produce findings and immediately pass them to the Remediation Agent. Research on multi-agent systems in regulated environments recommends inserting a confidence gate: findings below a threshold (e.g., confidence_score &lt; 0.6) should be flagged as 'needs human review' rather than generating an auto-remediation suggestion. This prevents the Remediation Agent from producing executable CLI commands for cases where the Auditor was uncertain, which in a data engineering context could mean a destructive command being applied to the wrong resource. The existing risk score formula (severity × confidence) already provides the raw material; this is a conditional routing step in orchestrator.py, not a new component.</w:t>
      </w:r>
    </w:p>
    <w:p>
      <w:pPr>
        <w:pBdr>
          <w:bottom w:val="single" w:color="D3D1C7" w:sz="6"/>
        </w:pBdr>
        <w:spacing w:after="160" w:before="160"/>
      </w:pPr>
    </w:p>
    <w:p>
      <w:pPr>
        <w:pStyle w:val="Heading1"/>
        <w:spacing w:after="120" w:before="360"/>
      </w:pPr>
      <w:r>
        <w:t xml:space="preserve">5. Questions for the developer meeting</w:t>
      </w:r>
    </w:p>
    <w:p>
      <w:pPr>
        <w:pStyle w:val="Heading2"/>
        <w:spacing w:after="80" w:before="280"/>
      </w:pPr>
      <w:r>
        <w:t xml:space="preserve">Vision and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534AB7" w:val="clear"/>
            <w:tcMar>
              <w:top w:type="dxa" w:w="80"/>
              <w:left w:type="dxa" w:w="120"/>
              <w:bottom w:type="dxa" w:w="80"/>
              <w:right w:type="dxa" w:w="120"/>
            </w:tcMar>
          </w:tcPr>
          <w:p>
            <w:r>
              <w:rPr>
                <w:b/>
                <w:bCs/>
                <w:color w:val="FFFFFF"/>
                <w:sz w:val="20"/>
                <w:szCs w:val="20"/>
              </w:rPr>
              <w:t xml:space="preserve">Theme</w:t>
            </w:r>
          </w:p>
        </w:tc>
        <w:tc>
          <w:tcPr>
            <w:tcW w:type="dxa" w:w="6300"/>
            <w:shd w:fill="534AB7" w:val="clear"/>
            <w:tcMar>
              <w:top w:type="dxa" w:w="80"/>
              <w:left w:type="dxa" w:w="120"/>
              <w:bottom w:type="dxa" w:w="80"/>
              <w:right w:type="dxa" w:w="120"/>
            </w:tcMar>
          </w:tcPr>
          <w:p>
            <w:r>
              <w:rPr>
                <w:b/>
                <w:bCs/>
                <w:color w:val="FFFFFF"/>
                <w:sz w:val="20"/>
                <w:szCs w:val="20"/>
              </w:rPr>
              <w:t xml:space="preserve">Question</w:t>
            </w:r>
          </w:p>
        </w:tc>
      </w:tr>
      <w:tr>
        <w:tc>
          <w:tcPr>
            <w:tcW w:type="dxa" w:w="2700"/>
            <w:tcMar>
              <w:top w:type="dxa" w:w="80"/>
              <w:left w:type="dxa" w:w="120"/>
              <w:bottom w:type="dxa" w:w="80"/>
              <w:right w:type="dxa" w:w="120"/>
            </w:tcMar>
          </w:tcPr>
          <w:p>
            <w:pPr>
              <w:spacing w:after="60"/>
            </w:pPr>
            <w:r>
              <w:rPr>
                <w:b/>
                <w:bCs/>
                <w:sz w:val="20"/>
                <w:szCs w:val="20"/>
              </w:rPr>
              <w:t xml:space="preserve">Priority</w:t>
            </w:r>
          </w:p>
        </w:tc>
        <w:tc>
          <w:tcPr>
            <w:tcW w:type="dxa" w:w="6300"/>
            <w:tcMar>
              <w:top w:type="dxa" w:w="80"/>
              <w:left w:type="dxa" w:w="120"/>
              <w:bottom w:type="dxa" w:w="80"/>
              <w:right w:type="dxa" w:w="120"/>
            </w:tcMar>
          </w:tcPr>
          <w:p>
            <w:pPr>
              <w:spacing w:after="60"/>
            </w:pPr>
            <w:r>
              <w:rPr>
                <w:sz w:val="20"/>
                <w:szCs w:val="20"/>
              </w:rPr>
              <w:t xml:space="preserve">Which half needs to work first for a credible demo — the build-time spec-driven path, the runtime audit, or is there a specific scenario (e.g. 'catch this known non-compliance in our live workspace') that defines done?</w:t>
            </w:r>
          </w:p>
        </w:tc>
      </w:tr>
      <w:tr>
        <w:tc>
          <w:tcPr>
            <w:tcW w:type="dxa" w:w="2700"/>
            <w:shd w:fill="F1EFE8" w:val="clear"/>
            <w:tcMar>
              <w:top w:type="dxa" w:w="80"/>
              <w:left w:type="dxa" w:w="120"/>
              <w:bottom w:type="dxa" w:w="80"/>
              <w:right w:type="dxa" w:w="120"/>
            </w:tcMar>
          </w:tcPr>
          <w:p>
            <w:pPr>
              <w:spacing w:after="60"/>
            </w:pPr>
            <w:r>
              <w:rPr>
                <w:b/>
                <w:bCs/>
                <w:sz w:val="20"/>
                <w:szCs w:val="20"/>
              </w:rPr>
              <w:t xml:space="preserve">Scope of code</w:t>
            </w:r>
          </w:p>
        </w:tc>
        <w:tc>
          <w:tcPr>
            <w:tcW w:type="dxa" w:w="6300"/>
            <w:shd w:fill="F1EFE8" w:val="clear"/>
            <w:tcMar>
              <w:top w:type="dxa" w:w="80"/>
              <w:left w:type="dxa" w:w="120"/>
              <w:bottom w:type="dxa" w:w="80"/>
              <w:right w:type="dxa" w:w="120"/>
            </w:tcMar>
          </w:tcPr>
          <w:p>
            <w:pPr>
              <w:spacing w:after="60"/>
            </w:pPr>
            <w:r>
              <w:rPr>
                <w:sz w:val="20"/>
                <w:szCs w:val="20"/>
              </w:rPr>
              <w:t xml:space="preserve">Does 'code layer' mean AI-generated code specifically, or any pipeline code regardless of how it was written? This determines whether the build-time path is central to the demo or a follow-on.</w:t>
            </w:r>
          </w:p>
        </w:tc>
      </w:tr>
      <w:tr>
        <w:tc>
          <w:tcPr>
            <w:tcW w:type="dxa" w:w="2700"/>
            <w:tcMar>
              <w:top w:type="dxa" w:w="80"/>
              <w:left w:type="dxa" w:w="120"/>
              <w:bottom w:type="dxa" w:w="80"/>
              <w:right w:type="dxa" w:w="120"/>
            </w:tcMar>
          </w:tcPr>
          <w:p>
            <w:pPr>
              <w:spacing w:after="60"/>
            </w:pPr>
            <w:r>
              <w:rPr>
                <w:b/>
                <w:bCs/>
                <w:sz w:val="20"/>
                <w:szCs w:val="20"/>
              </w:rPr>
              <w:t xml:space="preserve">Azure scope</w:t>
            </w:r>
          </w:p>
        </w:tc>
        <w:tc>
          <w:tcPr>
            <w:tcW w:type="dxa" w:w="6300"/>
            <w:tcMar>
              <w:top w:type="dxa" w:w="80"/>
              <w:left w:type="dxa" w:w="120"/>
              <w:bottom w:type="dxa" w:w="80"/>
              <w:right w:type="dxa" w:w="120"/>
            </w:tcMar>
          </w:tcPr>
          <w:p>
            <w:pPr>
              <w:spacing w:after="60"/>
            </w:pPr>
            <w:r>
              <w:rPr>
                <w:sz w:val="20"/>
                <w:szCs w:val="20"/>
              </w:rPr>
              <w:t xml:space="preserve">The spec comments flag Config Agent / live Azure inspection as possibly out of scope ('more Olivier's team'). Is that settled? If yes, does Phase 1 reduce to a purely Git-based audit?</w:t>
            </w:r>
          </w:p>
        </w:tc>
      </w:tr>
      <w:tr>
        <w:tc>
          <w:tcPr>
            <w:tcW w:type="dxa" w:w="2700"/>
            <w:shd w:fill="F1EFE8" w:val="clear"/>
            <w:tcMar>
              <w:top w:type="dxa" w:w="80"/>
              <w:left w:type="dxa" w:w="120"/>
              <w:bottom w:type="dxa" w:w="80"/>
              <w:right w:type="dxa" w:w="120"/>
            </w:tcMar>
          </w:tcPr>
          <w:p>
            <w:pPr>
              <w:spacing w:after="60"/>
            </w:pPr>
            <w:r>
              <w:rPr>
                <w:b/>
                <w:bCs/>
                <w:sz w:val="20"/>
                <w:szCs w:val="20"/>
              </w:rPr>
              <w:t xml:space="preserve">Audience</w:t>
            </w:r>
          </w:p>
        </w:tc>
        <w:tc>
          <w:tcPr>
            <w:tcW w:type="dxa" w:w="6300"/>
            <w:shd w:fill="F1EFE8" w:val="clear"/>
            <w:tcMar>
              <w:top w:type="dxa" w:w="80"/>
              <w:left w:type="dxa" w:w="120"/>
              <w:bottom w:type="dxa" w:w="80"/>
              <w:right w:type="dxa" w:w="120"/>
            </w:tcMar>
          </w:tcPr>
          <w:p>
            <w:pPr>
              <w:spacing w:after="60"/>
            </w:pPr>
            <w:r>
              <w:rPr>
                <w:sz w:val="20"/>
                <w:szCs w:val="20"/>
              </w:rPr>
              <w:t xml:space="preserve">Who watches the PoC demo — the Governance Lead persona named in the acceptance criteria, or the data engineers who would use it daily? The answer shapes what the draft report needs to look like.</w:t>
            </w:r>
          </w:p>
        </w:tc>
      </w:tr>
      <w:tr>
        <w:tc>
          <w:tcPr>
            <w:tcW w:type="dxa" w:w="2700"/>
            <w:tcMar>
              <w:top w:type="dxa" w:w="80"/>
              <w:left w:type="dxa" w:w="120"/>
              <w:bottom w:type="dxa" w:w="80"/>
              <w:right w:type="dxa" w:w="120"/>
            </w:tcMar>
          </w:tcPr>
          <w:p>
            <w:pPr>
              <w:spacing w:after="60"/>
            </w:pPr>
            <w:r>
              <w:rPr>
                <w:b/>
                <w:bCs/>
                <w:sz w:val="20"/>
                <w:szCs w:val="20"/>
              </w:rPr>
              <w:t xml:space="preserve">Policy ownership</w:t>
            </w:r>
          </w:p>
        </w:tc>
        <w:tc>
          <w:tcPr>
            <w:tcW w:type="dxa" w:w="6300"/>
            <w:tcMar>
              <w:top w:type="dxa" w:w="80"/>
              <w:left w:type="dxa" w:w="120"/>
              <w:bottom w:type="dxa" w:w="80"/>
              <w:right w:type="dxa" w:w="120"/>
            </w:tcMar>
          </w:tcPr>
          <w:p>
            <w:pPr>
              <w:spacing w:after="60"/>
            </w:pPr>
            <w:r>
              <w:rPr>
                <w:sz w:val="20"/>
                <w:szCs w:val="20"/>
              </w:rPr>
              <w:t xml:space="preserve">Who authors the actual governance policies? If no written policies exist yet, the PoC cannot start Phase 1. Can we get 5–10 real policies, or do we draft sample ones ourselves?</w:t>
            </w:r>
          </w:p>
        </w:tc>
      </w:tr>
      <w:tr>
        <w:tc>
          <w:tcPr>
            <w:tcW w:type="dxa" w:w="2700"/>
            <w:shd w:fill="F1EFE8" w:val="clear"/>
            <w:tcMar>
              <w:top w:type="dxa" w:w="80"/>
              <w:left w:type="dxa" w:w="120"/>
              <w:bottom w:type="dxa" w:w="80"/>
              <w:right w:type="dxa" w:w="120"/>
            </w:tcMar>
          </w:tcPr>
          <w:p>
            <w:pPr>
              <w:spacing w:after="60"/>
            </w:pPr>
            <w:r>
              <w:rPr>
                <w:b/>
                <w:bCs/>
                <w:sz w:val="20"/>
                <w:szCs w:val="20"/>
              </w:rPr>
              <w:t xml:space="preserve">Policy scope</w:t>
            </w:r>
          </w:p>
        </w:tc>
        <w:tc>
          <w:tcPr>
            <w:tcW w:type="dxa" w:w="6300"/>
            <w:shd w:fill="F1EFE8" w:val="clear"/>
            <w:tcMar>
              <w:top w:type="dxa" w:w="80"/>
              <w:left w:type="dxa" w:w="120"/>
              <w:bottom w:type="dxa" w:w="80"/>
              <w:right w:type="dxa" w:w="120"/>
            </w:tcMar>
          </w:tcPr>
          <w:p>
            <w:pPr>
              <w:spacing w:after="60"/>
            </w:pPr>
            <w:r>
              <w:rPr>
                <w:sz w:val="20"/>
                <w:szCs w:val="20"/>
              </w:rPr>
              <w:t xml:space="preserve">Should policies cover only technical controls (encryption, network access), or also the departmental ones noted in comments — naming conventions, star-schema standards, PII handling?</w:t>
            </w:r>
          </w:p>
        </w:tc>
      </w:tr>
    </w:tbl>
    <w:p>
      <w:pPr>
        <w:spacing w:after="160"/>
      </w:pPr>
    </w:p>
    <w:p>
      <w:pPr>
        <w:pStyle w:val="Heading2"/>
        <w:spacing w:after="80" w:before="280"/>
      </w:pPr>
      <w:r>
        <w:t xml:space="preserve">Technical and tooling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534AB7" w:val="clear"/>
            <w:tcMar>
              <w:top w:type="dxa" w:w="80"/>
              <w:left w:type="dxa" w:w="120"/>
              <w:bottom w:type="dxa" w:w="80"/>
              <w:right w:type="dxa" w:w="120"/>
            </w:tcMar>
          </w:tcPr>
          <w:p>
            <w:r>
              <w:rPr>
                <w:b/>
                <w:bCs/>
                <w:color w:val="FFFFFF"/>
                <w:sz w:val="20"/>
                <w:szCs w:val="20"/>
              </w:rPr>
              <w:t xml:space="preserve">Theme</w:t>
            </w:r>
          </w:p>
        </w:tc>
        <w:tc>
          <w:tcPr>
            <w:tcW w:type="dxa" w:w="6300"/>
            <w:shd w:fill="534AB7" w:val="clear"/>
            <w:tcMar>
              <w:top w:type="dxa" w:w="80"/>
              <w:left w:type="dxa" w:w="120"/>
              <w:bottom w:type="dxa" w:w="80"/>
              <w:right w:type="dxa" w:w="120"/>
            </w:tcMar>
          </w:tcPr>
          <w:p>
            <w:r>
              <w:rPr>
                <w:b/>
                <w:bCs/>
                <w:color w:val="FFFFFF"/>
                <w:sz w:val="20"/>
                <w:szCs w:val="20"/>
              </w:rPr>
              <w:t xml:space="preserve">Question</w:t>
            </w:r>
          </w:p>
        </w:tc>
      </w:tr>
      <w:tr>
        <w:tc>
          <w:tcPr>
            <w:tcW w:type="dxa" w:w="2700"/>
            <w:tcMar>
              <w:top w:type="dxa" w:w="80"/>
              <w:left w:type="dxa" w:w="120"/>
              <w:bottom w:type="dxa" w:w="80"/>
              <w:right w:type="dxa" w:w="120"/>
            </w:tcMar>
          </w:tcPr>
          <w:p>
            <w:pPr>
              <w:spacing w:after="60"/>
            </w:pPr>
            <w:r>
              <w:rPr>
                <w:b/>
                <w:bCs/>
                <w:sz w:val="20"/>
                <w:szCs w:val="20"/>
              </w:rPr>
              <w:t xml:space="preserve">Copilot access</w:t>
            </w:r>
          </w:p>
        </w:tc>
        <w:tc>
          <w:tcPr>
            <w:tcW w:type="dxa" w:w="6300"/>
            <w:tcMar>
              <w:top w:type="dxa" w:w="80"/>
              <w:left w:type="dxa" w:w="120"/>
              <w:bottom w:type="dxa" w:w="80"/>
              <w:right w:type="dxa" w:w="120"/>
            </w:tcMar>
          </w:tcPr>
          <w:p>
            <w:pPr>
              <w:spacing w:after="60"/>
            </w:pPr>
            <w:r>
              <w:rPr>
                <w:sz w:val="20"/>
                <w:szCs w:val="20"/>
              </w:rPr>
              <w:t xml:space="preserve">Is GitHub Copilot the intended AI coding assistant, or is Claude Code / another tool also on the table? This determines which spec-kit integration path to use.</w:t>
            </w:r>
          </w:p>
        </w:tc>
      </w:tr>
      <w:tr>
        <w:tc>
          <w:tcPr>
            <w:tcW w:type="dxa" w:w="2700"/>
            <w:shd w:fill="F1EFE8" w:val="clear"/>
            <w:tcMar>
              <w:top w:type="dxa" w:w="80"/>
              <w:left w:type="dxa" w:w="120"/>
              <w:bottom w:type="dxa" w:w="80"/>
              <w:right w:type="dxa" w:w="120"/>
            </w:tcMar>
          </w:tcPr>
          <w:p>
            <w:pPr>
              <w:spacing w:after="60"/>
            </w:pPr>
            <w:r>
              <w:rPr>
                <w:b/>
                <w:bCs/>
                <w:sz w:val="20"/>
                <w:szCs w:val="20"/>
              </w:rPr>
              <w:t xml:space="preserve">Azure credentials</w:t>
            </w:r>
          </w:p>
        </w:tc>
        <w:tc>
          <w:tcPr>
            <w:tcW w:type="dxa" w:w="6300"/>
            <w:shd w:fill="F1EFE8" w:val="clear"/>
            <w:tcMar>
              <w:top w:type="dxa" w:w="80"/>
              <w:left w:type="dxa" w:w="120"/>
              <w:bottom w:type="dxa" w:w="80"/>
              <w:right w:type="dxa" w:w="120"/>
            </w:tcMar>
          </w:tcPr>
          <w:p>
            <w:pPr>
              <w:spacing w:after="60"/>
            </w:pPr>
            <w:r>
              <w:rPr>
                <w:sz w:val="20"/>
                <w:szCs w:val="20"/>
              </w:rPr>
              <w:t xml:space="preserve">Can we get a read-only service principal scoped to a non-production Databricks workspace? The Config Agent needs DefaultAzureCredential with read access to clusters, jobs, and workspace settings.</w:t>
            </w:r>
          </w:p>
        </w:tc>
      </w:tr>
      <w:tr>
        <w:tc>
          <w:tcPr>
            <w:tcW w:type="dxa" w:w="2700"/>
            <w:tcMar>
              <w:top w:type="dxa" w:w="80"/>
              <w:left w:type="dxa" w:w="120"/>
              <w:bottom w:type="dxa" w:w="80"/>
              <w:right w:type="dxa" w:w="120"/>
            </w:tcMar>
          </w:tcPr>
          <w:p>
            <w:pPr>
              <w:spacing w:after="60"/>
            </w:pPr>
            <w:r>
              <w:rPr>
                <w:b/>
                <w:bCs/>
                <w:sz w:val="20"/>
                <w:szCs w:val="20"/>
              </w:rPr>
              <w:t xml:space="preserve">Real repository</w:t>
            </w:r>
          </w:p>
        </w:tc>
        <w:tc>
          <w:tcPr>
            <w:tcW w:type="dxa" w:w="6300"/>
            <w:tcMar>
              <w:top w:type="dxa" w:w="80"/>
              <w:left w:type="dxa" w:w="120"/>
              <w:bottom w:type="dxa" w:w="80"/>
              <w:right w:type="dxa" w:w="120"/>
            </w:tcMar>
          </w:tcPr>
          <w:p>
            <w:pPr>
              <w:spacing w:after="60"/>
            </w:pPr>
            <w:r>
              <w:rPr>
                <w:sz w:val="20"/>
                <w:szCs w:val="20"/>
              </w:rPr>
              <w:t xml:space="preserve">Is there an existing Git repo with actual pipeline code we can point the Repository Agent at? Synthetic test repos are fine for unit tests but a real repo is needed for the PoC demo.</w:t>
            </w:r>
          </w:p>
        </w:tc>
      </w:tr>
      <w:tr>
        <w:tc>
          <w:tcPr>
            <w:tcW w:type="dxa" w:w="2700"/>
            <w:shd w:fill="F1EFE8" w:val="clear"/>
            <w:tcMar>
              <w:top w:type="dxa" w:w="80"/>
              <w:left w:type="dxa" w:w="120"/>
              <w:bottom w:type="dxa" w:w="80"/>
              <w:right w:type="dxa" w:w="120"/>
            </w:tcMar>
          </w:tcPr>
          <w:p>
            <w:pPr>
              <w:spacing w:after="60"/>
            </w:pPr>
            <w:r>
              <w:rPr>
                <w:b/>
                <w:bCs/>
                <w:sz w:val="20"/>
                <w:szCs w:val="20"/>
              </w:rPr>
              <w:t xml:space="preserve">Known non-compliance</w:t>
            </w:r>
          </w:p>
        </w:tc>
        <w:tc>
          <w:tcPr>
            <w:tcW w:type="dxa" w:w="6300"/>
            <w:shd w:fill="F1EFE8" w:val="clear"/>
            <w:tcMar>
              <w:top w:type="dxa" w:w="80"/>
              <w:left w:type="dxa" w:w="120"/>
              <w:bottom w:type="dxa" w:w="80"/>
              <w:right w:type="dxa" w:w="120"/>
            </w:tcMar>
          </w:tcPr>
          <w:p>
            <w:pPr>
              <w:spacing w:after="60"/>
            </w:pPr>
            <w:r>
              <w:rPr>
                <w:sz w:val="20"/>
                <w:szCs w:val="20"/>
              </w:rPr>
              <w:t xml:space="preserve">Does any known non-compliance currently exist in the target environment? A real pre-existing finding makes the demo significantly more compelling than a synthetic one.</w:t>
            </w:r>
          </w:p>
        </w:tc>
      </w:tr>
      <w:tr>
        <w:tc>
          <w:tcPr>
            <w:tcW w:type="dxa" w:w="2700"/>
            <w:tcMar>
              <w:top w:type="dxa" w:w="80"/>
              <w:left w:type="dxa" w:w="120"/>
              <w:bottom w:type="dxa" w:w="80"/>
              <w:right w:type="dxa" w:w="120"/>
            </w:tcMar>
          </w:tcPr>
          <w:p>
            <w:pPr>
              <w:spacing w:after="60"/>
            </w:pPr>
            <w:r>
              <w:rPr>
                <w:b/>
                <w:bCs/>
                <w:sz w:val="20"/>
                <w:szCs w:val="20"/>
              </w:rPr>
              <w:t xml:space="preserve">Orchestration design</w:t>
            </w:r>
          </w:p>
        </w:tc>
        <w:tc>
          <w:tcPr>
            <w:tcW w:type="dxa" w:w="6300"/>
            <w:tcMar>
              <w:top w:type="dxa" w:w="80"/>
              <w:left w:type="dxa" w:w="120"/>
              <w:bottom w:type="dxa" w:w="80"/>
              <w:right w:type="dxa" w:w="120"/>
            </w:tcMar>
          </w:tcPr>
          <w:p>
            <w:pPr>
              <w:spacing w:after="60"/>
            </w:pPr>
            <w:r>
              <w:rPr>
                <w:sz w:val="20"/>
                <w:szCs w:val="20"/>
              </w:rPr>
              <w:t xml:space="preserve">Is the four-agent sequential orchestration in AC1 a hard requirement, or open to simplification if a simpler single-agent baseline proves more reliable for the PoC timeline?</w:t>
            </w:r>
          </w:p>
        </w:tc>
      </w:tr>
    </w:tbl>
    <w:p>
      <w:pPr>
        <w:spacing w:after="160"/>
      </w:pPr>
    </w:p>
    <w:p>
      <w:pPr>
        <w:pStyle w:val="Heading2"/>
        <w:spacing w:after="80" w:before="280"/>
      </w:pPr>
      <w:r>
        <w:t xml:space="preserve">What to ask the team to provide</w:t>
      </w:r>
    </w:p>
    <w:p>
      <w:pPr>
        <w:spacing w:after="120"/>
      </w:pPr>
      <w:r>
        <w:rPr>
          <w:sz w:val="22"/>
          <w:szCs w:val="22"/>
        </w:rPr>
        <w:t xml:space="preserve">These are concrete deliverables needed regardless of how scope gets settled. Bring this list explicitly.</w:t>
      </w:r>
    </w:p>
    <w:p>
      <w:pPr>
        <w:pStyle w:val="ListParagraph"/>
        <w:numPr>
          <w:ilvl w:val="0"/>
          <w:numId w:val="1"/>
        </w:numPr>
        <w:spacing w:after="80"/>
      </w:pPr>
      <w:r>
        <w:rPr>
          <w:sz w:val="22"/>
          <w:szCs w:val="22"/>
        </w:rPr>
        <w:t xml:space="preserve">Read-only Azure/Databricks service principal credentials scoped to a sandbox workspace</w:t>
      </w:r>
    </w:p>
    <w:p>
      <w:pPr>
        <w:pStyle w:val="ListParagraph"/>
        <w:numPr>
          <w:ilvl w:val="0"/>
          <w:numId w:val="1"/>
        </w:numPr>
        <w:spacing w:after="80"/>
      </w:pPr>
      <w:r>
        <w:rPr>
          <w:sz w:val="22"/>
          <w:szCs w:val="22"/>
        </w:rPr>
        <w:t xml:space="preserve">Specific workspace_id (or short list) the PoC is permitted to audit</w:t>
      </w:r>
    </w:p>
    <w:p>
      <w:pPr>
        <w:pStyle w:val="ListParagraph"/>
        <w:numPr>
          <w:ilvl w:val="0"/>
          <w:numId w:val="1"/>
        </w:numPr>
        <w:spacing w:after="80"/>
      </w:pPr>
      <w:r>
        <w:rPr>
          <w:sz w:val="22"/>
          <w:szCs w:val="22"/>
        </w:rPr>
        <w:t xml:space="preserve">Existing governance policies in any format (wiki, Confluence, Word, PDF) — or confirmation of who writes them</w:t>
      </w:r>
    </w:p>
    <w:p>
      <w:pPr>
        <w:pStyle w:val="ListParagraph"/>
        <w:numPr>
          <w:ilvl w:val="0"/>
          <w:numId w:val="1"/>
        </w:numPr>
        <w:spacing w:after="80"/>
      </w:pPr>
      <w:r>
        <w:rPr>
          <w:sz w:val="22"/>
          <w:szCs w:val="22"/>
        </w:rPr>
        <w:t xml:space="preserve">A real or representative Git repository with pipeline or notebook code for the Repository Agent to scan</w:t>
      </w:r>
    </w:p>
    <w:p>
      <w:pPr>
        <w:pStyle w:val="ListParagraph"/>
        <w:numPr>
          <w:ilvl w:val="0"/>
          <w:numId w:val="1"/>
        </w:numPr>
        <w:spacing w:after="80"/>
      </w:pPr>
      <w:r>
        <w:rPr>
          <w:sz w:val="22"/>
          <w:szCs w:val="22"/>
        </w:rPr>
        <w:t xml:space="preserve">One or two examples of known non-compliance in the current environment, if any exist</w:t>
      </w:r>
    </w:p>
    <w:p>
      <w:pPr>
        <w:pStyle w:val="ListParagraph"/>
        <w:numPr>
          <w:ilvl w:val="0"/>
          <w:numId w:val="1"/>
        </w:numPr>
        <w:spacing w:after="80"/>
      </w:pPr>
      <w:r>
        <w:rPr>
          <w:sz w:val="22"/>
          <w:szCs w:val="22"/>
        </w:rPr>
        <w:t xml:space="preserve">Confirmation of whether developers will contribute build time, or are requirements-only stakeholders</w:t>
      </w:r>
    </w:p>
    <w:p>
      <w:pPr>
        <w:pStyle w:val="ListParagraph"/>
        <w:numPr>
          <w:ilvl w:val="0"/>
          <w:numId w:val="1"/>
        </w:numPr>
        <w:spacing w:after="80"/>
      </w:pPr>
      <w:r>
        <w:rPr>
          <w:sz w:val="22"/>
          <w:szCs w:val="22"/>
        </w:rPr>
        <w:t xml:space="preserve">A rough timeline and what audience the PoC needs to convince</w:t>
      </w:r>
    </w:p>
    <w:p>
      <w:pPr>
        <w:pBdr>
          <w:bottom w:val="single" w:color="D3D1C7" w:sz="6"/>
        </w:pBdr>
        <w:spacing w:after="160" w:before="160"/>
      </w:pPr>
    </w:p>
    <w:p>
      <w:pPr>
        <w:pStyle w:val="Heading1"/>
        <w:spacing w:after="120" w:before="360"/>
      </w:pPr>
      <w:r>
        <w:t xml:space="preserve">6. What success looks like</w:t>
      </w:r>
    </w:p>
    <w:p>
      <w:pPr>
        <w:pStyle w:val="Heading2"/>
        <w:spacing w:after="80" w:before="280"/>
      </w:pPr>
      <w:r>
        <w:t xml:space="preserve">Phase 1 PoC done when</w:t>
      </w:r>
    </w:p>
    <w:p>
      <w:pPr>
        <w:pStyle w:val="ListParagraph"/>
        <w:numPr>
          <w:ilvl w:val="0"/>
          <w:numId w:val="1"/>
        </w:numPr>
        <w:spacing w:after="80"/>
      </w:pPr>
      <w:r>
        <w:rPr>
          <w:sz w:val="22"/>
          <w:szCs w:val="22"/>
        </w:rPr>
        <w:t xml:space="preserve">python main.py --workspace-id &lt;id&gt; runs against a real workspace in under 5 minutes</w:t>
      </w:r>
    </w:p>
    <w:p>
      <w:pPr>
        <w:pStyle w:val="ListParagraph"/>
        <w:numPr>
          <w:ilvl w:val="0"/>
          <w:numId w:val="1"/>
        </w:numPr>
        <w:spacing w:after="80"/>
      </w:pPr>
      <w:r>
        <w:rPr>
          <w:sz w:val="22"/>
          <w:szCs w:val="22"/>
        </w:rPr>
        <w:t xml:space="preserve">At least one real non-compliant finding is detected with a severity, confidence score, and executable remediation command</w:t>
      </w:r>
    </w:p>
    <w:p>
      <w:pPr>
        <w:pStyle w:val="ListParagraph"/>
        <w:numPr>
          <w:ilvl w:val="0"/>
          <w:numId w:val="1"/>
        </w:numPr>
        <w:spacing w:after="80"/>
      </w:pPr>
      <w:r>
        <w:rPr>
          <w:sz w:val="22"/>
          <w:szCs w:val="22"/>
        </w:rPr>
        <w:t xml:space="preserve">machine_report.json validates against the predefined JSON schema</w:t>
      </w:r>
    </w:p>
    <w:p>
      <w:pPr>
        <w:pStyle w:val="ListParagraph"/>
        <w:numPr>
          <w:ilvl w:val="0"/>
          <w:numId w:val="1"/>
        </w:numPr>
        <w:spacing w:after="80"/>
      </w:pPr>
      <w:r>
        <w:rPr>
          <w:sz w:val="22"/>
          <w:szCs w:val="22"/>
        </w:rPr>
        <w:t xml:space="preserve">draft_report.md is readable by a non-technical governance lead</w:t>
      </w:r>
    </w:p>
    <w:p>
      <w:pPr>
        <w:pStyle w:val="Heading2"/>
        <w:spacing w:after="80" w:before="280"/>
      </w:pPr>
      <w:r>
        <w:t xml:space="preserve">Phase 2 (build-time) done when</w:t>
      </w:r>
    </w:p>
    <w:p>
      <w:pPr>
        <w:pStyle w:val="ListParagraph"/>
        <w:numPr>
          <w:ilvl w:val="0"/>
          <w:numId w:val="1"/>
        </w:numPr>
        <w:spacing w:after="80"/>
      </w:pPr>
      <w:r>
        <w:rPr>
          <w:sz w:val="22"/>
          <w:szCs w:val="22"/>
        </w:rPr>
        <w:t xml:space="preserve">A Copilot session guided by the constitution generates a pipeline that passes the pre-commit check on the first attempt</w:t>
      </w:r>
    </w:p>
    <w:p>
      <w:pPr>
        <w:pStyle w:val="ListParagraph"/>
        <w:numPr>
          <w:ilvl w:val="0"/>
          <w:numId w:val="1"/>
        </w:numPr>
        <w:spacing w:after="80"/>
      </w:pPr>
      <w:r>
        <w:rPr>
          <w:sz w:val="22"/>
          <w:szCs w:val="22"/>
        </w:rPr>
        <w:t xml:space="preserve">The same pipeline, written without the constitution, fails at least one pre-commit check — demonstrating measurable impact</w:t>
      </w:r>
    </w:p>
    <w:p>
      <w:pPr>
        <w:pStyle w:val="Heading2"/>
        <w:spacing w:after="80" w:before="280"/>
      </w:pPr>
      <w:r>
        <w:t xml:space="preserve">The 'fund the real version' result</w:t>
      </w:r>
    </w:p>
    <w:p>
      <w:pPr>
        <w:spacing w:after="120"/>
      </w:pPr>
      <w:r>
        <w:rPr>
          <w:sz w:val="22"/>
          <w:szCs w:val="22"/>
        </w:rPr>
        <w:t xml:space="preserve">The PoC demonstrates that the same ChromaDB policy library drives both build-time code generation and runtime compliance auditing — so policy is defined once, enforced everywhere, with no duplicate logic. That is the architectural claim that makes this worth building properly.</w:t>
      </w:r>
    </w:p>
    <w:p>
      <w:pPr>
        <w:pBdr>
          <w:bottom w:val="single" w:color="D3D1C7" w:sz="6"/>
        </w:pBdr>
        <w:spacing w:after="160" w:before="160"/>
      </w:pPr>
    </w:p>
    <w:p>
      <w:pPr>
        <w:spacing w:after="80" w:before="160"/>
      </w:pPr>
      <w:r>
        <w:rPr>
          <w:i/>
          <w:iCs/>
          <w:color w:val="5F5E5A"/>
          <w:sz w:val="16"/>
          <w:szCs w:val="16"/>
        </w:rPr>
        <w:t xml:space="preserve">Sources consulted: Defensible RAG 2026 (techplustrends.com) · Agentic RAG Enterprise Guide 2026 (datanucleus.dev) · Shift-Left Data Trust series (Ataccama, May 2026) · Data Governance for Data Engineering 2026 (nextolive.com) · Top 12 Data Governance Predictions 2026 (hyperight.com) · Runtime Governance for AI Agents (arXiv 2603.16586) · KPMG Agent Deployment Survey 2026 · GitHub Spec Kit v0.10 documentation</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rPr>
      <w:rFonts w:ascii="Calibri" w:cs="Calibri" w:eastAsia="Calibri" w:hAnsi="Calibri"/>
      <w:b/>
      <w:bCs/>
      <w:color w:val="534AB7"/>
      <w:sz w:val="32"/>
      <w:szCs w:val="32"/>
    </w:rPr>
  </w:style>
  <w:style w:type="paragraph" w:styleId="Heading2">
    <w:name w:val="Heading 2"/>
    <w:basedOn w:val="Normal"/>
    <w:rPr>
      <w:rFonts w:ascii="Calibri" w:cs="Calibri" w:eastAsia="Calibri" w:hAnsi="Calibri"/>
      <w:b/>
      <w:bCs/>
      <w:color w:val="26215C"/>
      <w:sz w:val="26"/>
      <w:szCs w:val="26"/>
    </w:rPr>
  </w:style>
  <w:style w:type="paragraph" w:styleId="Heading3">
    <w:name w:val="Heading 3"/>
    <w:basedOn w:val="Normal"/>
    <w:rPr>
      <w:rFonts w:ascii="Calibri" w:cs="Calibri" w:eastAsia="Calibri" w:hAnsi="Calibri"/>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2026-07-01T08:37:38.607Z</dcterms:created>
  <dcterms:modified xsi:type="dcterms:W3CDTF">2026-07-01T08:37:38.607Z</dcterms:modified>
</cp:coreProperties>
</file>

<file path=docProps/custom.xml><?xml version="1.0" encoding="utf-8"?>
<Properties xmlns="http://schemas.openxmlformats.org/officeDocument/2006/custom-properties" xmlns:vt="http://schemas.openxmlformats.org/officeDocument/2006/docPropsVTypes"/>
</file>