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Борщов Микола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ЗАМ-171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БІЛЕТ ДО МОДУЛЬНОЇ КОНТРОЛЬНОЇ РОБОТИ №1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ВАРІАНТ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Право інтелектуальної власності не розповсюджується на: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В. наукова творчість;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Особистими немайновими правами інтелектуальної власності не є: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В. право на будь-який результат інтелектуальної   діяльності;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Договір у сфері інтелектуальної власності: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А. відповідає загальним цивільно-правовим нормам;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 Первинними суб'єктами суміжних прав є: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Б. виконавці, виробники фонограм (відеограм), організації віщання;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Україна стала членом Договору ВОЇВ про виконання і фонограми: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Г. Україна підписала цей Договір 15 травня 2005 року.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 Автором визнається: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В. фізична особа, творчою роботою якої створений твір;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7. Авторським правом охороняються: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Б. особисті немайнові і майнові права авторів і правонаступників;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8. Авторське право виникає: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А. у наслідок факту його створення;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9. Вільне відтворення твору з вказівкою імені автора дозволяється: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В. для публікації рельєфно-точковим шрифтом для сліпих;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10. Перехід авторського твору в суспільне надбання дає право: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Б. вільно використовувати цей твір без виплати авторської винагороди;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11. Суб'єктами права інтелектуальної власності є: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Г. автори, заявники і правонаступники об'єктів права  інтелектуальної власності.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12 Право інтелектуальної власності означає закріплені законом права на:          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Г. володіння, користування і розпорядження результатом інтелектуальної  діяльності.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13. Хто може бути автором об'єкту інтелектуальної власності: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В. будь-яка особа незалежно від віку і дієздатності;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14. Організації колективного управління правами виконують функції: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А. збору винагороди за використання об'єктів авторського права і суміжних прав, якими вони управляють;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15. Римська конвенція: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Г. про захист прав виконавців, виробників фонограм і організації ефірного мовлення.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16 Ліцензіар це: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Г. фізична або юридична особа, що створила об'єкт інтелектуальної власності.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17. Суб'єктами авторського права є: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В. автори, їх спадкоємці і власники авторських прав;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18.К особистим немайновим правам автора не відноситься: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В. право на захист репутації  автора;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19. Плагіатом вважається: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Г. публікація твору під ім'ям особи, яка не є його автором.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20. У якому році Україна стала членом Договору ВОІВ про авторське право: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Б. в день його вступу в силу 6 березня 2002 року.;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b w:val="1"/>
          <w:rtl w:val="0"/>
        </w:rPr>
        <w:t xml:space="preserve">БІЛЕТ ДО МОДУЛЬНОЇ КОНТРОЛЬНОЇ РОБОТИ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Варіант 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1. Пріоритет заявки це: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Б. першість у поданні заявки.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2.Об’єктом винаходу визнається: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Г. продукт.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3.Не може бути об’єктом винаходу: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Б. сорти рослин і породи тварин.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4.Строк дії патенту України на винахід становлять: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Б. 20 років від дати подання заявки.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5.Строк дії деклараційного патенту України на корисну модель становить: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В. 30 років від дати подання заявки.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6. Майновими правами інтелектуальної власності не є: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Б. виняткове право користування інтелектуальною власністю без дозволу правовласника;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7. Активна діяльність ВОЇВ не направлена на: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Б. обмеження міжнародного обміну досягненнями в області інтелектуальної діяльності;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8. Угода про торгові аспекти прав інтелектуальної власності (TRIPS) набула чинності: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Б. в 1995 році.;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9. Паризька конвенція про охорону промислової власності була підписана: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А. в 1886 році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10. Страсбурська угода про Міжнародну патентну класифікацію (Угода про МПК) була підписана 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А. В 1961 році.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11.Обсяг правової охорони винаходу визначається: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Б. патентом.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12. Умовами патентоздатності визнаються: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Б. новизна і промислова придатність.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13. Переважне право на отримання патенту має: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А. винахідник.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14. Не визнаються винахідниками: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Б. фізичні особи, які не внесли творчого внеску у створення винаходу.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15.Право авторства на винахід належіть: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Б.винахіднику.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16. Субъектами права інтелектуальної власності є: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Г. автори, заявники і правонаступники об’єктів права інтелектуальної власності.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17. Право інтелектуальної власності означає закріплені законом права на: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В. інформацію, виражену в будь-якому результаті інтелектуальної діяльності;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18. У Цивільному Кодексі України перелік результатів творчої діяльності не включає: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Г. засоби індивідуалізації учасників цивільного обороту, товарів і послуг.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19. Гаагська угода про міжнародне депонування промислових зразків була підписана 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В. в 1925 році.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20. Локарнська угода про застосування класифікації промислових зразків була підписана 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Г. в 1968 році.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