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6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7190"/>
      </w:tblGrid>
      <w:tr w:rsidR="006714F3" w14:paraId="19F50D12" w14:textId="77777777">
        <w:trPr>
          <w:cantSplit/>
          <w:trHeight w:val="18"/>
        </w:trPr>
        <w:tc>
          <w:tcPr>
            <w:tcW w:w="1450" w:type="dxa"/>
            <w:tcBorders>
              <w:right w:val="single" w:sz="18" w:space="0" w:color="000000"/>
            </w:tcBorders>
            <w:tcMar>
              <w:top w:w="0" w:type="dxa"/>
              <w:right w:w="140" w:type="dxa"/>
            </w:tcMar>
          </w:tcPr>
          <w:p w14:paraId="1D1F5AB7" w14:textId="77777777" w:rsidR="00F446E1" w:rsidRDefault="00000000" w:rsidP="00024534">
            <w:pPr>
              <w:pStyle w:val="LargeLetter"/>
            </w:pPr>
            <w:r>
              <w:t>K</w:t>
            </w:r>
          </w:p>
        </w:tc>
        <w:tc>
          <w:tcPr>
            <w:tcW w:w="7190" w:type="dxa"/>
            <w:tcMar>
              <w:top w:w="0" w:type="dxa"/>
              <w:left w:w="200" w:type="dxa"/>
            </w:tcMar>
          </w:tcPr>
          <w:p w14:paraId="56E7E97C" w14:textId="77777777" w:rsidR="00F446E1" w:rsidRDefault="00000000" w:rsidP="00024534">
            <w:pPr>
              <w:suppressAutoHyphens w:val="0"/>
              <w:pStyle w:val="Heading1"/>
            </w:pPr>
            <w:r>
              <w:t xml:space="preserve">₹11.99 കോടി ചെലവ്; 19 വർഷമായി “കണക്കില്ല”</w:t>
            </w:r>
          </w:p>
        </w:tc>
      </w:tr>
    </w:tbl>
    <w:p w14:paraId="690328E7" w14:textId="77777777" w:rsidR="00F446E1" w:rsidRDefault="00000000" w:rsidP="00024534">
      <w:pPr>
        <w:pStyle w:val="Heading4"/>
      </w:pPr>
      <w:r>
        <w:t>Issue</w:t>
      </w:r>
    </w:p>
    <w:p w14:paraId="39451D0E" w14:textId="77777777" w:rsidR="00024534" w:rsidRPr="00024534" w:rsidRDefault="00024534" w:rsidP="00024534">
      <w:pPr>
        <w:suppressAutoHyphens w:val="0"/>
      </w:pPr>
      <w:r>
        <w:rPr>
          <w:lang w:bidi="ml-IN"/>
        </w:rPr>
        <w:t>കോടികളുടെ നിക്ഷേപവും ചെലവും രേഖപ്പെടുത്തിയ സ്വന്തം Minutes നിഷേധിച്ച്, നിയമപരമായി സൂക്ഷിക്കേണ്ട 19 വർഷത്തെ കണക്കില്ലെന്ന് സത്യം ചെയ്യുന്ന D2-യെ, 20-ാം വർഷം Trust വാണിജ്യവൽക്കരിക്കാൻ അനുവദിക്കാമോ?</w:t>
      </w:r>
    </w:p>
    <w:p w14:paraId="2B787495" w14:textId="77777777" w:rsidR="00F446E1" w:rsidRDefault="00000000" w:rsidP="00024534">
      <w:pPr>
        <w:pStyle w:val="Heading4"/>
      </w:pPr>
      <w:r>
        <w:t>Rule</w:t>
      </w:r>
    </w:p>
    <w:p>
      <w:r>
        <w:t xml:space="preserve">Trust Deed 2/IV/2007, cll. 2 &amp; 16: </w:t>
      </w:r>
      <w:r>
        <w:rPr>
          <w:rStyle w:val="Citation"/>
        </w:rPr>
        <w:t xml:space="preserve">“The Managing Trustee also bound to maintain all records and accounts of the trust”</w:t>
      </w:r>
      <w:r>
        <w:t xml:space="preserve">.</w:t>
      </w:r>
    </w:p>
    <w:p>
      <w:r>
        <w:t xml:space="preserve">Indian Trusts Act, 1882, ss. 19 &amp; 66: </w:t>
      </w:r>
      <w:r>
        <w:rPr>
          <w:rStyle w:val="Citation"/>
        </w:rPr>
        <w:t xml:space="preserve">“A trustee is bound … to keep clear and accurate accounts of the trust-property”</w:t>
      </w:r>
      <w:r>
        <w:t xml:space="preserve">; </w:t>
      </w:r>
      <w:r>
        <w:rPr>
          <w:rStyle w:val="Citation"/>
        </w:rPr>
        <w:t xml:space="preserve">“Where the trustee wrongfully mingles the trust-property with his own, the beneficiary is entitled to a charge on the whole fund”</w:t>
      </w:r>
      <w:r>
        <w:t xml:space="preserve">.</w:t>
      </w:r>
    </w:p>
    <w:p>
      <w:r>
        <w:t xml:space="preserve">R.N. Gosain v. Yashpal Dhir, (1992) 4 SCC 683, para 10: </w:t>
      </w:r>
      <w:r>
        <w:rPr>
          <w:rStyle w:val="Citation"/>
        </w:rPr>
        <w:t xml:space="preserve">“Law does not permit a person to both approbate and reprobate”</w:t>
      </w:r>
      <w:r>
        <w:t xml:space="preserve">.</w:t>
      </w:r>
    </w:p>
    <w:p>
      <w:r>
        <w:t xml:space="preserve">Gopal Krishnaji Ketkar v. Mohamed Haji Latif, AIR 1968 SC 1413; BSA 2023, s. 119 ill. (g): </w:t>
      </w:r>
      <w:r>
        <w:rPr>
          <w:rStyle w:val="Citation"/>
        </w:rPr>
        <w:t xml:space="preserve">“evidence which could be and is not produced would … be unfavourable to the person who withholds it”</w:t>
      </w:r>
      <w:r>
        <w:t xml:space="preserve">.</w:t>
      </w:r>
    </w:p>
    <w:p w14:paraId="4D791B5C" w14:textId="77777777" w:rsidR="00F446E1" w:rsidRDefault="00000000" w:rsidP="00024534">
      <w:pPr>
        <w:pStyle w:val="Heading4"/>
      </w:pPr>
      <w:r>
        <w:t>Application</w:t>
      </w:r>
    </w:p>
    <w:p>
      <w:r>
        <w:t xml:space="preserve">D2’s Minutes Book, 12.2.2020, P. 4, Item 4: </w:t>
      </w:r>
      <w:r>
        <w:rPr>
          <w:rStyle w:val="Citation"/>
        </w:rPr>
        <w:t xml:space="preserve">“Resolved that Managing Trustee shall maintain the books of Accounts of Alummoottil Tharavad Trust as and when any amount is received and spent by the Trust.”</w:t>
      </w:r>
      <w:r>
        <w:t xml:space="preserve">.</w:t>
      </w:r>
    </w:p>
    <w:p>
      <w:r>
        <w:t xml:space="preserve">D2’s Minutes Book, 24.01.2026, P. 19, Item 4: </w:t>
      </w:r>
      <w:r>
        <w:rPr>
          <w:rStyle w:val="Citation"/>
        </w:rPr>
        <w:t xml:space="preserve">“Amount deposited / loan by the members till date to Sivadasan Channar’s personal account … Dr. Ravindran Channar - Rs 1,00,00,000 …”</w:t>
      </w:r>
      <w:r>
        <w:t xml:space="preserve"> and </w:t>
      </w:r>
      <w:r>
        <w:rPr>
          <w:rStyle w:val="Citation"/>
        </w:rPr>
        <w:t xml:space="preserve">“Construction Trust account - Rs 2,16,000”</w:t>
      </w:r>
      <w:r>
        <w:t xml:space="preserve"> [the six entries total ₹3,27,76,997; the ₹1 crore depositor </w:t>
      </w:r>
      <w:r>
        <w:rPr>
          <w:rStyle w:val="Citation"/>
        </w:rPr>
        <w:t xml:space="preserve">“passed away on 27/8/2022”</w:t>
      </w:r>
      <w:r>
        <w:t xml:space="preserve"> (P. 5, 10.11.2022)].</w:t>
      </w:r>
    </w:p>
    <w:p>
      <w:r>
        <w:t xml:space="preserve">D2’s Minutes Book, 24.01.2026, P. 20, Item 4: </w:t>
      </w:r>
      <w:r>
        <w:rPr>
          <w:rStyle w:val="Citation"/>
        </w:rPr>
        <w:t xml:space="preserve">“Amount spent till date for construction and renovation is Rs 11,45,85,900/- and for purchasing land Rs 54,00,000/-.”</w:t>
      </w:r>
      <w:r>
        <w:t xml:space="preserve"> [= ₹11,99,85,900].</w:t>
      </w:r>
    </w:p>
    <w:p>
      <w:r>
        <w:t xml:space="preserve">D2’s Minutes Book, 24.01.2026, P. 18 Item 2 &amp; P. 20 Item 4: loan </w:t>
      </w:r>
      <w:r>
        <w:rPr>
          <w:rStyle w:val="Citation"/>
        </w:rPr>
        <w:t xml:space="preserve">“Rs 45,00,000/-”</w:t>
      </w:r>
      <w:r>
        <w:t xml:space="preserve"> and repayment </w:t>
      </w:r>
      <w:r>
        <w:rPr>
          <w:rStyle w:val="Citation"/>
        </w:rPr>
        <w:t xml:space="preserve">“… a total amount of Rs 1,01,86,000/- …”</w:t>
      </w:r>
      <w:r>
        <w:t xml:space="preserve"> [= ₹1,46,86,000].</w:t>
      </w:r>
    </w:p>
    <w:p>
      <w:r>
        <w:t xml:space="preserve">D2’s Affidavit in I.A. 2/2025, 16.02.2026, Paras 4–7 &amp; 13: </w:t>
      </w:r>
      <w:r>
        <w:rPr>
          <w:rStyle w:val="Citation"/>
        </w:rPr>
        <w:t xml:space="preserve">“the Trust has not received any funding … no books of account were maintained”</w:t>
      </w:r>
      <w:r>
        <w:t xml:space="preserve">; </w:t>
      </w:r>
      <w:r>
        <w:rPr>
          <w:rStyle w:val="Citation"/>
        </w:rPr>
        <w:t xml:space="preserve">“operated as a dormant entity”</w:t>
      </w:r>
      <w:r>
        <w:t xml:space="preserve">; </w:t>
      </w:r>
      <w:r>
        <w:rPr>
          <w:rStyle w:val="Citation"/>
        </w:rPr>
        <w:t xml:space="preserve">“spending all the funds from his personal accounts”</w:t>
      </w:r>
      <w:r>
        <w:t xml:space="preserve">; </w:t>
      </w:r>
      <w:r>
        <w:rPr>
          <w:rStyle w:val="Citation"/>
        </w:rPr>
        <w:t xml:space="preserve">“the financial statement, ledgers, Audit report … is not available for production”</w:t>
      </w:r>
      <w:r>
        <w:t xml:space="preserve">.</w:t>
      </w:r>
    </w:p>
    <w:p>
      <w:r>
        <w:t xml:space="preserve">D2’s Objection in I.A. 5/2026, 19.06.2026, Para 7: </w:t>
      </w:r>
      <w:r>
        <w:rPr>
          <w:rStyle w:val="Citation"/>
        </w:rPr>
        <w:t xml:space="preserve">“produced all documents … before the Hon’ble court”</w:t>
      </w:r>
      <w:r>
        <w:t xml:space="preserve">.</w:t>
      </w:r>
    </w:p>
    <w:p w14:paraId="6F772340" w14:textId="77777777" w:rsidR="00F446E1" w:rsidRDefault="00000000" w:rsidP="00024534">
      <w:pPr>
        <w:pStyle w:val="Heading4"/>
      </w:pPr>
      <w:r>
        <w:t>Conclusion</w:t>
      </w:r>
    </w:p>
    <w:p>
      <w:pPr>
        <w:suppressAutoHyphens w:val="0"/>
      </w:pPr>
      <w:r>
        <w:t xml:space="preserve">D2-ന്റെ മിനിറ്റ്സ് ബുക്കിൽ ₹3.28 കോടി അംഗനിക്ഷേപവും ₹11.99 കോടി ചെലവും ₹1.46 കോടി കടബാധ്യതയും രേഖപ്പെടുത്തിയിരിക്കെ, 19 വർഷം കണക്കുകൾ സൂക്ഷിച്ചില്ലെന്നും എല്ലാ രേഖകളും ഹാജരാക്കിയെന്നും സത്യം ചെയ്തത് prima facie അസത്യവും കോടതിയോടുള്ള വഞ്ചനയുമാണ്. ട്രുസ്റ്റിന്റെ മിനിറ്റ്സിൽ രേഖപ്പെടുത്തിയ ഈ തുകകളെ “പ്രൈവറ്റ്” എന്നോ “ശിവദാസന്റേത്” എന്നോ “ട്രുസ്റ്റിന്റെത് അല്ലെന്നോ” വിശേഷിപ്പിക്കാൻ ഇനി D2വിനെ അനുവദിക്കരുത്.</w:t>
      </w:r>
    </w:p>
    <w:p>
      <w:pPr>
        <w:suppressAutoHyphens w:val="0"/>
      </w:pPr>
      <w:r>
        <w:t xml:space="preserve">നിർമ്മാണച്ചെലവുകളുടെ GST ബില്ലുകളും മിനിറ്റ്സിൽ പറയുന്ന നിർമ്മാണക്കണക്കും കൺസ്ട്രക്ഷൻ അക്കൗണ്ട് രേഖയും ഹാജരാക്കിയിട്ടില്ല. ₹1 കോടി നിക്ഷേപിച്ച ഡോ. രവീന്ദ്രൻ 2022-ൽ മരിച്ചതിനാൽ, ആ തുക എങ്ങനെ വിനിയോഗിച്ചുവെന്ന് തെളിയിക്കാനാകാതെ അവശേഷിക്കുന്നു; വാണിജ്യം തുടങ്ങുംമുമ്പേ ഹാജരാക്കാതിരുന്ന ഈ കണക്കുകൾ വ്യക്തമാക്കുംമുമ്പ് പുതിയ വാണിജ്യ ഇടപാടുകൾ നടത്താൻ അനുവദിച്ചാൽ, രണ്ടും വേർതിരിച്ചറിയാൻ ഓരോ ദിവസം കഴിയുന്തോറും കൂടുതൽ ദുഷ്കരമാകുന്നു—irreparable damages ദിനംപ്രതിയാണ് വർധിക്കുന്നത്.</w:t>
      </w:r>
    </w:p>
    <w:p>
      <w:pPr>
        <w:suppressAutoHyphens w:val="0"/>
      </w:pPr>
      <w:r>
        <w:t xml:space="preserve">പൂർണമായ കണക്കുകളും GST ബില്ലുകളും ഹാജരാക്കുന്നതുവരെ പുതിയ വാണിജ്യം നടത്താതിരിക്കുന്നത് ട്രസ്റ്റിന്റെ നിയമപരവും സാമ്പത്തിക താൽപര്യത്തെയും ബാധിക്കില്ല; അതിനാണ് balance of convenience പൂർണമായും.</w:t>
      </w:r>
    </w:p>
    <w:p w14:paraId="6235B449" w14:textId="77777777" w:rsidR="00C6009A" w:rsidRDefault="00000000">
      <w:pPr>
        <w:spacing w:after="0"/>
        <w:rPr>
          <w:sz w:val="2"/>
          <w:szCs w:val="2"/>
        </w:rPr>
      </w:pPr>
      <w:r>
        <w:rPr>
          <w:sz w:val="2"/>
          <w:szCs w:val="2"/>
        </w:rPr>
        <w:br w:type="page"/>
      </w:r>
    </w:p>
    <w:tbl>
      <w:tblPr>
        <w:tblW w:w="86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7190"/>
      </w:tblGrid>
      <w:tr w:rsidR="006714F3" w14:paraId="3D50E283" w14:textId="77777777">
        <w:trPr>
          <w:cantSplit/>
          <w:trHeight w:val="18"/>
        </w:trPr>
        <w:tc>
          <w:tcPr>
            <w:tcW w:w="1450" w:type="dxa"/>
            <w:tcBorders>
              <w:right w:val="single" w:sz="18" w:space="0" w:color="000000"/>
            </w:tcBorders>
            <w:tcMar>
              <w:top w:w="0" w:type="dxa"/>
              <w:right w:w="140" w:type="dxa"/>
            </w:tcMar>
          </w:tcPr>
          <w:p w14:paraId="415248CF" w14:textId="77777777" w:rsidR="00F446E1" w:rsidRDefault="00000000" w:rsidP="00024534">
            <w:pPr>
              <w:pStyle w:val="LargeLetter"/>
            </w:pPr>
            <w:r>
              <w:lastRenderedPageBreak/>
              <w:t>L</w:t>
            </w:r>
          </w:p>
        </w:tc>
        <w:tc>
          <w:tcPr>
            <w:tcW w:w="7190" w:type="dxa"/>
            <w:tcMar>
              <w:top w:w="0" w:type="dxa"/>
              <w:left w:w="200" w:type="dxa"/>
            </w:tcMar>
          </w:tcPr>
          <w:p w14:paraId="0CC00372" w14:textId="77777777" w:rsidR="00F446E1" w:rsidRDefault="00000000" w:rsidP="00024534">
            <w:pPr>
              <w:suppressAutoHyphens w:val="0"/>
              <w:pStyle w:val="Heading1"/>
            </w:pPr>
            <w:r>
              <w:t xml:space="preserve">കേസിനിടെ കോടതിയറിയാതെ വീണ്ടും ഭേദഗതി; മുക്കിയ ലീസ്; ഇനിയും പൊങ്ങാത്ത കരാറുകൾ</w:t>
            </w:r>
          </w:p>
        </w:tc>
      </w:tr>
    </w:tbl>
    <w:p w14:paraId="630E9AF9" w14:textId="77777777" w:rsidR="00F446E1" w:rsidRDefault="00000000" w:rsidP="00024534">
      <w:pPr>
        <w:pStyle w:val="Heading4"/>
      </w:pPr>
      <w:r>
        <w:t>Issue</w:t>
      </w:r>
    </w:p>
    <w:p w14:paraId="425C2510" w14:textId="77777777" w:rsidR="00F446E1" w:rsidRDefault="00000000" w:rsidP="00024534">
      <w:pPr>
        <w:suppressAutoHyphens w:val="0"/>
      </w:pPr>
      <w:r>
        <w:t xml:space="preserve">ബാധ്യത സൃഷ്ടിച്ച രേഖകൾ ഹാജരാക്കാതെ </w:t>
      </w:r>
      <w:r>
        <w:rPr>
          <w:rStyle w:val="Citation"/>
        </w:rPr>
        <w:t>“nothing material has been concealed”</w:t>
      </w:r>
      <w:r>
        <w:t xml:space="preserve"> എന്ന് സത്യം ചെയ്ത D2 സൃഷ്ടിച്ച pendente lite encumbrances, trial വരെ Trust property-യിൽ നിലനിൽക്കാമോ?</w:t>
      </w:r>
    </w:p>
    <w:p w14:paraId="6406B226" w14:textId="77777777" w:rsidR="00F446E1" w:rsidRDefault="00D275CB" w:rsidP="00024534">
      <w:pPr>
        <w:pStyle w:val="Heading4"/>
      </w:pPr>
      <w:r>
        <w:t>Rule</w:t>
      </w:r>
    </w:p>
    <w:p>
      <w:r>
        <w:t xml:space="preserve">Indian Trusts Act, 1882, s. 11: </w:t>
      </w:r>
      <w:r>
        <w:rPr>
          <w:rStyle w:val="Citation"/>
        </w:rPr>
        <w:t xml:space="preserve">“except as modified by the consent of all the beneficiaries”</w:t>
      </w:r>
      <w:r>
        <w:t xml:space="preserve">.</w:t>
      </w:r>
    </w:p>
    <w:p>
      <w:r>
        <w:t xml:space="preserve">Transfer of Property Act, 1882, s. 52 [pendente lite transfers bind every taker, including the unjoined lessee].</w:t>
      </w:r>
    </w:p>
    <w:p>
      <w:r>
        <w:t xml:space="preserve">S.P. Chengalvaraya Naidu v. Jagannath, (1994) 1 SCC 1: withholding a vital document is </w:t>
      </w:r>
      <w:r>
        <w:rPr>
          <w:rStyle w:val="Citation"/>
        </w:rPr>
        <w:t xml:space="preserve">“playing fraud on the court”</w:t>
      </w:r>
      <w:r>
        <w:t xml:space="preserve">.</w:t>
      </w:r>
    </w:p>
    <w:p w14:paraId="7C99D0CE" w14:textId="77777777" w:rsidR="00F446E1" w:rsidRDefault="00000000" w:rsidP="00024534">
      <w:pPr>
        <w:pStyle w:val="Heading4"/>
      </w:pPr>
      <w:r>
        <w:t>Application</w:t>
      </w:r>
    </w:p>
    <w:p>
      <w:r>
        <w:t xml:space="preserve">Plaint, O.S. 214/2025, 12.06.2025, Prayer 3: </w:t>
      </w:r>
      <w:r>
        <w:rPr>
          <w:rStyle w:val="Citation"/>
        </w:rPr>
        <w:t xml:space="preserve">“Declare Amendment Deeds … void for lack of unanimous consent”</w:t>
      </w:r>
      <w:r>
        <w:t xml:space="preserve">.</w:t>
      </w:r>
    </w:p>
    <w:p>
      <w:r>
        <w:t xml:space="preserve">D2’s Affidavit in I.A. 2/2025, 16.02.2026, Para 9: </w:t>
      </w:r>
      <w:r>
        <w:rPr>
          <w:rStyle w:val="Citation"/>
        </w:rPr>
        <w:t xml:space="preserve">“amendment deed No.66/IV/2022, 17/IV/2024, 38/IV/2026”</w:t>
      </w:r>
      <w:r>
        <w:t xml:space="preserve"> [the challenged act repeated during the suit].</w:t>
      </w:r>
    </w:p>
    <w:p>
      <w:r>
        <w:t xml:space="preserve">D2’s Minutes Book, 24.01.2026, Pp. 15–17: </w:t>
      </w:r>
      <w:r>
        <w:rPr>
          <w:rStyle w:val="Citation"/>
        </w:rPr>
        <w:t xml:space="preserve">“A ten year lease Agreement for a monthly rent of Rs 60,000/- for MEDA”</w:t>
      </w:r>
      <w:r>
        <w:t xml:space="preserve"> and </w:t>
      </w:r>
      <w:r>
        <w:rPr>
          <w:rStyle w:val="Citation"/>
        </w:rPr>
        <w:t xml:space="preserve">“… with effect from 1/3/2026”</w:t>
      </w:r>
      <w:r>
        <w:t xml:space="preserve"> [commerce now in its fifth month].</w:t>
      </w:r>
    </w:p>
    <w:p>
      <w:r>
        <w:t xml:space="preserve">D2’s Minutes Book, 24.01.2026, Pp. 16–17: </w:t>
      </w:r>
      <w:r>
        <w:rPr>
          <w:rStyle w:val="Citation"/>
        </w:rPr>
        <w:t xml:space="preserve">“11 months agreement for Rs 50,000/month for Nalukettu”</w:t>
      </w:r>
      <w:r>
        <w:t xml:space="preserve"> and </w:t>
      </w:r>
      <w:r>
        <w:rPr>
          <w:rStyle w:val="Citation"/>
        </w:rPr>
        <w:t xml:space="preserve">“… Rs 40,000/month for landed properties”</w:t>
      </w:r>
      <w:r>
        <w:t xml:space="preserve"> [with Nelpura and Staff Quarters at ₹25,000 each - none produced; the ten-year ₹60,000 authority was for the Meda alone].</w:t>
      </w:r>
    </w:p>
    <w:p>
      <w:r>
        <w:t xml:space="preserve">Lease Deed No. 3237/2025, 27.10.2025: </w:t>
      </w:r>
      <w:r>
        <w:rPr>
          <w:rStyle w:val="Citation"/>
        </w:rPr>
        <w:t xml:space="preserve">“The land having an extent of 29.42 Ares … together with the building being Meda … (hereinafter together referred to also as the ‘said property’)”</w:t>
      </w:r>
      <w:r>
        <w:t xml:space="preserve">; </w:t>
      </w:r>
      <w:r>
        <w:rPr>
          <w:rStyle w:val="Citation"/>
        </w:rPr>
        <w:t xml:space="preserve">“SIGNED AND DELIVERED FOR: ALUMMOOTTIL THARAVAD TRUST by its Managing Trustee”</w:t>
      </w:r>
      <w:r>
        <w:t xml:space="preserve"> - alone [the whole 29.42 Ares at the ₹60,000 the Minutes record for the Meda alone; executed pendente lite - the suit filed 12.06.2025].</w:t>
      </w:r>
    </w:p>
    <w:p>
      <w:r>
        <w:t xml:space="preserve">D2’s Affidavit in I.A. 5/2025, 16.02.2026, Para 14: </w:t>
      </w:r>
      <w:r>
        <w:rPr>
          <w:rStyle w:val="Citation"/>
        </w:rPr>
        <w:t xml:space="preserve">“nothing material has been concealed”</w:t>
      </w:r>
      <w:r>
        <w:t xml:space="preserve">.</w:t>
      </w:r>
    </w:p>
    <w:p>
      <w:r>
        <w:t xml:space="preserve">D2’s Objection in I.A. 6/2026, 19.06.2026, Para 3: </w:t>
      </w:r>
      <w:r>
        <w:rPr>
          <w:rStyle w:val="Citation"/>
        </w:rPr>
        <w:t xml:space="preserve">“these are the only available document”</w:t>
      </w:r>
      <w:r>
        <w:t xml:space="preserve"> [MOA, AGOP, four leases unproduced].</w:t>
      </w:r>
    </w:p>
    <w:p w14:paraId="7010A77F" w14:textId="77777777" w:rsidR="00F446E1" w:rsidRDefault="00000000" w:rsidP="00024534">
      <w:pPr>
        <w:pStyle w:val="Heading4"/>
      </w:pPr>
      <w:r>
        <w:t>Conclusion</w:t>
      </w:r>
    </w:p>
    <w:p>
      <w:pPr>
        <w:suppressAutoHyphens w:val="0"/>
      </w:pPr>
      <w:r>
        <w:t xml:space="preserve">നിയമവിരുദ്ധമെന്ന് ചോദ്യംചെയ്യുന്ന ഭേദഗതികൾ തടയാനുള്ള കേസ് നടക്കുമ്പോൾതന്നെ D2 ട്രസ്റ്റ് ആധാരം വീണ്ടും തിരുത്തി—38/IV/2026. തുടർന്ന് MOA, AGOP കരാർ, മേടയുടെ പാട്ടം, മറ്റ് നാല് പാട്ടക്കരാറുകൾ എന്നിവ ഉണ്ടാക്കിയെങ്കിലും, വാണിജ്യം അഞ്ചാം മാസത്തിലെത്തിയിട്ടും ഹാജരാക്കിയത് മേടയുടെ പാട്ടക്കരാർ മാത്രം; എല്ലാം ഹാജരാക്കിയെന്ന സത്യം prima facie കോടതിയോടുള്ള വഞ്ചനയാണ്.</w:t>
      </w:r>
    </w:p>
    <w:p>
      <w:pPr>
        <w:suppressAutoHyphens w:val="0"/>
      </w:pPr>
      <w:r>
        <w:t xml:space="preserve">മിനിറ്റ്സ് പ്രകാരം ₹60,000-ന് പത്തുവർഷത്തേക്ക് പാട്ടത്തിന് അനുവദിച്ചത് മേട മാത്രമാണ്; എന്നാൽ രജിസ്റ്റർ ചെയ്ത ഏക പാട്ടാധാരത്തിൽ മേടയ്ക്കപ്പുറമുള്ള വസ്തുക്കളും അതേ ₹60,000-ന് ഉൾപ്പെടുത്തിയിരിക്കുന്നു—അധികാരം ലംഘിച്ച (ultra vires) ഈ പാട്ടം prima facie അസാധുവാണ്.</w:t>
      </w:r>
    </w:p>
    <w:p>
      <w:pPr>
        <w:suppressAutoHyphens w:val="0"/>
      </w:pPr>
      <w:r>
        <w:t xml:space="preserve">സംരംഭം എന്ത്, വരുമാനം, മൂലധനച്ചെലവ്, നടത്തിപ്പുചെലവ്, ലാഭവിഹിതം എന്നിവ എത്ര, മേട മാത്രമാണോ മറ്റു സ്വത്തുകളും ബാധിച്ചിട്ടുണ്ടോ—ഇതൊന്നും beneficiary-യെയോ കോടതിയെയോ അറിയിച്ചിട്ടില്ല. പ്രവർത്തനം തുടരുന്ന ഓരോ ദിവസവും public entry-യും പുതിയ ബാധ്യതകളും പുറത്തുള്ളവരുടെ കൈവശവും അവകാശങ്ങളും ഉറയ്ക്കുന്നു; പിന്നീട് രേഖകൾ ഹാജരാക്കിയാലും അവ ഇല്ലാതാകില്ല—irreparable damages ദിനംപ്രതി വർധിക്കുന്നു.</w:t>
      </w:r>
    </w:p>
    <w:p>
      <w:pPr>
        <w:suppressAutoHyphens w:val="0"/>
      </w:pPr>
      <w:r>
        <w:t xml:space="preserve">D2-ന്റെയും രഹസ്യമായി കൊണ്ടുവന്ന pendente lite lessee-യുടെയും താൽപര്യങ്ങൾ ട്രസ്റ്റിന്റേതല്ല; പൂർണവിവരങ്ങൾ ഹാജരാക്കുന്നതുവരെ വാണിജ്യം നിർത്തുന്നത് ട്രസ്റ്റിന് നിയമപരമായ നഷ്ടമുണ്ടാക്കില്ല. സംരക്ഷിക്കേണ്ടത് ട്രസ്റ്റിനെയും beneficiary-കളെയുമാണ്; അതിനാൽ balance of convenience പൂർണമായും നിർത്തിവയ്ക്കുന്നതിനാണ്—prayer (b)-യിലെ restraint അതിനാണ്.</w:t>
      </w:r>
    </w:p>
    <w:p w14:paraId="18A6DE37" w14:textId="77777777" w:rsidR="00C6009A" w:rsidRDefault="00000000">
      <w:pPr>
        <w:spacing w:after="0"/>
        <w:rPr>
          <w:sz w:val="2"/>
          <w:szCs w:val="2"/>
        </w:rPr>
      </w:pPr>
      <w:r>
        <w:rPr>
          <w:sz w:val="2"/>
          <w:szCs w:val="2"/>
        </w:rPr>
        <w:br w:type="page"/>
      </w:r>
    </w:p>
    <w:tbl>
      <w:tblPr>
        <w:tblW w:w="86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7190"/>
      </w:tblGrid>
      <w:tr w:rsidR="006714F3" w14:paraId="5AABF5BC" w14:textId="77777777">
        <w:trPr>
          <w:cantSplit/>
          <w:trHeight w:val="18"/>
        </w:trPr>
        <w:tc>
          <w:tcPr>
            <w:tcW w:w="1450" w:type="dxa"/>
            <w:tcBorders>
              <w:right w:val="single" w:sz="18" w:space="0" w:color="000000"/>
            </w:tcBorders>
            <w:tcMar>
              <w:top w:w="0" w:type="dxa"/>
              <w:right w:w="140" w:type="dxa"/>
            </w:tcMar>
          </w:tcPr>
          <w:p w14:paraId="54A7B38E" w14:textId="77777777" w:rsidR="00F446E1" w:rsidRDefault="00000000" w:rsidP="00024534">
            <w:pPr>
              <w:pStyle w:val="LargeLetter"/>
            </w:pPr>
            <w:r>
              <w:lastRenderedPageBreak/>
              <w:t>M</w:t>
            </w:r>
          </w:p>
        </w:tc>
        <w:tc>
          <w:tcPr>
            <w:tcW w:w="7190" w:type="dxa"/>
            <w:tcMar>
              <w:top w:w="0" w:type="dxa"/>
              <w:left w:w="200" w:type="dxa"/>
            </w:tcMar>
          </w:tcPr>
          <w:p w14:paraId="40A024AE" w14:textId="77777777" w:rsidR="00F446E1" w:rsidRDefault="00000000" w:rsidP="00024534">
            <w:pPr>
              <w:suppressAutoHyphens w:val="0"/>
              <w:pStyle w:val="Heading1"/>
            </w:pPr>
            <w:r>
              <w:t xml:space="preserve">14 വർഷത്തെ വാടക; മാനേജിങ് ട്രസ്റ്റിയുടെ “കണക്കില്ലാത്ത കടം” വീട്ടാൻ</w:t>
            </w:r>
          </w:p>
        </w:tc>
      </w:tr>
    </w:tbl>
    <w:p w14:paraId="11FF14ED" w14:textId="77777777" w:rsidR="00F446E1" w:rsidRDefault="00000000" w:rsidP="00024534">
      <w:pPr>
        <w:pStyle w:val="Heading4"/>
      </w:pPr>
      <w:r>
        <w:t>Issue</w:t>
      </w:r>
    </w:p>
    <w:p w14:paraId="01D28398" w14:textId="77777777" w:rsidR="00F446E1" w:rsidRDefault="00000000" w:rsidP="00024534">
      <w:pPr>
        <w:suppressAutoHyphens w:val="0"/>
      </w:pPr>
      <w:r>
        <w:t>ഒരു കണക്കുമില്ലാതെ ₹1.46 കോടി Trust കടമാണെന്ന് അവകാശപ്പെട്ട്, rent ആദ്യം തനിക്കും മകനും contractor-ക്കും തിരിച്ചടയ്ക്കാൻ D2-യെ അനുവദിക്കാമോ?</w:t>
      </w:r>
    </w:p>
    <w:p w14:paraId="040F1A3E" w14:textId="77777777" w:rsidR="00F446E1" w:rsidRDefault="00000000" w:rsidP="00024534">
      <w:pPr>
        <w:pStyle w:val="Heading4"/>
      </w:pPr>
      <w:r>
        <w:t>Rule</w:t>
      </w:r>
    </w:p>
    <w:p>
      <w:r>
        <w:t xml:space="preserve">Trust Deed 2/IV/2007, cl. 4 [trust money in a joint account, jointly operated].</w:t>
      </w:r>
    </w:p>
    <w:p>
      <w:r>
        <w:t xml:space="preserve">Indian Trusts Act, 1882, s. 51: </w:t>
      </w:r>
      <w:r>
        <w:rPr>
          <w:rStyle w:val="Citation"/>
        </w:rPr>
        <w:t xml:space="preserve">“A trustee may not use or deal with the trust-property for his own profit”</w:t>
      </w:r>
      <w:r>
        <w:t xml:space="preserve">.</w:t>
      </w:r>
    </w:p>
    <w:p>
      <w:r>
        <w:t xml:space="preserve">Khasgi Trust v. Vipin Dhanaitkar, 2022 INSC 738, para 45: </w:t>
      </w:r>
      <w:r>
        <w:rPr>
          <w:rStyle w:val="Citation"/>
        </w:rPr>
        <w:t xml:space="preserve">“The Trustees are not expected to deal with the Trust property, as if it is their private property.”</w:t>
      </w:r>
    </w:p>
    <w:p w14:paraId="6EE31A2A" w14:textId="77777777" w:rsidR="00F446E1" w:rsidRDefault="00000000" w:rsidP="00024534">
      <w:pPr>
        <w:pStyle w:val="Heading4"/>
      </w:pPr>
      <w:r>
        <w:t>Application</w:t>
      </w:r>
    </w:p>
    <w:p>
      <w:r>
        <w:t xml:space="preserve">D2’s Minutes Book: 24.01.2026, P. 19, Item 4: </w:t>
      </w:r>
      <w:r>
        <w:rPr>
          <w:rStyle w:val="Citation"/>
        </w:rPr>
        <w:t xml:space="preserve">“Mr. Rameshchandran Channar - Rs 90,00,000”</w:t>
      </w:r>
      <w:r>
        <w:t xml:space="preserve">; 12.01.2024, P. 11: </w:t>
      </w:r>
      <w:r>
        <w:rPr>
          <w:rStyle w:val="Citation"/>
        </w:rPr>
        <w:t xml:space="preserve">“1 crore rupees taken as loan for his son and transferred it to the construction account”</w:t>
      </w:r>
      <w:r>
        <w:t xml:space="preserve">; 24.01.2026, P. 20: </w:t>
      </w:r>
      <w:r>
        <w:rPr>
          <w:rStyle w:val="Citation"/>
        </w:rPr>
        <w:t xml:space="preserve">“Rs 93,86,000/-”</w:t>
      </w:r>
      <w:r>
        <w:t xml:space="preserve">.</w:t>
      </w:r>
    </w:p>
    <w:p>
      <w:r>
        <w:t xml:space="preserve">D2’s Minutes Book, 24.01.2026, P. 20, Item 4: </w:t>
      </w:r>
      <w:r>
        <w:rPr>
          <w:rStyle w:val="Citation"/>
        </w:rPr>
        <w:t xml:space="preserve">“Resolved to pay back the amounts spent by Rameshchandran Channar, an amount of Rs 93,86,000/-, and Bimal R. Madhavan Rs 8,00,000/-, a total amount of Rs 1,01,86,000/- from the Trust account (Rental and profit share received from the tenant in a phased manner.)”</w:t>
      </w:r>
      <w:r>
        <w:t xml:space="preserve"> [Bimal - D2’s son].</w:t>
      </w:r>
    </w:p>
    <w:p>
      <w:r>
        <w:t xml:space="preserve">D2’s Minutes Book, 24.01.2026, P. 18, Item 2: </w:t>
      </w:r>
      <w:r>
        <w:rPr>
          <w:rStyle w:val="Citation"/>
        </w:rPr>
        <w:t xml:space="preserve">“Rs 45,00,000/- … with 7% simple interest from the rent credited to the Trust account”</w:t>
      </w:r>
      <w:r>
        <w:t xml:space="preserve"> [+ ₹1,01,86,000 = ₹1,46,86,000; interest ₹3,15,000 a year = 44% of the rent; repayment exceeds two decades even with the entire rent].</w:t>
      </w:r>
    </w:p>
    <w:p>
      <w:r>
        <w:t xml:space="preserve">Lease Deed No. 3237/2025, 27.10.2025, Clause 3: </w:t>
      </w:r>
      <w:r>
        <w:rPr>
          <w:rStyle w:val="Citation"/>
        </w:rPr>
        <w:t xml:space="preserve">“The monthly rent is at the rate of Rs. 60,000/- (Rupees Sixty Thousand only) per month”</w:t>
      </w:r>
      <w:r>
        <w:t xml:space="preserve"> [₹7,20,000 a year - 0.6% of the spend; the sole income document produced].</w:t>
      </w:r>
    </w:p>
    <w:p>
      <w:r>
        <w:t xml:space="preserve">D2’s Minutes Book, 24.01.2026, P. 20, Item 4: </w:t>
      </w:r>
      <w:r>
        <w:rPr>
          <w:rStyle w:val="Citation"/>
        </w:rPr>
        <w:t xml:space="preserve">“Amount spent till date for construction and renovation is Rs 11,45,85,900/- and for purchasing land Rs 54,00,000/-.”</w:t>
      </w:r>
      <w:r>
        <w:t xml:space="preserve"> [= ₹11,99,85,900].</w:t>
      </w:r>
    </w:p>
    <w:p>
      <w:r>
        <w:t xml:space="preserve">D2’s Affidavit in I.A. 5/2025, 16.02.2026, Paras 4–5: </w:t>
      </w:r>
      <w:r>
        <w:rPr>
          <w:rStyle w:val="Citation"/>
        </w:rPr>
        <w:t xml:space="preserve">“no books of account were maintained”</w:t>
      </w:r>
      <w:r>
        <w:t xml:space="preserve">.</w:t>
      </w:r>
    </w:p>
    <w:p>
      <w:r>
        <w:t xml:space="preserve">D2’s Objection in I.A. 6/2026, 19.06.2026, Para 3: </w:t>
      </w:r>
      <w:r>
        <w:rPr>
          <w:rStyle w:val="Citation"/>
        </w:rPr>
        <w:t xml:space="preserve">“these are the only available document”</w:t>
      </w:r>
      <w:r>
        <w:t xml:space="preserve"> [no audited account, no GST bill, no AGOP agreement].</w:t>
      </w:r>
    </w:p>
    <w:p w14:paraId="1E78EF62" w14:textId="77777777" w:rsidR="00F446E1" w:rsidRDefault="00000000" w:rsidP="00024534">
      <w:pPr>
        <w:pStyle w:val="Heading4"/>
      </w:pPr>
      <w:r>
        <w:t>Conclusion</w:t>
      </w:r>
    </w:p>
    <w:p>
      <w:pPr>
        <w:suppressAutoHyphens w:val="0"/>
      </w:pPr>
      <w:r>
        <w:t xml:space="preserve">കണക്കോ തെളിവോ ഇല്ലാത്തതും തുക മാറിപ്പറയുന്നതുമായ—D2-ന്റെ മാത്രം അവകാശവാദം ഒരിടത്ത് ₹90 ലക്ഷം, മറ്റൊരിടത്ത് ₹1 കോടി, പിന്നീട് ₹93.86 ലക്ഷം—D2-ന്റെയും മകന്റെയും കരാറുകാരന്റെയും ₹1.46 കോടി കടം തീർക്കാൻ ട്രസ്റ്റിന്റെ വാടക മാറ്റിവച്ചത് prima facie പണം ഊറ്റാനുള്ള പദ്ധതിയാണ്.</w:t>
      </w:r>
    </w:p>
    <w:p>
      <w:pPr>
        <w:suppressAutoHyphens w:val="0"/>
      </w:pPr>
      <w:r>
        <w:t xml:space="preserve">ഹാജരാക്കിയ ഏക വരുമാനരേഖ 27.10.2025-ലെ മേടയുടെ പാട്ടക്കരാറാണ്. അതനുസരിച്ച് ₹11.99 കോടി ചെലവാക്കിയ സ്വത്തിന് മാസം ₹60,000—വർഷം ₹7.2 ലക്ഷം—മാത്രമാണ് വാടക: ചെലവിന്റെ 0.6%. എന്നാൽ കരാറുകാരന് 7% പലിശ നൽകുന്നതിനാൽ വാടകയുടെ 44% പലിശയ്ക്കുപോകും; മുഴുവൻ കടം തീരാൻ രണ്ട് പതിറ്റാണ്ടിലേറെയും വേണം. പരിശോധിച്ച കണക്കോ GST ബില്ലോ ലാഭവിഹിതക്കരാറോ ഇല്ലാതെ എല്ലാം വെളിപ്പെടുത്തിയെന്ന സത്യം കോടതിയോടുള്ള വഞ്ചനയാണ്.</w:t>
      </w:r>
    </w:p>
    <w:p>
      <w:pPr>
        <w:suppressAutoHyphens w:val="0"/>
      </w:pPr>
      <w:r>
        <w:t xml:space="preserve">പാട്ടം തുടരുന്ന ഓരോ മാസവും വാടക ഈ തെളിയിക്കാത്ത കടങ്ങൾ തീർക്കാൻ പോകും; നൽകിയ പണം തിരിച്ചുപിടിക്കാനാവാതെ വരാം—irreparable damages വർധിക്കുന്നു. ഈ പണം സൃഷ്ടിക്കുന്നത് വാണിജ്യപ്രവർത്തനമാണ്; വാണിജ്യം തുടരാൻ അനുവദിക്കാതിരുന്നാൽ ഈ തെളിയിക്കാത്ത അടവുകൾക്ക് commercial operation-നെ ന്യായീകരണമായി ഉപയോഗിക്കാനാവില്ല—യഥാർഥ കടമുണ്ടെങ്കിൽ പരിശോധനയ്ക്കുശേഷം നൽകാം. അതിനാൽ വാണിജ്യം തടയുന്നതിനാണ് balance of convenience പൂർണമായും.</w:t>
      </w:r>
    </w:p>
    <w:p w14:paraId="0DC79029" w14:textId="77777777" w:rsidR="00C6009A" w:rsidRDefault="00000000">
      <w:pPr>
        <w:spacing w:after="0"/>
        <w:rPr>
          <w:sz w:val="2"/>
          <w:szCs w:val="2"/>
        </w:rPr>
      </w:pPr>
      <w:r>
        <w:rPr>
          <w:sz w:val="2"/>
          <w:szCs w:val="2"/>
        </w:rPr>
        <w:br w:type="page"/>
      </w:r>
    </w:p>
    <w:tbl>
      <w:tblPr>
        <w:tblW w:w="86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7190"/>
      </w:tblGrid>
      <w:tr w:rsidR="006714F3" w14:paraId="340EBAD9" w14:textId="77777777">
        <w:trPr>
          <w:cantSplit/>
          <w:trHeight w:val="18"/>
        </w:trPr>
        <w:tc>
          <w:tcPr>
            <w:tcW w:w="1450" w:type="dxa"/>
            <w:tcBorders>
              <w:right w:val="single" w:sz="18" w:space="0" w:color="000000"/>
            </w:tcBorders>
            <w:tcMar>
              <w:top w:w="0" w:type="dxa"/>
              <w:right w:w="140" w:type="dxa"/>
            </w:tcMar>
          </w:tcPr>
          <w:p w14:paraId="3BF2388E" w14:textId="77777777" w:rsidR="00F446E1" w:rsidRDefault="00000000" w:rsidP="00024534">
            <w:pPr>
              <w:pStyle w:val="LargeLetter"/>
            </w:pPr>
            <w:r>
              <w:lastRenderedPageBreak/>
              <w:t>N</w:t>
            </w:r>
          </w:p>
        </w:tc>
        <w:tc>
          <w:tcPr>
            <w:tcW w:w="7190" w:type="dxa"/>
            <w:tcMar>
              <w:top w:w="0" w:type="dxa"/>
              <w:left w:w="200" w:type="dxa"/>
            </w:tcMar>
          </w:tcPr>
          <w:p w14:paraId="56707A40" w14:textId="77777777" w:rsidR="00F446E1" w:rsidRDefault="00000000" w:rsidP="00024534">
            <w:pPr>
              <w:suppressAutoHyphens w:val="0"/>
              <w:pStyle w:val="Heading1"/>
            </w:pPr>
            <w:r>
              <w:t xml:space="preserve">₹15.34 കോടി കണക്കിലുള്ള ട്രസ്റ്റ് സ്വത്ത്; വാർഷിക വാടക ₹7.2 ലക്ഷം—ഭീമമായ വരവ് 0.47%</w:t>
            </w:r>
          </w:p>
        </w:tc>
      </w:tr>
    </w:tbl>
    <w:p w14:paraId="3422E941" w14:textId="77777777" w:rsidR="00F446E1" w:rsidRDefault="00000000" w:rsidP="00024534">
      <w:pPr>
        <w:pStyle w:val="Heading4"/>
      </w:pPr>
      <w:r>
        <w:t>Issue</w:t>
      </w:r>
    </w:p>
    <w:p>
      <w:pPr>
        <w:suppressAutoHyphens w:val="0"/>
      </w:pPr>
      <w:r>
        <w:t xml:space="preserve">81 ദിവസം പ്രായമുള്ള കമ്പനിക്ക്, ഒരു selection രേഖയുമില്ലാതെ, ₹3.88 കോടിയുടെ ഭൂമിയടക്കം 1.8% വരുമാനത്തിന്, deposit-ഉം വർധനയുമില്ലാതെ പത്തുവർഷത്തേക്ക് നൽകിയ ഈ lease Trust-ന്റെ താൽപര്യത്തിനാണോ?</w:t>
      </w:r>
    </w:p>
    <w:p w14:paraId="580B8CBE" w14:textId="77777777" w:rsidR="00F446E1" w:rsidRDefault="00000000" w:rsidP="00024534">
      <w:pPr>
        <w:pStyle w:val="Heading4"/>
      </w:pPr>
      <w:r>
        <w:t>Rule</w:t>
      </w:r>
    </w:p>
    <w:p>
      <w:r>
        <w:t xml:space="preserve">Trust Deed 2/IV/2007, recital: </w:t>
      </w:r>
      <w:r>
        <w:rPr>
          <w:rStyle w:val="Citation"/>
        </w:rPr>
        <w:t xml:space="preserve">“renovate and protect the existing heritage buildings and age old Nalukettu”</w:t>
      </w:r>
      <w:r>
        <w:t xml:space="preserve">.</w:t>
      </w:r>
    </w:p>
    <w:p>
      <w:r>
        <w:t xml:space="preserve">Indian Trusts Act, 1882, s. 15: </w:t>
      </w:r>
      <w:r>
        <w:rPr>
          <w:rStyle w:val="Citation"/>
        </w:rPr>
        <w:t xml:space="preserve">“man of ordinary prudence … if it were his own”</w:t>
      </w:r>
      <w:r>
        <w:t xml:space="preserve">; s. 36, proviso: </w:t>
      </w:r>
      <w:r>
        <w:rPr>
          <w:rStyle w:val="Citation"/>
        </w:rPr>
        <w:t xml:space="preserve">“the best yearly rent that can be reasonably obtained”</w:t>
      </w:r>
      <w:r>
        <w:t xml:space="preserve">.</w:t>
      </w:r>
    </w:p>
    <w:p w14:paraId="3AFCB597" w14:textId="77777777" w:rsidR="00F446E1" w:rsidRDefault="00000000" w:rsidP="00024534">
      <w:pPr>
        <w:pStyle w:val="Heading4"/>
      </w:pPr>
      <w:r>
        <w:t>Application</w:t>
      </w:r>
    </w:p>
    <w:p>
      <w:r>
        <w:t xml:space="preserve">D2’s Minutes Book, 24.01.2026, P. 15: </w:t>
      </w:r>
      <w:r>
        <w:rPr>
          <w:rStyle w:val="Citation"/>
        </w:rPr>
        <w:t xml:space="preserve">“the following nine (9) parties were contacted”</w:t>
      </w:r>
      <w:r>
        <w:t xml:space="preserve"> [no inquiry record, comparison or evaluation produced].</w:t>
      </w:r>
    </w:p>
    <w:p>
      <w:r>
        <w:t xml:space="preserve">Lease Deed No. 3237/2025, Clause 22: </w:t>
      </w:r>
      <w:r>
        <w:rPr>
          <w:rStyle w:val="Citation"/>
        </w:rPr>
        <w:t xml:space="preserve">“The fair value for the scheduled land is Rs.13,20,000/- per Are”</w:t>
      </w:r>
      <w:r>
        <w:t xml:space="preserve"> and </w:t>
      </w:r>
      <w:r>
        <w:rPr>
          <w:rStyle w:val="Citation"/>
        </w:rPr>
        <w:t xml:space="preserve">“the total rent to be paid is Rs. 72,00,000/-”</w:t>
      </w:r>
      <w:r>
        <w:t xml:space="preserve"> [29.42 Ares = ₹3,88,34,400; ₹7,20,000 a year].</w:t>
      </w:r>
    </w:p>
    <w:p>
      <w:r>
        <w:t xml:space="preserve">Lease Deed No. 3237/2025, all 23 clauses: no escalation provision, no security deposit.</w:t>
      </w:r>
    </w:p>
    <w:p>
      <w:r>
        <w:t xml:space="preserve">D2’s Minutes Book, 24.01.2026, P. 20, Item 4: </w:t>
      </w:r>
      <w:r>
        <w:rPr>
          <w:rStyle w:val="Citation"/>
        </w:rPr>
        <w:t xml:space="preserve">“Amount spent till date for construction and renovation is Rs 11,45,85,900/- and for purchasing land Rs 54,00,000/-.”</w:t>
      </w:r>
      <w:r>
        <w:t xml:space="preserve"> [= ₹11,99,85,900].</w:t>
      </w:r>
    </w:p>
    <w:p>
      <w:r>
        <w:t xml:space="preserve">D2’s Minutes Book, 24.01.2026, Pp. 16–17: </w:t>
      </w:r>
      <w:r>
        <w:rPr>
          <w:rStyle w:val="Citation"/>
        </w:rPr>
        <w:t xml:space="preserve">“A business Collaboration agreement for 5% in the adjustable gross operating profit (AGOP) in the financial year for 10 year”</w:t>
      </w:r>
      <w:r>
        <w:t xml:space="preserve"> [sic] and </w:t>
      </w:r>
      <w:r>
        <w:rPr>
          <w:rStyle w:val="Citation"/>
        </w:rPr>
        <w:t xml:space="preserve">“MOA with Sreemoolavasam Wellness &amp; Leisure Retreats”</w:t>
      </w:r>
      <w:r>
        <w:t xml:space="preserve"> [both recorded, neither produced].</w:t>
      </w:r>
    </w:p>
    <w:p>
      <w:r>
        <w:t xml:space="preserve">D2’s Counter-Affidavits, 16.02.2026 - I.A. 2 Para 14, I.A. 5 Para 14, I.A. 9 Para 10, identically: </w:t>
      </w:r>
      <w:r>
        <w:rPr>
          <w:rStyle w:val="Citation"/>
        </w:rPr>
        <w:t xml:space="preserve">“nothing material has been concealed”</w:t>
      </w:r>
      <w:r>
        <w:t xml:space="preserve"> [sworn three times in one day].</w:t>
      </w:r>
    </w:p>
    <w:p>
      <w:r>
        <w:t xml:space="preserve">D2’s Production Memo and List, 18.02.2026: four deeds, one passbook, five resolution copies, one DFO letter [four months after the lease - no lease deed, MOA, AGOP or Minutes Book].</w:t>
      </w:r>
    </w:p>
    <w:p>
      <w:r>
        <w:t xml:space="preserve">D2’s Objection in I.A. 6/2026, 19.06.2026, Para 3: </w:t>
      </w:r>
      <w:r>
        <w:rPr>
          <w:rStyle w:val="Citation"/>
        </w:rPr>
        <w:t xml:space="preserve">“these are the only available document”</w:t>
      </w:r>
      <w:r>
        <w:t xml:space="preserve"> [no valuation, no tender, no market comparison].</w:t>
      </w:r>
    </w:p>
    <w:p>
      <w:r>
        <w:t xml:space="preserve">Plaint, O.S. 214/2025, 12.06.2025: </w:t>
      </w:r>
      <w:r>
        <w:rPr>
          <w:rStyle w:val="Citation"/>
        </w:rPr>
        <w:t xml:space="preserve">“resided in the northwestern bedroom on the ground floor of the Meda until age twelve”</w:t>
      </w:r>
      <w:r>
        <w:t xml:space="preserve"> [the beneficiary’s family home].</w:t>
      </w:r>
    </w:p>
    <w:p>
      <w:r>
        <w:t xml:space="preserve">D2’s Minutes Book, Pp. 19–20, Item 5, 24.01.2026: </w:t>
      </w:r>
      <w:r>
        <w:rPr>
          <w:rStyle w:val="Citation"/>
        </w:rPr>
        <w:t xml:space="preserve">“Resolved to hand over to the tenant, old furniture … after restoration”</w:t>
      </w:r>
      <w:r>
        <w:t xml:space="preserve"> [the movables in the company’s possession].</w:t>
      </w:r>
    </w:p>
    <w:p w14:paraId="44032021" w14:textId="77777777" w:rsidR="00F446E1" w:rsidRDefault="00000000" w:rsidP="00024534">
      <w:pPr>
        <w:pStyle w:val="Heading4"/>
      </w:pPr>
      <w:r>
        <w:t>Conclusion</w:t>
      </w:r>
    </w:p>
    <w:p>
      <w:pPr>
        <w:suppressAutoHyphens w:val="0"/>
      </w:pPr>
      <w:r>
        <w:t xml:space="preserve">D2-ന്റെ സ്വന്തം കണക്കുകളിൽ ₹11.46 കോടി നിർമ്മാണ-നവീകരണച്ചെലവും ₹3.88 കോടി ഭൂമിയുടെ fair value-ഉം—ആകെ ₹15.34 കോടി—ബാധിക്കുന്ന property-യുടെ പത്തുവർഷത്തെ മുഴുവൻ disclosed വാടക ₹72 ലക്ഷം മാത്രം: വാർഷികം 0.47%, ജംഗമവസ്തുക്കളുടെ മൂല്യം പൂജ്യമായി കണക്കാക്കിയിട്ടുപോലും. Security deposit-ഓ വാടകവർധനയോ valuation-ഓ selection രേഖകളോ ഇല്ലാത്ത ഈ lease, “best yearly rent” ഉറപ്പാക്കേണ്ട section 36 ബാധ്യതയുടെ prima facie ലംഘനമാണ്.</w:t>
      </w:r>
    </w:p>
    <w:p>
      <w:pPr>
        <w:suppressAutoHyphens w:val="0"/>
      </w:pPr>
      <w:r>
        <w:t xml:space="preserve">“എല്ലാ രേഖകളും ഹാജരാക്കി” എന്ന D2-ന്റെ സത്യപ്രസ്താവനപ്രകാരം കോടതിക്കുമുമ്പിലുള്ള ഏക consideration പ്രതിമാസം ₹60,000 ആണ്; Minutes-ൽ പരാമർശിച്ച MOA-യും 5% AGOP കരാറും ഹാജരാക്കിയിട്ടില്ല. അതിനാൽ കൂടുതൽ consideration ഉണ്ടെന്ന വാദം material രേഖകളുടെ non-disclosure തെളിയിക്കുകയും adverse inference ക്ഷണിക്കുകയും ചെയ്യും.</w:t>
      </w:r>
    </w:p>
    <w:p>
      <w:pPr>
        <w:suppressAutoHyphens w:val="0"/>
      </w:pPr>
      <w:r>
        <w:t xml:space="preserve">Stay അനുവദിച്ചാൽ മാറ്റിവയ്ക്കപ്പെടുന്നത് D2 വെളിപ്പെടുത്തിയ ₹60,000 പ്രതിമാസവരുമാനം മാത്രം—പണംകൊണ്ട് പരിഹരിക്കാവുന്ന നഷ്ടം. Stay നിഷേധിച്ചാൽ beneficiary-യുടെ കുടുംബഭവനവും ജംഗമവസ്തുക്കളും പുറത്തുള്ള കമ്പനിയുടെ കൈവശം പത്തുവർഷത്തേക്ക് തുടരുകയും, beneficiary-യുടെ അനുഭവാവകാശവും അന്തിമവിധിയുടെ ഫലപ്രാപ്തിയും നഷ്ടപ്പെടുകയും ചെയ്യും. ആ നഷ്ടം പണംകൊണ്ട് പരിഹരിക്കാനാവില്ല. അതിനാൽ balance of convenience പൂർണമായും വാണിജ്യവൽക്കരണം നിർത്തിവയ്ക്കുന്നതിനാണ്.</w:t>
      </w:r>
    </w:p>
    <w:p w14:paraId="2877E599" w14:textId="77777777" w:rsidR="00C6009A" w:rsidRDefault="00000000">
      <w:pPr>
        <w:spacing w:after="0"/>
        <w:rPr>
          <w:sz w:val="2"/>
          <w:szCs w:val="2"/>
        </w:rPr>
      </w:pPr>
      <w:r>
        <w:rPr>
          <w:sz w:val="2"/>
          <w:szCs w:val="2"/>
        </w:rPr>
        <w:br w:type="page"/>
      </w:r>
    </w:p>
    <w:tbl>
      <w:tblPr>
        <w:tblW w:w="86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7190"/>
      </w:tblGrid>
      <w:tr w:rsidR="006714F3" w14:paraId="7A7B2863" w14:textId="77777777">
        <w:trPr>
          <w:cantSplit/>
          <w:trHeight w:val="18"/>
        </w:trPr>
        <w:tc>
          <w:tcPr>
            <w:tcW w:w="1450" w:type="dxa"/>
            <w:tcBorders>
              <w:right w:val="single" w:sz="18" w:space="0" w:color="000000"/>
            </w:tcBorders>
            <w:tcMar>
              <w:top w:w="0" w:type="dxa"/>
              <w:right w:w="140" w:type="dxa"/>
            </w:tcMar>
          </w:tcPr>
          <w:p w14:paraId="1AAFD9C7" w14:textId="77777777" w:rsidR="00F446E1" w:rsidRDefault="00000000" w:rsidP="00024534">
            <w:pPr>
              <w:pStyle w:val="LargeLetter"/>
            </w:pPr>
            <w:r>
              <w:lastRenderedPageBreak/>
              <w:t>O</w:t>
            </w:r>
          </w:p>
        </w:tc>
        <w:tc>
          <w:tcPr>
            <w:tcW w:w="7190" w:type="dxa"/>
            <w:tcMar>
              <w:top w:w="0" w:type="dxa"/>
              <w:left w:w="200" w:type="dxa"/>
            </w:tcMar>
          </w:tcPr>
          <w:p w14:paraId="67426DCC" w14:textId="77777777" w:rsidR="00F446E1" w:rsidRDefault="00000000" w:rsidP="00024534">
            <w:pPr>
              <w:suppressAutoHyphens w:val="0"/>
              <w:pStyle w:val="Heading1"/>
            </w:pPr>
            <w:r>
              <w:t xml:space="preserve">125-വർഷ മേടയിൽ തിരുമ്മലിനായി “ട്രീറ്റ്മെന്റ് ബ്ലോക്ക്”</w:t>
            </w:r>
          </w:p>
        </w:tc>
      </w:tr>
    </w:tbl>
    <w:p w14:paraId="61C952C7" w14:textId="77777777" w:rsidR="00F446E1" w:rsidRDefault="00000000" w:rsidP="00024534">
      <w:pPr>
        <w:pStyle w:val="Heading4"/>
      </w:pPr>
      <w:r>
        <w:t>Issue</w:t>
      </w:r>
    </w:p>
    <w:p w14:paraId="03797D08" w14:textId="15279BBF" w:rsidR="00F446E1" w:rsidRDefault="00C80BB1" w:rsidP="00024534">
      <w:pPr>
        <w:suppressAutoHyphens w:val="0"/>
      </w:pPr>
      <w:r>
        <w:t>മൂന്ന് suits pending ആയിരിക്കെ മറച്ചുവച്ച lease നടപ്പാക്കി, 125-year-old Meda-യിൽ treatment block-ും partition-ും നിർമ്മിക്കാൻ D2-യെ അനുവദിക്കാമോ?</w:t>
      </w:r>
    </w:p>
    <w:p w14:paraId="66BE3C20" w14:textId="77777777" w:rsidR="00F446E1" w:rsidRDefault="00000000" w:rsidP="00024534">
      <w:pPr>
        <w:pStyle w:val="Heading4"/>
      </w:pPr>
      <w:r>
        <w:t>Rule</w:t>
      </w:r>
    </w:p>
    <w:p>
      <w:r>
        <w:t xml:space="preserve">Trust Deed 2/IV/2007: </w:t>
      </w:r>
      <w:r>
        <w:rPr>
          <w:rStyle w:val="Citation"/>
        </w:rPr>
        <w:t xml:space="preserve">“protect the existing heritage buildings and age old Nalukettu”</w:t>
      </w:r>
      <w:r>
        <w:t xml:space="preserve"> [the 1906 Meda and the 1624 Nalukettu - Panchayath building records].</w:t>
      </w:r>
    </w:p>
    <w:p>
      <w:r>
        <w:t xml:space="preserve">Indian Trusts Act, 1882, ss. 18 &amp; 61: </w:t>
      </w:r>
      <w:r>
        <w:rPr>
          <w:rStyle w:val="Citation"/>
        </w:rPr>
        <w:t xml:space="preserve">“destructive or permanently injurious”</w:t>
      </w:r>
      <w:r>
        <w:t xml:space="preserve">; </w:t>
      </w:r>
      <w:r>
        <w:rPr>
          <w:rStyle w:val="Citation"/>
        </w:rPr>
        <w:t xml:space="preserve">“contemplated or probable breach”</w:t>
      </w:r>
      <w:r>
        <w:t xml:space="preserve">.</w:t>
      </w:r>
    </w:p>
    <w:p>
      <w:r>
        <w:t xml:space="preserve">CPC O. XXXIX R. 1(a): </w:t>
      </w:r>
      <w:r>
        <w:rPr>
          <w:rStyle w:val="Citation"/>
        </w:rPr>
        <w:t xml:space="preserve">“wasted, damaged”</w:t>
      </w:r>
      <w:r>
        <w:t xml:space="preserve">.</w:t>
      </w:r>
    </w:p>
    <w:p>
      <w:r>
        <w:t xml:space="preserve">Maharwal Khewaji Trust v. Baldev Dass, (2004) 8 SCC 488, para 10: </w:t>
      </w:r>
      <w:r>
        <w:rPr>
          <w:rStyle w:val="Citation"/>
        </w:rPr>
        <w:t xml:space="preserve">“unless and untill [sic] a case of irreparable loss or damage is made out … the court should not permit the nature of the property being changed”</w:t>
      </w:r>
      <w:r>
        <w:t xml:space="preserve">.</w:t>
      </w:r>
    </w:p>
    <w:p w14:paraId="7149ECEB" w14:textId="77777777" w:rsidR="00F446E1" w:rsidRDefault="00000000" w:rsidP="00024534">
      <w:pPr>
        <w:pStyle w:val="Heading4"/>
      </w:pPr>
      <w:r>
        <w:t>Application</w:t>
      </w:r>
    </w:p>
    <w:p>
      <w:r>
        <w:t xml:space="preserve">D2’s Minutes Book, 24.01.2026: P. 17: </w:t>
      </w:r>
      <w:r>
        <w:rPr>
          <w:rStyle w:val="Citation"/>
        </w:rPr>
        <w:t xml:space="preserve">“accepted”</w:t>
      </w:r>
      <w:r>
        <w:t xml:space="preserve">; </w:t>
      </w:r>
      <w:r>
        <w:rPr>
          <w:rStyle w:val="Citation"/>
        </w:rPr>
        <w:t xml:space="preserve">“to build a treatment block and to make a partition in the ground floor of Meda”</w:t>
      </w:r>
      <w:r>
        <w:t xml:space="preserve"> [permanent works]; P. 20, Item 6: </w:t>
      </w:r>
      <w:r>
        <w:rPr>
          <w:rStyle w:val="Citation"/>
        </w:rPr>
        <w:t xml:space="preserve">“OS 84/24, OS 243/23, OS 214/25”</w:t>
      </w:r>
      <w:r>
        <w:t xml:space="preserve"> [three pending suits; “OS 243/23” sic for O.S. 243/2024].</w:t>
      </w:r>
    </w:p>
    <w:p>
      <w:r>
        <w:t xml:space="preserve">D2’s Objection, 19.06.2026: Para 11: </w:t>
      </w:r>
      <w:r>
        <w:rPr>
          <w:rStyle w:val="Citation"/>
        </w:rPr>
        <w:t xml:space="preserve">“Lessee shall not make any additions, alterations or improvements in the trust building of permanent nature”</w:t>
      </w:r>
      <w:r>
        <w:t xml:space="preserve">; Para 3: </w:t>
      </w:r>
      <w:r>
        <w:rPr>
          <w:rStyle w:val="Citation"/>
        </w:rPr>
        <w:t xml:space="preserve">“They have already inaugurated their business activities in the leased property”</w:t>
      </w:r>
      <w:r>
        <w:t xml:space="preserve">.</w:t>
      </w:r>
    </w:p>
    <w:p>
      <w:r>
        <w:t xml:space="preserve">D2’s Affidavit in I.A. 2/2025, 16.02.2026, Paras 6 &amp; 13: </w:t>
      </w:r>
      <w:r>
        <w:rPr>
          <w:rStyle w:val="Citation"/>
        </w:rPr>
        <w:t xml:space="preserve">“operated as a dormant entity”</w:t>
      </w:r>
      <w:r>
        <w:t xml:space="preserve">; </w:t>
      </w:r>
      <w:r>
        <w:rPr>
          <w:rStyle w:val="Citation"/>
        </w:rPr>
        <w:t xml:space="preserve">“the financial statement, ledgers, Audit report … is not available for production”</w:t>
      </w:r>
      <w:r>
        <w:t xml:space="preserve"> [23 days after the 24.01.2026 meeting].</w:t>
      </w:r>
    </w:p>
    <w:p>
      <w:r>
        <w:t xml:space="preserve">I.A. 5/2025 (production of documents and accounts), filed 09.10.2025 [the lease was registered 18 days later, 27.10.2025].</w:t>
      </w:r>
    </w:p>
    <w:p>
      <w:r>
        <w:t xml:space="preserve">D2’s Production Memo and List, 18.02.2026: four deeds, one passbook, five resolution copies, one DFO letter [four months after the lease - no lease deed, MOA, AGOP or Minutes Book].</w:t>
      </w:r>
    </w:p>
    <w:p>
      <w:r>
        <w:t xml:space="preserve">D2’s I.A. 7/2026, 18.05.2026: the lease copy and the original Minutes Book first produced.</w:t>
      </w:r>
    </w:p>
    <w:p>
      <w:r>
        <w:t xml:space="preserve">Lease Deed No. 3237/2025, Clause 13(b): </w:t>
      </w:r>
      <w:r>
        <w:rPr>
          <w:rStyle w:val="Citation"/>
        </w:rPr>
        <w:t xml:space="preserve">“hand over the said property in the condition in which it had originally taken possession of the same”</w:t>
      </w:r>
      <w:r>
        <w:t xml:space="preserve">.</w:t>
      </w:r>
    </w:p>
    <w:p w14:paraId="65CD1FA5" w14:textId="77777777" w:rsidR="00F446E1" w:rsidRDefault="00000000" w:rsidP="00024534">
      <w:pPr>
        <w:pStyle w:val="Heading4"/>
      </w:pPr>
      <w:r>
        <w:t>Conclusion</w:t>
      </w:r>
    </w:p>
    <w:p>
      <w:pPr>
        <w:suppressAutoHyphens w:val="0"/>
      </w:pPr>
      <w:r>
        <w:t xml:space="preserve">സ്ഥിരസ്വഭാവമുള്ള മാറ്റങ്ങൾ വരുത്തില്ലെന്ന പാട്ടവ്യവസ്ഥയെ D2 തന്നെ 19.06.2026-ലെ സത്യപ്രസ്താവനയോടെയുള്ള ഒബ്ജക്ഷനിൽ ആശ്രയിക്കുന്നു. എന്നാൽ ചികിത്സാ ബ്ലോക്ക് നിർമ്മിക്കാനും മേടയുടെ താഴത്തെ നിലയിൽ കിടപ്പുമുറിക്കായി വിഭജനം നടത്താനും 24.01.2026-ലെ യോഗം അനുമതി നൽകിയതായി D2 തന്നെ 18.05.2026-ൽ ഹാജരാക്കിയ മിനിറ്റ്സ് തെളിയിക്കുന്നു. ആ യോഗത്തിൽ പങ്കെടുത്ത D2, വെറും 23 ദിവസത്തിനുശേഷം, 16.02.2026-ൽ രേഖകൾ “not available for production” എന്നും ട്രസ്റ്റ് നിഷ്ക്രിയമെന്നും (dormant) സത്യം ചെയ്തു.</w:t>
      </w:r>
    </w:p>
    <w:p>
      <w:pPr>
        <w:suppressAutoHyphens w:val="0"/>
      </w:pPr>
      <w:r>
        <w:t xml:space="preserve">രേഖകൾ ഹാജരാക്കാനുള്ള IA-കൾ ഫയൽ ചെയ്ത് 18 ദിവസത്തിനകം പാട്ടം ഉണ്ടാക്കുകയും പിന്നീട് നിർമ്മാണത്തിന് അനുമതി നൽകുകയും ചെയ്തിട്ടും, മൂന്ന് കേസുകൾ നിലനിൽക്കെ ഇവ രണ്ടും 18.05.2026 വരെ മറച്ചുവച്ചു. 1906-ൽ നിർമ്മിച്ച മേടയെയും 1624-ൽ നിർമ്മിച്ച നാലുകെട്ടിനെയും—“age old Nalukettu”—“renovate and protect” ചെയ്യണമെന്ന് മൂല ട്രസ്റ്റാധാരം 2/IV/2007 പ്രഖ്യാപിച്ച കടമയുടെ prima facie ലംഘനവും fraud on Court-ഉമാണിത്.</w:t>
      </w:r>
    </w:p>
    <w:p>
      <w:pPr>
        <w:suppressAutoHyphens w:val="0"/>
      </w:pPr>
      <w:r>
        <w:t xml:space="preserve">ഈ പൈതൃകക്കെട്ടിടങ്ങളുടെ യഥാർഥ ഘടകങ്ങൾ നശിച്ചാൽ പണംകൊണ്ട് വീണ്ടെടുക്കാനാവില്ല; അപ്പോൾ “originally taken possession” ചെയ്ത അതേ അവസ്ഥയിൽ തിരികെ നൽകണമെന്ന clause 13(b)-യും പാലിക്കാനാവില്ല. അതാണ് തുടരുന്ന irreparable injury. നിർമ്മാണം തടയുന്നത് D2 തന്നെ ഒബ്ജക്ഷനിൽ ആശ്രയിച്ച വിലക്ക് നടപ്പാക്കുക മാത്രമായതിനാൽ പ്രതികൾക്ക് നിയമപരമായ നഷ്ടമില്ല; balance of convenience നിർമ്മാണവും വിഭജനവും കെട്ടിടമാറ്റങ്ങളും ഉടൻ തടയുന്നതിനനുകൂലമാണ്.</w:t>
      </w:r>
    </w:p>
    <w:p w14:paraId="0D9BA56A" w14:textId="77777777" w:rsidR="00C6009A" w:rsidRDefault="00000000">
      <w:pPr>
        <w:spacing w:after="0"/>
        <w:rPr>
          <w:sz w:val="2"/>
          <w:szCs w:val="2"/>
        </w:rPr>
      </w:pPr>
      <w:r>
        <w:rPr>
          <w:sz w:val="2"/>
          <w:szCs w:val="2"/>
        </w:rPr>
        <w:br w:type="page"/>
      </w:r>
    </w:p>
    <w:tbl>
      <w:tblPr>
        <w:tblW w:w="86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7190"/>
      </w:tblGrid>
      <w:tr w:rsidR="006714F3" w14:paraId="76C4459B" w14:textId="77777777">
        <w:trPr>
          <w:cantSplit/>
          <w:trHeight w:val="18"/>
        </w:trPr>
        <w:tc>
          <w:tcPr>
            <w:tcW w:w="1450" w:type="dxa"/>
            <w:tcBorders>
              <w:right w:val="single" w:sz="18" w:space="0" w:color="000000"/>
            </w:tcBorders>
            <w:tcMar>
              <w:top w:w="0" w:type="dxa"/>
              <w:right w:w="140" w:type="dxa"/>
            </w:tcMar>
          </w:tcPr>
          <w:p w14:paraId="27258663" w14:textId="77777777" w:rsidR="00F446E1" w:rsidRDefault="00000000" w:rsidP="00024534">
            <w:pPr>
              <w:pStyle w:val="LargeLetter"/>
            </w:pPr>
            <w:r>
              <w:lastRenderedPageBreak/>
              <w:t>P</w:t>
            </w:r>
          </w:p>
        </w:tc>
        <w:tc>
          <w:tcPr>
            <w:tcW w:w="7190" w:type="dxa"/>
            <w:tcMar>
              <w:top w:w="0" w:type="dxa"/>
              <w:left w:w="200" w:type="dxa"/>
            </w:tcMar>
          </w:tcPr>
          <w:p w14:paraId="65A14440" w14:textId="77777777" w:rsidR="00F446E1" w:rsidRDefault="00000000" w:rsidP="00024534">
            <w:pPr>
              <w:suppressAutoHyphens w:val="0"/>
              <w:pStyle w:val="Heading1"/>
            </w:pPr>
            <w:r>
              <w:t xml:space="preserve">അമൂല്യ പുരാവസ്തുക്കൾ ആദ്യം പാട്ടക്കാരന്; ഇൻവെന്ററി പിന്നെ</w:t>
            </w:r>
          </w:p>
        </w:tc>
      </w:tr>
    </w:tbl>
    <w:p w14:paraId="62AF3CE6" w14:textId="77777777" w:rsidR="00F446E1" w:rsidRDefault="00000000" w:rsidP="00024534">
      <w:pPr>
        <w:pStyle w:val="Heading4"/>
      </w:pPr>
      <w:r>
        <w:t>Issue</w:t>
      </w:r>
    </w:p>
    <w:p w14:paraId="77C02B7A" w14:textId="0DA7F4A6" w:rsidR="00F446E1" w:rsidRDefault="00C80BB1" w:rsidP="00024534">
      <w:pPr>
        <w:suppressAutoHyphens w:val="0"/>
      </w:pPr>
      <w:r>
        <w:t>Inventory-ക്ക് മുമ്പേ Trust heirlooms pendente lite lessee-ക്ക് കൈമാറി, family heritage അതിന്റെ commercial identity ആയി market ചെയ്യാൻ അനുവദിച്ചത് founder’s object-ന്റെ diversion അല്ലേ?</w:t>
      </w:r>
    </w:p>
    <w:p w14:paraId="2250E50D" w14:textId="77777777" w:rsidR="00F446E1" w:rsidRDefault="00000000" w:rsidP="00024534">
      <w:pPr>
        <w:pStyle w:val="Heading4"/>
      </w:pPr>
      <w:r>
        <w:t>Rule</w:t>
      </w:r>
    </w:p>
    <w:p>
      <w:r>
        <w:t xml:space="preserve">Trust Deed 2/IV/2007, recital: </w:t>
      </w:r>
      <w:r>
        <w:rPr>
          <w:rStyle w:val="Citation"/>
        </w:rPr>
        <w:t xml:space="preserve">“fraternity among the members … Preserving heritage of the family”</w:t>
      </w:r>
      <w:r>
        <w:t xml:space="preserve"> and </w:t>
      </w:r>
      <w:r>
        <w:rPr>
          <w:rStyle w:val="Citation"/>
        </w:rPr>
        <w:t xml:space="preserve">“protect the existing heritage buildings and age old Nalukettu”</w:t>
      </w:r>
      <w:r>
        <w:t xml:space="preserve"> [the 1624 Nalukettu - Panchayath building records].</w:t>
      </w:r>
    </w:p>
    <w:p>
      <w:r>
        <w:t xml:space="preserve">Indian Trusts Act, 1882, ss. 15 &amp; 88: </w:t>
      </w:r>
      <w:r>
        <w:rPr>
          <w:rStyle w:val="Citation"/>
        </w:rPr>
        <w:t xml:space="preserve">“man of ordinary prudence … if it were his own”</w:t>
      </w:r>
      <w:r>
        <w:t xml:space="preserve">; </w:t>
      </w:r>
      <w:r>
        <w:rPr>
          <w:rStyle w:val="Citation"/>
        </w:rPr>
        <w:t xml:space="preserve">“pecuniary advantage”</w:t>
      </w:r>
      <w:r>
        <w:t xml:space="preserve">.</w:t>
      </w:r>
    </w:p>
    <w:p w14:paraId="262E9CB2" w14:textId="77777777" w:rsidR="00F446E1" w:rsidRDefault="00000000" w:rsidP="00024534">
      <w:pPr>
        <w:pStyle w:val="Heading4"/>
      </w:pPr>
      <w:r>
        <w:t>Application</w:t>
      </w:r>
    </w:p>
    <w:p>
      <w:r>
        <w:t xml:space="preserve">D2’s Minutes Book, Pp. 19–20, Item 5, 24.01.2026: </w:t>
      </w:r>
      <w:r>
        <w:rPr>
          <w:rStyle w:val="Citation"/>
        </w:rPr>
        <w:t xml:space="preserve">“Resolved to hand over to the tenant, old furniture … after restoration”</w:t>
      </w:r>
      <w:r>
        <w:t xml:space="preserve">; </w:t>
      </w:r>
      <w:r>
        <w:rPr>
          <w:rStyle w:val="Citation"/>
        </w:rPr>
        <w:t xml:space="preserve">“Inventorying … will be prepared and kept as records”</w:t>
      </w:r>
      <w:r>
        <w:t xml:space="preserve"> [no valuation, photograph, acknowledgment or item-wise record].</w:t>
      </w:r>
    </w:p>
    <w:p>
      <w:r>
        <w:t xml:space="preserve">Plaint, O.S. 214/2025, 12.06.2025, Para 14: </w:t>
      </w:r>
      <w:r>
        <w:rPr>
          <w:rStyle w:val="Citation"/>
        </w:rPr>
        <w:t xml:space="preserve">“the alarming absence of two wildlife heirlooms—a mounted wild bison skull and a pair of deer antlers”</w:t>
      </w:r>
      <w:r>
        <w:t xml:space="preserve"> and </w:t>
      </w:r>
      <w:r>
        <w:rPr>
          <w:rStyle w:val="Citation"/>
        </w:rPr>
        <w:t xml:space="preserve">“court inventories, such as O.S. 197/1983 from the Subordinate Court, Mavelikkara, subject to verification”</w:t>
      </w:r>
      <w:r>
        <w:t xml:space="preserve">.</w:t>
      </w:r>
    </w:p>
    <w:p>
      <w:r>
        <w:t xml:space="preserve">Marketing video permitted by D2: </w:t>
      </w:r>
      <w:r>
        <w:rPr>
          <w:rStyle w:val="Citation"/>
        </w:rPr>
        <w:t xml:space="preserve">“450 years”</w:t>
      </w:r>
      <w:r>
        <w:t xml:space="preserve"> [no Trust record or resolution authorises the claim; BSA 2023, s. 63(4) certificate to be produced].</w:t>
      </w:r>
    </w:p>
    <w:p>
      <w:r>
        <w:t xml:space="preserve">D2’s Objection in I.A. 5/2026, 19.06.2026, Para 11: </w:t>
      </w:r>
      <w:r>
        <w:rPr>
          <w:rStyle w:val="Citation"/>
        </w:rPr>
        <w:t xml:space="preserve">“permitted to use the said property only for its wellness and leisure retreat befitting its profile and protecting its legacy and heritage purpose”</w:t>
      </w:r>
      <w:r>
        <w:t xml:space="preserve">.</w:t>
      </w:r>
    </w:p>
    <w:p w14:paraId="1A2E1426" w14:textId="77777777" w:rsidR="00F446E1" w:rsidRDefault="00000000" w:rsidP="00024534">
      <w:pPr>
        <w:pStyle w:val="Heading4"/>
      </w:pPr>
      <w:r>
        <w:t>Conclusion</w:t>
      </w:r>
    </w:p>
    <w:p>
      <w:pPr>
        <w:suppressAutoHyphens w:val="0"/>
      </w:pPr>
      <w:r>
        <w:t xml:space="preserve">12.06.2025-ലെ plaint-ൽ രണ്ട് heirlooms ഇതിനകം കാണാതായതായി രേഖപ്പെടുത്തിയിട്ടും, inventory തയ്യാറാക്കുകയോ കോടതിയിൽ ഹാജരാക്കുകയോ ചെയ്യാതെ ശേഷിച്ച heirlooms lessee-ക്ക് കൈമാറിയത് prima facie breach of prudence ആണ്. കൈമാറ്റത്തിനുശേഷം inventory “will be prepared” എന്നാണ് Minutes തന്നെ രേഖപ്പെടുത്തുന്നത്. അതിനാൽ D2 ഇപ്പോൾ തയ്യാറാക്കുന്ന ex post inventory മാത്രം വിശ്വസനീയമല്ല. ഇതേ സ്വത്തിനെക്കുറിച്ചുള്ള Mavelikkara Sub Court O.S. 197/1983-ലെ court inventory-യുമായി—plaint ഖണ്ഡിക 14-ൽ സൂചിപ്പിച്ചതും പരിശോധനയ്ക്കു വിധേയവുമായത്—ഒത്തുനോക്കിയശേഷമേ കോടതി അത് സ്വീകരിക്കാവൂ. അതുവരെ heirlooms outsider commercial use-ലും public access-ലും തുടരാൻ D2 അനുവദിക്കരുത്; അല്ലെങ്കിൽ അവയുടെ provenance എന്നെന്നേക്കുമായി നഷ്ടപ്പെടുന്ന irreparable injury ഉണ്ടാകും.</w:t>
      </w:r>
    </w:p>
    <w:p>
      <w:pPr>
        <w:suppressAutoHyphens w:val="0"/>
      </w:pPr>
      <w:r>
        <w:t xml:space="preserve">കുടുംബപൈതൃകം സംരക്ഷിക്കാൻ രൂപീകരിച്ച Trust-ന്റെ “Alummoottil Tharavad”-നെ, lease-ലും GSTIN-ലും രേഖപ്പെട്ട lessee-യുടെ സ്വന്തം പേരും വീഡിയോയും website printout-ഉം (BSA s. 63(4) certificate ഹാജരാക്കും) തെളിയിക്കുന്നതുപോലെ, lessee സ്വന്തം 450-year-old Sreemoolavasam Tharavad എന്ന നിലയിൽ ആയി വിപണനം ചെയ്യുന്നു. സംരക്ഷിക്കേണ്ട കുടുംബത്തിന്റെ പേരുതന്നെ നീക്കി, അതിന്റെ നൂറ്റാണ്ടുകളുടെ ചരിത്രം—Panchayath രേഖപ്രകാരം 1624-ലെ Nalukettu ഉൾപ്പെടെ—stranger-company-യുടെ commercial identity ആക്കിയത് Trust-ന്റെ അടിസ്ഥാനലക്ഷ്യത്തിന്റെ prima facie diversion ആണ്. അതിനാൽ heirlooms-ന്റെ outsider കൈവശവും “Alummoottil” പൈതൃകത്തിന്റെ commercial rebranding-ഉം ഉടൻ തടയണം.</w:t>
      </w:r>
    </w:p>
    <w:p w14:paraId="2E003AF0" w14:textId="0A3123B3" w:rsidR="00C6009A" w:rsidRDefault="00000000" w:rsidP="00BD360A">
      <w:pPr>
        <w:rPr>
          <w:sz w:val="2"/>
          <w:szCs w:val="2"/>
        </w:rPr>
      </w:pPr>
      <w:r>
        <w:rPr>
          <w:sz w:val="2"/>
          <w:szCs w:val="2"/>
        </w:rPr>
        <w:br w:type="page"/>
      </w:r>
    </w:p>
    <w:tbl>
      <w:tblPr>
        <w:tblW w:w="86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7190"/>
      </w:tblGrid>
      <w:tr w:rsidR="006714F3" w14:paraId="5DCE637C" w14:textId="77777777">
        <w:trPr>
          <w:cantSplit/>
          <w:trHeight w:val="18"/>
        </w:trPr>
        <w:tc>
          <w:tcPr>
            <w:tcW w:w="1450" w:type="dxa"/>
            <w:tcBorders>
              <w:right w:val="single" w:sz="18" w:space="0" w:color="000000"/>
            </w:tcBorders>
            <w:tcMar>
              <w:top w:w="0" w:type="dxa"/>
              <w:right w:w="140" w:type="dxa"/>
            </w:tcMar>
          </w:tcPr>
          <w:p w14:paraId="59E1D071" w14:textId="77777777" w:rsidR="00F446E1" w:rsidRDefault="00000000" w:rsidP="00024534">
            <w:pPr>
              <w:pStyle w:val="LargeLetter"/>
            </w:pPr>
            <w:r>
              <w:lastRenderedPageBreak/>
              <w:t>Q</w:t>
            </w:r>
          </w:p>
        </w:tc>
        <w:tc>
          <w:tcPr>
            <w:tcW w:w="7190" w:type="dxa"/>
            <w:tcMar>
              <w:top w:w="0" w:type="dxa"/>
              <w:left w:w="200" w:type="dxa"/>
            </w:tcMar>
          </w:tcPr>
          <w:p w14:paraId="4706754A" w14:textId="77777777" w:rsidR="00F446E1" w:rsidRDefault="00000000" w:rsidP="00024534">
            <w:pPr>
              <w:suppressAutoHyphens w:val="0"/>
              <w:pStyle w:val="Heading1"/>
            </w:pPr>
            <w:r>
              <w:t xml:space="preserve">വീട്ടിൽ വളർന്ന ബെനിഫിഷ്യറി പുറത്ത്; പുതുമുഖ പാട്ടക്കാരൻ പത്തുവർഷം അകത്ത്</w:t>
            </w:r>
          </w:p>
        </w:tc>
      </w:tr>
    </w:tbl>
    <w:p w14:paraId="51CB7073" w14:textId="77777777" w:rsidR="00F446E1" w:rsidRDefault="00000000" w:rsidP="00024534">
      <w:pPr>
        <w:pStyle w:val="Heading4"/>
      </w:pPr>
      <w:r>
        <w:t>Issue</w:t>
      </w:r>
    </w:p>
    <w:p w14:paraId="04A5D4E8" w14:textId="43493CCD" w:rsidR="00F446E1" w:rsidRDefault="00571591" w:rsidP="00024534">
      <w:pPr>
        <w:suppressAutoHyphens w:val="0"/>
      </w:pPr>
      <w:r>
        <w:t xml:space="preserve">Beneficiary-യെ സ്വന്തം tharavad-ൽ നിന്ന് പുറത്താക്കി </w:t>
      </w:r>
      <w:r>
        <w:rPr>
          <w:rStyle w:val="Citation"/>
        </w:rPr>
        <w:t>“trespasser”</w:t>
      </w:r>
      <w:r>
        <w:t xml:space="preserve"> എന്ന് plead ചെയ്ത D2, പകരം private company-യെ ten-year commercial possession-ൽ പ്രതിഷ്ഠിച്ച് exclusion തുടരാനാകുമോ?</w:t>
      </w:r>
    </w:p>
    <w:p w14:paraId="68E575B0" w14:textId="77777777" w:rsidR="00F446E1" w:rsidRDefault="00000000" w:rsidP="00024534">
      <w:pPr>
        <w:pStyle w:val="Heading4"/>
      </w:pPr>
      <w:r>
        <w:t>Rule</w:t>
      </w:r>
    </w:p>
    <w:p>
      <w:r>
        <w:t xml:space="preserve">Trust Deed 2/IV/2007, p. 3: </w:t>
      </w:r>
      <w:r>
        <w:rPr>
          <w:rStyle w:val="Citation"/>
        </w:rPr>
        <w:t xml:space="preserve">“for the benefit of the members of the Alumoottil family who are the descendents of Alumoottil Chellamma Channathy”</w:t>
      </w:r>
      <w:r>
        <w:t xml:space="preserve"> [status by descent].</w:t>
      </w:r>
    </w:p>
    <w:p>
      <w:r>
        <w:t xml:space="preserve">Transfer of Property Act, 1882, s. 52 [any loss to a pendente lite taker is self-inflicted].</w:t>
      </w:r>
    </w:p>
    <w:p w14:paraId="59D7710D" w14:textId="77777777" w:rsidR="00F446E1" w:rsidRDefault="00000000" w:rsidP="00024534">
      <w:pPr>
        <w:pStyle w:val="Heading4"/>
      </w:pPr>
      <w:r>
        <w:t>Application</w:t>
      </w:r>
    </w:p>
    <w:p>
      <w:r>
        <w:t xml:space="preserve">D2’s Minutes Book, 24.01.2026: P. 20, Item 6: </w:t>
      </w:r>
      <w:r>
        <w:rPr>
          <w:rStyle w:val="Citation"/>
        </w:rPr>
        <w:t xml:space="preserve">“have to be terminated from the beneficiary status through legal means”</w:t>
      </w:r>
      <w:r>
        <w:t xml:space="preserve">; P. 17, Item 1: </w:t>
      </w:r>
      <w:r>
        <w:rPr>
          <w:rStyle w:val="Citation"/>
        </w:rPr>
        <w:t xml:space="preserve">“to start the commercial terms with effect from 1/3/2026”</w:t>
      </w:r>
      <w:r>
        <w:t xml:space="preserve"> [after the 03.12.2025 order].</w:t>
      </w:r>
    </w:p>
    <w:p>
      <w:r>
        <w:t xml:space="preserve">O.S. 243/2024 Plaint, 14.08.2024, Para 4: </w:t>
      </w:r>
      <w:r>
        <w:rPr>
          <w:rStyle w:val="Citation"/>
        </w:rPr>
        <w:t xml:space="preserve">“the defendant herein doesn’t have any connection with the plaintiff trust”</w:t>
      </w:r>
      <w:r>
        <w:t xml:space="preserve"> and </w:t>
      </w:r>
      <w:r>
        <w:rPr>
          <w:rStyle w:val="Citation"/>
        </w:rPr>
        <w:t xml:space="preserve">“constituted as per the registered deed No. 17/IV/2024”</w:t>
      </w:r>
      <w:r>
        <w:t xml:space="preserve"> [the Trust’s deed is 2/IV/2007].</w:t>
      </w:r>
    </w:p>
    <w:p>
      <w:r>
        <w:t xml:space="preserve">Plaint, O.S. 214/2025, 12.06.2025: </w:t>
      </w:r>
      <w:r>
        <w:rPr>
          <w:rStyle w:val="Citation"/>
        </w:rPr>
        <w:t xml:space="preserve">“On August 9, 2024, they physically attacked and barred the Plaintiff from his home.”</w:t>
      </w:r>
    </w:p>
    <w:p>
      <w:r>
        <w:t xml:space="preserve">FIR 574/2024, 10.08.2024 (D5’s complaint): records no entry.</w:t>
      </w:r>
    </w:p>
    <w:p>
      <w:r>
        <w:t xml:space="preserve">D5–D7’s Objection, 18.02.2026, Paras 2–3: </w:t>
      </w:r>
      <w:r>
        <w:rPr>
          <w:rStyle w:val="Citation"/>
        </w:rPr>
        <w:t xml:space="preserve">“have no connection with Alummoottil Tharavadu Trust”</w:t>
      </w:r>
      <w:r>
        <w:t xml:space="preserve">.</w:t>
      </w:r>
    </w:p>
    <w:p>
      <w:r>
        <w:t xml:space="preserve">Order dated 03.12.2025, I.A. 1/2024 in O.S. 243/2024, Paras 9–10: </w:t>
      </w:r>
      <w:r>
        <w:rPr>
          <w:rStyle w:val="Citation"/>
        </w:rPr>
        <w:t xml:space="preserve">“I am unable to accept the case of plaintiffs that defendant has no right over plaint schedule property”</w:t>
      </w:r>
      <w:r>
        <w:t xml:space="preserve">.</w:t>
      </w:r>
    </w:p>
    <w:p>
      <w:r>
        <w:t xml:space="preserve">D2’s Counter-Affidavits, 16.02.2026: </w:t>
      </w:r>
      <w:r>
        <w:rPr>
          <w:rStyle w:val="Citation"/>
        </w:rPr>
        <w:t xml:space="preserve">“The plaintiff is not a beneficiary to Alummoottil Taravad Trust”</w:t>
      </w:r>
      <w:r>
        <w:t xml:space="preserve"> and </w:t>
      </w:r>
      <w:r>
        <w:rPr>
          <w:rStyle w:val="Citation"/>
        </w:rPr>
        <w:t xml:space="preserve">“nothing material has been concealed”</w:t>
      </w:r>
      <w:r>
        <w:t xml:space="preserve"> [each sworn thrice: I.A. 2 &amp; 5 Paras 11 &amp; 14, I.A. 9 Paras 7 &amp; 10].</w:t>
      </w:r>
    </w:p>
    <w:p>
      <w:r>
        <w:t xml:space="preserve">Lease Deed No. 3237/2025, registered 27.10.2025 [pendente lite - the suit filed 12.06.2025].</w:t>
      </w:r>
    </w:p>
    <w:p>
      <w:r>
        <w:t xml:space="preserve">GST Registration at the property, effective 09.12.2025 (GSTIN 32ABQCS9416G1Z1).</w:t>
      </w:r>
    </w:p>
    <w:p w14:paraId="5102F1AE" w14:textId="77777777" w:rsidR="00F446E1" w:rsidRDefault="00000000" w:rsidP="00024534">
      <w:pPr>
        <w:pStyle w:val="Heading4"/>
      </w:pPr>
      <w:r>
        <w:t>Conclusion</w:t>
      </w:r>
    </w:p>
    <w:p>
      <w:pPr>
        <w:suppressAutoHyphens w:val="0"/>
      </w:pPr>
      <w:r>
        <w:t xml:space="preserve">ആദ്യം ആളുകളെ നിയോഗിച്ച് വാദി വളർന്ന തറവാട് സന്ദർശിക്കുന്നത് ശാരീരികമായി തടഞ്ഞു. രണ്ടാമതായി, Trust-ുമായുള്ള ബന്ധം പിന്നീട് നിഷേധിച്ച D5–D7-നെ Trust employees ആയി ചിത്രീകരിച്ച്, അവരെ വാദി ആക്രമിച്ചെന്ന വ്യാജമായ criminal case രജിസ്റ്റർ ചെയ്യിച്ചു. മൂന്നാമതായി, Trust-ന്റെ registration number പോലും തെറ്റായി കാണിച്ച് Plaintiff-ന് Trust-മായി യാതൊരു ബന്ധവുമില്ലെന്ന് കോടതിയെ തെറ്റിദ്ധരിപ്പിക്കാൻ ശ്രമിച്ചു.</w:t>
      </w:r>
    </w:p>
    <w:p>
      <w:pPr>
        <w:suppressAutoHyphens w:val="0"/>
      </w:pPr>
      <w:r>
        <w:t xml:space="preserve">ട്രസ്റ്റി രാധാകൃഷ്ണന്റെ മകനായ വാദിക്ക് അവകാശമില്ലെന്ന വാദം 03.12.2025-ലെ ഉത്തരവ് (I.A. 1/2024, O.S. 243/2024) നിരസിച്ചു: “I am unable to accept the case of plaintiffs that defendant has no right over plaint schedule property”—24.01.2026-ൽ Plaintiff-ന്റെ beneficiary status നിയമപരമായി terminate ചെയ്യണമെന്നാണ് D2-ന്റെ Minutes-ൽ എഴുതിയിരിക്കുന്നത്. അതായത്, വാദി beneficiary ആണെന്ന് D2-ന് വ്യക്തമായി അറിയാം.</w:t>
      </w:r>
    </w:p>
    <w:p>
      <w:pPr>
        <w:suppressAutoHyphens w:val="0"/>
      </w:pPr>
      <w:r>
        <w:t xml:space="preserve">27.10.2025-ൽ lease രജിസ്റ്റർ ചെയ്തു. 09.12.2025-ൽ property-യിൽ lessee-യുടെ GSTIN രജിസ്റ്റർ ചെയ്തു. 24.01.2026-ൽ Sreemoolavasam-ന്റെ commercial possession ratify ചെയ്തു. ഇവ കോടതിയിൽ വെളിപ്പെടുത്തിയില്ലെന്നു മാത്രമല്ല, 16.02.2026-ൽ “nothing material has been concealed” എന്ന് D2 കോടതിയിൽ സത്യം ചെയ്യുകയും ചെയ്തു.</w:t>
      </w:r>
    </w:p>
    <w:p>
      <w:pPr>
        <w:suppressAutoHyphens w:val="0"/>
      </w:pPr>
      <w:r>
        <w:t xml:space="preserve">ഈ ശ്രേണി lessee-യുടെ ten-year possession ഒരു pendente lite fait accompli ആക്കി eventual relief നിഷ്ഫലമാക്കുമെന്ന് prima facie വ്യക്തമാണ്. അതിലൂടെ Trust-നും beneficiaries-ക്കും പണംകൊണ്ട് പരിഹരിക്കാനാവാത്ത irreparable injury ഉണ്ടാകും. വാണിജ്യം തടയുന്നത് pre-suit സ്ഥിതി സംരക്ഷിക്കുക മാത്രമാണ്. D2-ക്കും lessee-ക്കും എന്തെങ്കിലും നഷ്ടമുണ്ടായാൽ, അത് TPA §52-ന് വിധേയമായി അവർ സ്വയം വരുത്തിയതാണ്. Balance of convenience commercial possession-ും operations-ും ഉടൻ തടയുന്നതിനനുകൂലമാണ്.</w:t>
      </w:r>
    </w:p>
    <w:p>
      <w:pPr>
        <w:rPr>
          <w:sz w:val="2"/>
          <w:szCs w:val="2"/>
        </w:rPr>
      </w:pPr>
      <w:r>
        <w:rPr>
          <w:sz w:val="2"/>
          <w:szCs w:val="2"/>
        </w:rPr>
        <w:br w:type="page"/>
      </w:r>
    </w:p>
    <w:tbl>
      <w:tblPr>
        <w:tblW w:w="86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7190"/>
      </w:tblGrid>
      <w:tr w:rsidR="006714F3" w14:paraId="5DCE637C" w14:textId="77777777">
        <w:trPr>
          <w:cantSplit/>
          <w:trHeight w:val="18"/>
        </w:trPr>
        <w:tc>
          <w:tcPr>
            <w:tcW w:w="1450" w:type="dxa"/>
            <w:tcBorders>
              <w:right w:val="single" w:sz="18" w:space="0" w:color="000000"/>
            </w:tcBorders>
            <w:tcMar>
              <w:top w:w="0" w:type="dxa"/>
              <w:right w:w="140" w:type="dxa"/>
            </w:tcMar>
          </w:tcPr>
          <w:p w14:paraId="59E1D071" w14:textId="77777777" w:rsidR="00F446E1" w:rsidRDefault="00000000" w:rsidP="00024534">
            <w:pPr>
              <w:pStyle w:val="LargeLetter"/>
            </w:pPr>
            <w:r>
              <w:lastRenderedPageBreak/>
              <w:t>R</w:t>
            </w:r>
          </w:p>
        </w:tc>
        <w:tc>
          <w:tcPr>
            <w:tcW w:w="7190" w:type="dxa"/>
            <w:tcMar>
              <w:top w:w="0" w:type="dxa"/>
              <w:left w:w="200" w:type="dxa"/>
            </w:tcMar>
          </w:tcPr>
          <w:p w14:paraId="4706754A" w14:textId="77777777" w:rsidR="00F446E1" w:rsidRDefault="00000000" w:rsidP="00024534">
            <w:pPr>
              <w:suppressAutoHyphens w:val="0"/>
              <w:pStyle w:val="Heading1"/>
            </w:pPr>
            <w:r>
              <w:t xml:space="preserve">ലീസും ജി.എസ്.ടി. രജിസ്ട്രേഷനും ആദ്യം; “റാറ്റിഫിക്കേഷൻ” 89 ദിവസം കഴിഞ്ഞ്</w:t>
            </w:r>
          </w:p>
        </w:tc>
      </w:tr>
    </w:tbl>
    <w:p>
      <w:pPr>
        <w:pStyle w:val="Heading4"/>
      </w:pPr>
      <w:r>
        <w:t>Issue</w:t>
      </w:r>
    </w:p>
    <w:p>
      <w:pPr>
        <w:suppressAutoHyphens w:val="0"/>
      </w:pPr>
      <w:r>
        <w:t xml:space="preserve">Board approval-ന് മൂന്ന് മാസം മുമ്പേ ഒപ്പിട്ട ten-year lease-ും, approval-ന് മുമ്പേ Trust premises-ൽ lessee നേടിയ GST registration-ും ab initio അസാധുവല്ലേ?</w:t>
      </w:r>
    </w:p>
    <w:p>
      <w:pPr>
        <w:pStyle w:val="Heading4"/>
      </w:pPr>
      <w:r>
        <w:t>Rule</w:t>
      </w:r>
    </w:p>
    <w:p>
      <w:r>
        <w:t xml:space="preserve">Indian Trusts Act, 1882, ss. 15, 47 &amp; 48 [the care of ordinary prudence; a trustee cannot delegate his office or duties; co-trustees must all join].</w:t>
      </w:r>
    </w:p>
    <w:p>
      <w:r>
        <w:t xml:space="preserve">Marathwada University v. Seshrao Balwant Rao Chavan, (1989) 3 SCC 132, para 27: </w:t>
      </w:r>
      <w:r>
        <w:rPr>
          <w:rStyle w:val="Citation"/>
        </w:rPr>
        <w:t xml:space="preserve">“any action without power has no legal validity. It is ab initio void and cannot be ratified”</w:t>
      </w:r>
      <w:r>
        <w:t xml:space="preserve">.</w:t>
      </w:r>
    </w:p>
    <w:p>
      <w:pPr>
        <w:pStyle w:val="Heading4"/>
      </w:pPr>
      <w:r>
        <w:t>Application</w:t>
      </w:r>
    </w:p>
    <w:p>
      <w:r>
        <w:t xml:space="preserve">D2’s Attachments in I.A. 5/2025, 16.02.2026 - Extract of Resolution, 21.08.2025: </w:t>
      </w:r>
      <w:r>
        <w:rPr>
          <w:rStyle w:val="Citation"/>
        </w:rPr>
        <w:t xml:space="preserve">“Resolved to authorize the Managing Trustee … to find a suitable operator for leasing out”</w:t>
      </w:r>
      <w:r>
        <w:t xml:space="preserve"> [buildings named - the land never; no rent, term, company or possession fixed; the Minutes Book produced 18.05.2026 contains no such resolution].</w:t>
      </w:r>
    </w:p>
    <w:p>
      <w:r>
        <w:t xml:space="preserve">Deed 17/IV/2024, cl. 32(b)(ix): unanimous Board resolution required for any lease of immovable property [as admission against D2 only].</w:t>
      </w:r>
    </w:p>
    <w:p>
      <w:r>
        <w:t xml:space="preserve">Deed 66/IV/2022, cl. 17(c): unanimous consent required [as admission against D2 only].</w:t>
      </w:r>
    </w:p>
    <w:p>
      <w:r>
        <w:t xml:space="preserve">D2’s Objection in I.A. 5/2026, 19.06.2026, Para 3: </w:t>
      </w:r>
      <w:r>
        <w:rPr>
          <w:rStyle w:val="Citation"/>
        </w:rPr>
        <w:t xml:space="preserve">“By virtue of lease deed No.3237/2025 dated 27/10/2025 trust property was leased out …”</w:t>
      </w:r>
      <w:r>
        <w:t xml:space="preserve">.</w:t>
      </w:r>
    </w:p>
    <w:p>
      <w:r>
        <w:t xml:space="preserve">Lease Deed No. 3237/2025, 27.10.2025: </w:t>
      </w:r>
      <w:r>
        <w:rPr>
          <w:rStyle w:val="Citation"/>
        </w:rPr>
        <w:t xml:space="preserve">“SIGNED AND DELIVERED FOR: ALUMMOOTTIL THARAVAD TRUST by its Managing Trustee”</w:t>
      </w:r>
      <w:r>
        <w:t xml:space="preserve"> [sole signature; the demise sweeps the whole 29.42 Ares].</w:t>
      </w:r>
    </w:p>
    <w:p>
      <w:r>
        <w:t xml:space="preserve">D2’s Minutes Book, 24.01.2026, P. 17: </w:t>
      </w:r>
      <w:r>
        <w:rPr>
          <w:rStyle w:val="Citation"/>
        </w:rPr>
        <w:t xml:space="preserve">“in line with the resolution taken on 21/8/2025 …”</w:t>
      </w:r>
      <w:r>
        <w:t xml:space="preserve"> and </w:t>
      </w:r>
      <w:r>
        <w:rPr>
          <w:rStyle w:val="Citation"/>
        </w:rPr>
        <w:t xml:space="preserve">“is ratified and approved unanimously”</w:t>
      </w:r>
      <w:r>
        <w:t xml:space="preserve"> [inquiry and negotiation followed the resolution; 89 days after execution].</w:t>
      </w:r>
    </w:p>
    <w:p>
      <w:r>
        <w:t xml:space="preserve">GST Registration, effective 09.12.2025: </w:t>
      </w:r>
      <w:r>
        <w:rPr>
          <w:rStyle w:val="Citation"/>
        </w:rPr>
        <w:t xml:space="preserve">“2/242, Alumoottil, Muttom, Haripad”</w:t>
      </w:r>
      <w:r>
        <w:t xml:space="preserve"> (GSTIN 32ABQCS9416G1Z1) [before the 24.01.2026 ratification].</w:t>
      </w:r>
    </w:p>
    <w:p>
      <w:pPr>
        <w:pStyle w:val="Heading4"/>
      </w:pPr>
      <w:r>
        <w:t>Conclusion</w:t>
      </w:r>
    </w:p>
    <w:p>
      <w:pPr>
        <w:suppressAutoHyphens w:val="0"/>
      </w:pPr>
      <w:r>
        <w:t xml:space="preserve">21.08.2025-ലെ resolution ഏതു വിധത്തിൽ വായിച്ചാലും lease-ന് മുൻകൂർ അധികാരം നൽകുന്നില്ല: (ഒന്ന്) വാടകയോ കാലാവധിയോ പുതുക്കലോ deposit-ഓ ഈ കമ്പനിയോ നിശ്ചയിക്കുന്ന ഒരു resolution-ഉം D2 തന്നെ 18.05.2026-ൽ കോടതിയിൽ ഹാജരാക്കിയ Minutes Book-ൽ ഇല്ല; (രണ്ട്) D2 ഒറ്റയ്ക്ക് ഒപ്പിട്ട് 89 ദിവസത്തിനുശേഷം വന്ന 24.01.2026-ലെ ratification പറയുന്നത് “select and enter into lease agreements” എന്നു മാത്രം—അന്വേഷണവും ചർച്ചകളും resolution-നുശേഷമാണെന്ന് Minutes തന്നെ പറയുന്നു; (മൂന്ന്) എല്ലാം തീരുമാനിക്കാൻ സമ്പൂർണ അധികാരം നൽകിയെന്നു വാദിച്ചാൽ, ആ അധികാരക്കൈമാറ്റംതന്നെ ITA ss.47, 15 എന്നിവയുടെ ലംഘനമാണ്—അത് അധികാരമല്ല, കൂട്ടായ breach of trust ആണ്. Trustees ഒരുമിച്ചു പ്രവർത്തിക്കണമെന്ന s.48-ലെ നിർബന്ധത്തിന് ആ ratification പകരമാകില്ല; ratification ആവശ്യമായിവന്നതുതന്നെ മുൻകൂർ അധികാരമില്ലായ്മയുടെ സമ്മതമാണ്—അതേ രേഖ അധികാരത്തിന്റെ തെളിവുമാകില്ല. അതിനാൽ lease prima facie void ആണ്.</w:t>
      </w:r>
    </w:p>
    <w:p>
      <w:pPr>
        <w:suppressAutoHyphens w:val="0"/>
      </w:pPr>
      <w:r>
        <w:t xml:space="preserve">അധികാരമില്ലാതെ ഒപ്പിട്ട ആധാരം സൃഷ്ടിച്ച നില തുടരാൻ അനുവദിക്കുന്നത് അധികാരമില്ലായ്മയ്ക്ക് പ്രതിഫലം നൽകലാകും; stay യഥാർഥ status quo പുനഃസ്ഥാപിക്കുക മാത്രമാണ്. അനധികൃത ten-year commercial possession തുടർന്നാൽ അന്തിമവിധിതന്നെ നിഷ്ഫലമാകും—പണംകൊണ്ട് പരിഹരിക്കാനാവാത്ത injury. ഈ അനധികൃത ക്രമീകരണത്തിൻകീഴിൽ outsider പ്രവർത്തനങ്ങൾ D2 അനുവദിക്കുന്നത് തടയുന്ന prayer (b)-ക്ക് balance of convenience പൂർണമായും അനുകൂലമാണ്.</w:t>
      </w:r>
    </w:p>
    <w:sectPr w:rsidR="00F446E1">
      <w:footerReference w:type="even" r:id="rId6"/>
      <w:footerReference w:type="default" r:id="rId7"/>
      <w:footerReference w:type="first" r:id="rId8"/>
      <w:pgSz w:w="11906" w:h="16838"/>
      <w:pgMar w:top="1440" w:right="1440" w:bottom="1440" w:left="2160" w:header="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24F97" w14:textId="77777777" w:rsidR="00291040" w:rsidRDefault="00291040" w:rsidP="00024534">
      <w:r>
        <w:separator/>
      </w:r>
    </w:p>
  </w:endnote>
  <w:endnote w:type="continuationSeparator" w:id="0">
    <w:p w14:paraId="43779F5B" w14:textId="77777777" w:rsidR="00291040" w:rsidRDefault="00291040" w:rsidP="000245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lini">
    <w:altName w:val="Malini Condensed"/>
    <w:panose1 w:val="00000000000000000000"/>
    <w:charset w:val="00"/>
    <w:family w:val="auto"/>
    <w:pitch w:val="variable"/>
    <w:sig w:usb0="0080000F" w:usb1="00000000" w:usb2="00000000" w:usb3="00000000" w:csb0="00000003" w:csb1="00000000"/>
    <w:embedRegular r:id="rId1" w:fontKey="{F6586A5A-EBDE-9248-9A7B-09BCAAA66636}"/>
    <w:embedBold r:id="rId2" w:fontKey="{CCC707F4-DE12-3B4B-A10E-99EEB6479245}"/>
  </w:font>
  <w:font w:name="HELVETICA NEUE CONDENSED">
    <w:panose1 w:val="02000806000000020004"/>
    <w:charset w:val="00"/>
    <w:family w:val="auto"/>
    <w:pitch w:val="variable"/>
    <w:sig w:usb0="A00002FF" w:usb1="5000205A" w:usb2="00000000" w:usb3="00000000" w:csb0="00000001" w:csb1="00000000"/>
    <w:embedRegular r:id="rId910" w:fontKey="{F9E74BBB-5BC0-4EDE-B255-BBD6FAD9ADA9}"/>
  </w:font>
  <w:font w:name="Times New Roman">
    <w:panose1 w:val="02020603050405020304"/>
    <w:charset w:val="00"/>
    <w:family w:val="roman"/>
    <w:pitch w:val="variable"/>
    <w:sig w:usb0="E0002EFF" w:usb1="C000785B" w:usb2="00000009" w:usb3="00000000" w:csb0="000001FF" w:csb1="00000000"/>
    <w:embedRegular r:id="rId4" w:fontKey="{EB225A81-7D19-2641-9B5B-AD3DE4A5F36E}"/>
  </w:font>
  <w:font w:name="Malini Condensed">
    <w:panose1 w:val="00000000000000000000"/>
    <w:charset w:val="00"/>
    <w:family w:val="auto"/>
    <w:pitch w:val="variable"/>
    <w:sig w:usb0="0080000F" w:usb1="00000000" w:usb2="00000000" w:usb3="00000000" w:csb0="00000003" w:csb1="00000000"/>
    <w:embedItalic r:id="rId5" w:fontKey="{50B3CDB8-8F30-CC4E-987C-51DF42DD67BD}"/>
  </w:font>
  <w:font w:name="-webkit-standard">
    <w:altName w:val="Cambria"/>
    <w:panose1 w:val="020B0604020202020204"/>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901" w:fontKey="{CEFB9084-8FA4-A042-BE97-036518AEF587}"/>
    <w:embedBold r:id="rId902" w:fontKey="{B1F8A8B0-9A25-BD43-8565-5031786681D0}"/>
    <w:embedItalic r:id="rId903" w:fontKey="{E5DEB4A2-31A5-DC42-BF53-5EB1A74A011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3715374"/>
      <w:docPartObj>
        <w:docPartGallery w:val="Page Numbers (Bottom of Page)"/>
        <w:docPartUnique/>
      </w:docPartObj>
    </w:sdtPr>
    <w:sdtContent>
      <w:p w14:paraId="25FEE833" w14:textId="77777777" w:rsidR="000B6AC5" w:rsidRDefault="00000000" w:rsidP="00024534">
        <w:r>
          <w:fldChar w:fldCharType="begin"/>
        </w:r>
        <w:r>
          <w:instrText xml:space="preserve"> PAGE </w:instrText>
        </w:r>
        <w:r>
          <w:fldChar w:fldCharType="separate"/>
        </w:r>
        <w:r>
          <w:t>0</w:t>
        </w:r>
        <w:r>
          <w:fldChar w:fldCharType="end"/>
        </w:r>
      </w:p>
    </w:sdtContent>
  </w:sdt>
  <w:p w14:paraId="3F1EB8BB" w14:textId="77777777" w:rsidR="000B6AC5" w:rsidRDefault="000B6AC5" w:rsidP="0002453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1767863"/>
      <w:docPartObj>
        <w:docPartGallery w:val="Page Numbers (Bottom of Page)"/>
        <w:docPartUnique/>
      </w:docPartObj>
    </w:sdtPr>
    <w:sdtContent>
      <w:p w14:paraId="0D846A95" w14:textId="77777777" w:rsidR="000B6AC5" w:rsidRDefault="00000000" w:rsidP="00024534">
        <w:r>
          <w:fldChar w:fldCharType="begin"/>
        </w:r>
        <w:r>
          <w:instrText xml:space="preserve"> PAGE </w:instrText>
        </w:r>
        <w:r>
          <w:fldChar w:fldCharType="separate"/>
        </w:r>
        <w:r>
          <w:t>2</w:t>
        </w:r>
        <w:r>
          <w:fldChar w:fldCharType="end"/>
        </w:r>
      </w:p>
    </w:sdtContent>
  </w:sdt>
  <w:p w14:paraId="2BF98689" w14:textId="77777777" w:rsidR="000B6AC5" w:rsidRDefault="000B6AC5" w:rsidP="0002453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9880851"/>
      <w:docPartObj>
        <w:docPartGallery w:val="Page Numbers (Bottom of Page)"/>
        <w:docPartUnique/>
      </w:docPartObj>
    </w:sdtPr>
    <w:sdtContent>
      <w:p w14:paraId="1FB7110F" w14:textId="77777777" w:rsidR="000B6AC5" w:rsidRDefault="00000000" w:rsidP="00024534">
        <w:r>
          <w:fldChar w:fldCharType="begin"/>
        </w:r>
        <w:r>
          <w:instrText xml:space="preserve"> PAGE </w:instrText>
        </w:r>
        <w:r>
          <w:fldChar w:fldCharType="separate"/>
        </w:r>
        <w:r>
          <w:t>2</w:t>
        </w:r>
        <w:r>
          <w:fldChar w:fldCharType="end"/>
        </w:r>
      </w:p>
    </w:sdtContent>
  </w:sdt>
  <w:p w14:paraId="4D162B50" w14:textId="77777777" w:rsidR="000B6AC5" w:rsidRDefault="000B6AC5" w:rsidP="000245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019FD" w14:textId="77777777" w:rsidR="00291040" w:rsidRDefault="00291040" w:rsidP="00024534">
      <w:r>
        <w:separator/>
      </w:r>
    </w:p>
  </w:footnote>
  <w:footnote w:type="continuationSeparator" w:id="0">
    <w:p w14:paraId="065E92FE" w14:textId="77777777" w:rsidR="00291040" w:rsidRDefault="00291040" w:rsidP="0002453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9"/>
  <w:embedTrueTypeFont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D6A"/>
    <w:rsid w:val="00003CFD"/>
    <w:rsid w:val="00024534"/>
    <w:rsid w:val="0004222F"/>
    <w:rsid w:val="00060E36"/>
    <w:rsid w:val="000966F6"/>
    <w:rsid w:val="000A7D64"/>
    <w:rsid w:val="000B6AC5"/>
    <w:rsid w:val="0012506C"/>
    <w:rsid w:val="001603D1"/>
    <w:rsid w:val="002221B9"/>
    <w:rsid w:val="00266CA3"/>
    <w:rsid w:val="00291040"/>
    <w:rsid w:val="002A1B2A"/>
    <w:rsid w:val="00341BF7"/>
    <w:rsid w:val="00346202"/>
    <w:rsid w:val="00494E42"/>
    <w:rsid w:val="0052176F"/>
    <w:rsid w:val="005366A7"/>
    <w:rsid w:val="00571591"/>
    <w:rsid w:val="00607D6A"/>
    <w:rsid w:val="00624D4D"/>
    <w:rsid w:val="00631607"/>
    <w:rsid w:val="006963B3"/>
    <w:rsid w:val="006A0034"/>
    <w:rsid w:val="007427BD"/>
    <w:rsid w:val="00790720"/>
    <w:rsid w:val="007A766F"/>
    <w:rsid w:val="008637DC"/>
    <w:rsid w:val="00934BA8"/>
    <w:rsid w:val="0097107A"/>
    <w:rsid w:val="00994125"/>
    <w:rsid w:val="00A278BF"/>
    <w:rsid w:val="00A64CE1"/>
    <w:rsid w:val="00A653BB"/>
    <w:rsid w:val="00A96A49"/>
    <w:rsid w:val="00AA7C63"/>
    <w:rsid w:val="00AF29D8"/>
    <w:rsid w:val="00BD360A"/>
    <w:rsid w:val="00C6009A"/>
    <w:rsid w:val="00C80BB1"/>
    <w:rsid w:val="00C81103"/>
    <w:rsid w:val="00CA5FD0"/>
    <w:rsid w:val="00CE1363"/>
    <w:rsid w:val="00D0530C"/>
    <w:rsid w:val="00D275CB"/>
    <w:rsid w:val="00D36B6A"/>
    <w:rsid w:val="00D92019"/>
    <w:rsid w:val="00DF70EF"/>
    <w:rsid w:val="00E62B13"/>
    <w:rsid w:val="00E63410"/>
    <w:rsid w:val="00F1143F"/>
    <w:rsid w:val="00F446E1"/>
  </w:rsids>
  <m:mathPr>
    <m:mathFont m:val="Cambria Math"/>
    <m:brkBin m:val="before"/>
    <m:brkBinSub m:val="--"/>
    <m:smallFrac m:val="0"/>
    <m:dispDef/>
    <m:lMargin m:val="0"/>
    <m:rMargin m:val="0"/>
    <m:defJc m:val="centerGroup"/>
    <m:wrapIndent m:val="1440"/>
    <m:intLim m:val="subSup"/>
    <m:naryLim m:val="undOvr"/>
  </m:mathPr>
  <w:themeFontLang w:val="en-US" w:eastAsia="ml-IN" w:bidi="ml-IN"/>
  <w:clrSchemeMapping w:bg1="light1" w:t1="dark1" w:bg2="light2" w:t2="dark2" w:accent1="accent1" w:accent2="accent2" w:accent3="accent3" w:accent4="accent4" w:accent5="accent5" w:accent6="accent6" w:hyperlink="hyperlink" w:followedHyperlink="followedHyperlink"/>
  <w:decimalSymbol w:val="."/>
  <w:listSeparator w:val=","/>
  <w14:docId w14:val="11DC9A47"/>
  <w15:docId w15:val="{B8BF3FEB-2DBD-0648-AAC6-540D6C353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alini" w:hAnsi="Cambria" w:cs="Malini"/>
        <w:sz w:val="28"/>
        <w:szCs w:val="28"/>
        <w:lang w:val="en-US" w:eastAsia="en-US" w:bidi="en-US"/>
      </w:rPr>
    </w:rPrDefault>
    <w:pPrDefault/>
  </w:docDefaults>
  <w:latentStyles w:defLockedState="1" w:defUIPriority="99" w:defSemiHidden="0" w:defUnhideWhenUsed="0" w:defQFormat="0" w:count="376">
    <w:lsdException w:name="Normal" w:locked="0" w:uiPriority="4" w:qFormat="1"/>
    <w:lsdException w:name="heading 1" w:locked="0" w:uiPriority="2" w:qFormat="1"/>
    <w:lsdException w:name="heading 2" w:semiHidden="1"/>
    <w:lsdException w:name="heading 3" w:semiHidden="1"/>
    <w:lsdException w:name="heading 4" w:locked="0" w:uiPriority="3" w:qFormat="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uiPriority w:val="4"/>
    <w:qFormat/>
    <w:rsid w:val="009F40EF"/>
    <w:pPr>
      <w:suppressAutoHyphens/>
      <w:snapToGrid w:val="0"/>
      <w:spacing w:after="200"/>
      <w:jc w:val="both"/>
    </w:pPr>
    <w:rPr>
      <w:rFonts w:hAnsi="Malini"/>
      <w:spacing w:val="-10"/>
      <w:lang w:val="ml-IN" w:eastAsia="ml-IN" w:bidi="ml-IN"/>
    </w:rPr>
  </w:style>
  <w:style w:type="paragraph" w:styleId="Heading1">
    <w:name w:val="heading 1"/>
    <w:basedOn w:val="Normal"/>
    <w:next w:val="Normal"/>
    <w:uiPriority w:val="2"/>
    <w:qFormat/>
    <w:rsid w:val="00625EE9"/>
    <w:pPr>
      <w:spacing w:after="0" w:line="216" w:lineRule="auto"/>
      <w:outlineLvl w:val="0"/>
    </w:pPr>
    <w:rPr>
      <w:b/>
      <w:bCs/>
      <w:spacing w:val="-4"/>
      <w:sz w:val="40"/>
      <w:szCs w:val="40"/>
      <w14:textOutline w14:w="3175" w14:cap="rnd" w14:cmpd="sng" w14:algn="ctr">
        <w14:solidFill>
          <w14:schemeClr w14:val="tx1"/>
        </w14:solidFill>
        <w14:prstDash w14:val="solid"/>
        <w14:bevel/>
      </w14:textOutline>
    </w:rPr>
  </w:style>
  <w:style w:type="paragraph" w:styleId="Heading4">
    <w:name w:val="heading 4"/>
    <w:basedOn w:val="Normal"/>
    <w:next w:val="Normal"/>
    <w:uiPriority w:val="3"/>
    <w:qFormat/>
    <w:pPr>
      <w:pBdr>
        <w:bottom w:val="single" w:sz="6" w:space="2" w:color="000000"/>
      </w:pBdr>
      <w:spacing w:before="120" w:after="120"/>
      <w:jc w:val="left"/>
      <w:outlineLvl w:val="3"/>
    </w:pPr>
    <w:rPr>
      <w:rFonts w:ascii="HELVETICA NEUE CONDENSED" w:eastAsia="HELVETICA NEUE CONDENSED" w:hAnsi="HELVETICA NEUE CONDENSED" w:cs="HELVETICA NEUE CONDENSED"/>
      <w:b/>
      <w:bCs/>
      <w:caps/>
      <w:sz w:val="40"/>
      <w:szCs w:val="40"/>
    </w:rPr>
  </w:style>
  <w:style w:type="character" w:default="1" w:styleId="DefaultParagraphFont">
    <w:name w:val="Default Paragraph Font"/>
    <w:uiPriority w:val="1"/>
    <w:semiHidden/>
    <w:unhideWhenUsed/>
    <w:rPr>
      <w:rFonts w:ascii="Cambria" w:hAnsi="Malini" w:cs="Malini"/>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argeLetter">
    <w:name w:val="Large Letter"/>
    <w:basedOn w:val="Normal"/>
    <w:next w:val="Normal"/>
    <w:uiPriority w:val="1"/>
    <w:qFormat/>
    <w:pPr>
      <w:spacing w:after="0" w:line="1600" w:lineRule="exact"/>
      <w:jc w:val="center"/>
    </w:pPr>
    <w:rPr>
      <w:rFonts w:ascii="HELVETICA NEUE CONDENSED" w:eastAsia="HELVETICA NEUE CONDENSED" w:hAnsi="HELVETICA NEUE CONDENSED" w:cs="HELVETICA NEUE CONDENSED"/>
      <w:b/>
      <w:bCs/>
      <w:position w:val="-12"/>
      <w:sz w:val="200"/>
      <w:szCs w:val="200"/>
    </w:rPr>
  </w:style>
  <w:style w:type="character" w:customStyle="1" w:styleId="Citation">
    <w:name w:val="Citation"/>
    <w:uiPriority w:val="5"/>
    <w:qFormat/>
    <w:rPr>
      <w:rFonts w:ascii="Cambria" w:eastAsia="Malini" w:hAnsi="Cambria" w:cs="Malini"/>
      <w:i/>
      <w:iCs/>
      <w:color w:val="404040" w:themeColor="text1" w:themeTint="BF"/>
      <w:sz w:val="28"/>
      <w:szCs w:val="28"/>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01" Type="http://schemas.openxmlformats.org/officeDocument/2006/relationships/font" Target="fonts/cambria1.odttf"/><Relationship Id="rId902" Type="http://schemas.openxmlformats.org/officeDocument/2006/relationships/font" Target="fonts/cambria2.odttf"/><Relationship Id="rId903" Type="http://schemas.openxmlformats.org/officeDocument/2006/relationships/font" Target="fonts/cambria3.odttf"/><Relationship Id="rId910" Type="http://schemas.openxmlformats.org/officeDocument/2006/relationships/font" Target="fonts/hnc1.odttf"/></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Malini"/>
        <a:ea typeface="Malini"/>
        <a:cs typeface="Malini"/>
      </a:majorFont>
      <a:minorFont>
        <a:latin typeface="Malini"/>
        <a:ea typeface="Malini"/>
        <a:cs typeface="Malini"/>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115</TotalTime>
  <Pages>8</Pages>
  <Words>3053</Words>
  <Characters>17404</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IRAC A</vt:lpstr>
    </vt:vector>
  </TitlesOfParts>
  <Company/>
  <LinksUpToDate>false</LinksUpToDate>
  <CharactersWithSpaces>20417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IRAC A</dc:title>
  <dc:creator>Anoop Madhavan</dc:creator>
  <cp:lastModifiedBy>Anoop Madhavan</cp:lastModifiedBy>
  <cp:revision>14</cp:revision>
  <cp:lastPrinted>2026-07-14T16:09:00Z</cp:lastPrinted>
  <dcterms:created xsi:type="dcterms:W3CDTF">2026-07-14T19:33:00Z</dcterms:created>
  <dcterms:modified xsi:type="dcterms:W3CDTF">2026-07-18T14:13:00Z</dcterms:modified>
</cp:coreProperties>
</file>